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color w:val="auto"/>
          <w:sz w:val="32"/>
          <w:szCs w:val="24"/>
        </w:rPr>
      </w:pPr>
      <w:r>
        <w:rPr>
          <w:rFonts w:hint="eastAsia" w:ascii="宋体" w:hAnsi="宋体" w:eastAsia="宋体"/>
          <w:b/>
          <w:color w:val="auto"/>
          <w:sz w:val="32"/>
          <w:szCs w:val="24"/>
          <w:lang w:val="en-US" w:eastAsia="zh-CN"/>
        </w:rPr>
        <w:t>广西壮族自治区生殖医院</w:t>
      </w:r>
      <w:r>
        <w:rPr>
          <w:rFonts w:hint="eastAsia" w:ascii="宋体" w:hAnsi="宋体" w:eastAsia="宋体"/>
          <w:b/>
          <w:color w:val="auto"/>
          <w:sz w:val="32"/>
          <w:szCs w:val="24"/>
        </w:rPr>
        <w:t>内部控制体系建设项目招标参数</w:t>
      </w:r>
    </w:p>
    <w:p>
      <w:pPr>
        <w:spacing w:line="360" w:lineRule="auto"/>
        <w:rPr>
          <w:rFonts w:ascii="宋体" w:hAnsi="宋体" w:eastAsia="宋体"/>
          <w:color w:val="auto"/>
          <w:sz w:val="24"/>
          <w:szCs w:val="24"/>
        </w:rPr>
      </w:pP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一、项目背景</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2012年11月，财政部印发了《行政事业单位内部控制规范（试行）》（财会〔2012〕21号，以下简称《内控规范》），要求从2014年1月1日起施行。</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2015年</w:t>
      </w:r>
      <w:r>
        <w:rPr>
          <w:rFonts w:hint="eastAsia" w:ascii="宋体" w:hAnsi="宋体" w:eastAsia="宋体"/>
          <w:color w:val="auto"/>
          <w:sz w:val="24"/>
          <w:szCs w:val="24"/>
        </w:rPr>
        <w:t>12月21日，财政部发布指导意见（财会[2015]24号），要求全面推进行政事业单位内部控制建设。特别提到已经建立并实施内部控制的单位，应当按照本指导意见和《单位内控规范》要求，对本单位内部控制制度的全面性、重要性、制衡性、适应性和有效性进行自我评价、对照检查，并针对存在的问题，抓好整改落实，进一步健全制度，提高执行力，完善监督措施，确保内部控制有效实施。内部控制尚未建立或内部控制制度不健全的单位，必须于2017年底前完成内部控制的建立和实施工作。</w:t>
      </w:r>
    </w:p>
    <w:p>
      <w:pPr>
        <w:spacing w:line="360" w:lineRule="auto"/>
        <w:ind w:firstLine="420"/>
        <w:rPr>
          <w:rFonts w:hint="eastAsia" w:ascii="宋体" w:hAnsi="宋体" w:eastAsia="宋体"/>
          <w:color w:val="auto"/>
          <w:sz w:val="24"/>
          <w:szCs w:val="24"/>
        </w:rPr>
      </w:pPr>
      <w:r>
        <w:rPr>
          <w:rFonts w:hint="eastAsia" w:ascii="宋体" w:hAnsi="宋体" w:eastAsia="宋体"/>
          <w:color w:val="auto"/>
          <w:sz w:val="24"/>
          <w:szCs w:val="24"/>
        </w:rPr>
        <w:t>2</w:t>
      </w:r>
      <w:r>
        <w:rPr>
          <w:rFonts w:ascii="宋体" w:hAnsi="宋体" w:eastAsia="宋体"/>
          <w:color w:val="auto"/>
          <w:sz w:val="24"/>
          <w:szCs w:val="24"/>
        </w:rPr>
        <w:t>020</w:t>
      </w:r>
      <w:r>
        <w:rPr>
          <w:rFonts w:hint="eastAsia" w:ascii="宋体" w:hAnsi="宋体" w:eastAsia="宋体"/>
          <w:color w:val="auto"/>
          <w:sz w:val="24"/>
          <w:szCs w:val="24"/>
        </w:rPr>
        <w:t>年年底</w:t>
      </w:r>
      <w:r>
        <w:rPr>
          <w:rFonts w:ascii="宋体" w:hAnsi="宋体" w:eastAsia="宋体"/>
          <w:color w:val="auto"/>
          <w:sz w:val="24"/>
          <w:szCs w:val="24"/>
        </w:rPr>
        <w:t>国家卫健委、中医局联合下发《公立医院</w:t>
      </w:r>
      <w:r>
        <w:rPr>
          <w:rFonts w:hint="eastAsia" w:ascii="宋体" w:hAnsi="宋体" w:eastAsia="宋体"/>
          <w:color w:val="auto"/>
          <w:sz w:val="24"/>
          <w:szCs w:val="24"/>
        </w:rPr>
        <w:t>内部控制管理办法</w:t>
      </w:r>
      <w:r>
        <w:rPr>
          <w:rFonts w:ascii="宋体" w:hAnsi="宋体" w:eastAsia="宋体"/>
          <w:color w:val="auto"/>
          <w:sz w:val="24"/>
          <w:szCs w:val="24"/>
        </w:rPr>
        <w:t>》（</w:t>
      </w:r>
      <w:r>
        <w:rPr>
          <w:rFonts w:hint="eastAsia" w:ascii="宋体" w:hAnsi="宋体" w:eastAsia="宋体"/>
          <w:color w:val="auto"/>
          <w:sz w:val="24"/>
          <w:szCs w:val="24"/>
        </w:rPr>
        <w:t>国卫财务发〔2020〕31号），要求从2</w:t>
      </w:r>
      <w:r>
        <w:rPr>
          <w:rFonts w:ascii="宋体" w:hAnsi="宋体" w:eastAsia="宋体"/>
          <w:color w:val="auto"/>
          <w:sz w:val="24"/>
          <w:szCs w:val="24"/>
        </w:rPr>
        <w:t>021</w:t>
      </w:r>
      <w:r>
        <w:rPr>
          <w:rFonts w:hint="eastAsia" w:ascii="宋体" w:hAnsi="宋体" w:eastAsia="宋体"/>
          <w:color w:val="auto"/>
          <w:sz w:val="24"/>
          <w:szCs w:val="24"/>
        </w:rPr>
        <w:t>年1月1日起施行。</w:t>
      </w:r>
    </w:p>
    <w:p>
      <w:pPr>
        <w:spacing w:line="360" w:lineRule="auto"/>
        <w:ind w:firstLine="540" w:firstLineChars="225"/>
        <w:rPr>
          <w:rFonts w:ascii="宋体" w:hAnsi="宋体" w:eastAsia="宋体"/>
          <w:color w:val="auto"/>
          <w:sz w:val="24"/>
          <w:szCs w:val="24"/>
        </w:rPr>
      </w:pPr>
      <w:r>
        <w:rPr>
          <w:rFonts w:hint="eastAsia" w:ascii="宋体" w:hAnsi="宋体" w:eastAsia="宋体"/>
          <w:color w:val="auto"/>
          <w:sz w:val="24"/>
          <w:szCs w:val="24"/>
        </w:rPr>
        <w:t>为贯彻落实财政部、</w:t>
      </w:r>
      <w:r>
        <w:rPr>
          <w:rFonts w:ascii="宋体" w:hAnsi="宋体" w:eastAsia="宋体"/>
          <w:color w:val="auto"/>
          <w:sz w:val="24"/>
          <w:szCs w:val="24"/>
        </w:rPr>
        <w:t>国家卫健委、中医局</w:t>
      </w:r>
      <w:r>
        <w:rPr>
          <w:rFonts w:hint="eastAsia" w:ascii="宋体" w:hAnsi="宋体" w:eastAsia="宋体"/>
          <w:color w:val="auto"/>
          <w:sz w:val="24"/>
          <w:szCs w:val="24"/>
        </w:rPr>
        <w:t>关于行内部控制工作的一系列文件要求，进</w:t>
      </w:r>
      <w:r>
        <w:rPr>
          <w:rFonts w:hint="eastAsia" w:ascii="宋体" w:hAnsi="宋体" w:eastAsia="宋体"/>
          <w:color w:val="auto"/>
          <w:sz w:val="24"/>
          <w:szCs w:val="24"/>
        </w:rPr>
        <w:t>一步提高我院内部管理水平，规范内部控制，加强廉政风险防控机制建设。现就我院内部控制建设项目进行公开招标。</w:t>
      </w:r>
    </w:p>
    <w:p>
      <w:pPr>
        <w:spacing w:line="360" w:lineRule="auto"/>
        <w:ind w:firstLine="360" w:firstLineChars="150"/>
        <w:rPr>
          <w:rFonts w:ascii="宋体" w:hAnsi="宋体" w:eastAsia="宋体"/>
          <w:color w:val="auto"/>
          <w:sz w:val="24"/>
          <w:szCs w:val="24"/>
        </w:rPr>
      </w:pPr>
      <w:r>
        <w:rPr>
          <w:rFonts w:hint="eastAsia" w:ascii="宋体" w:hAnsi="宋体" w:eastAsia="宋体"/>
          <w:color w:val="auto"/>
          <w:sz w:val="24"/>
          <w:szCs w:val="24"/>
        </w:rPr>
        <w:t>二、主要内容</w:t>
      </w:r>
    </w:p>
    <w:p>
      <w:pPr>
        <w:spacing w:line="360" w:lineRule="auto"/>
        <w:ind w:firstLine="420"/>
        <w:rPr>
          <w:rFonts w:ascii="宋体" w:hAnsi="宋体" w:eastAsia="宋体"/>
          <w:color w:val="auto"/>
          <w:sz w:val="24"/>
          <w:szCs w:val="24"/>
        </w:rPr>
      </w:pPr>
      <w:r>
        <w:rPr>
          <w:rFonts w:hint="eastAsia" w:ascii="宋体" w:hAnsi="宋体" w:eastAsia="宋体"/>
          <w:color w:val="auto"/>
          <w:sz w:val="24"/>
          <w:szCs w:val="24"/>
          <w:lang w:val="en-US" w:eastAsia="zh-CN"/>
        </w:rPr>
        <w:t>1</w:t>
      </w:r>
      <w:r>
        <w:rPr>
          <w:rFonts w:hint="eastAsia" w:ascii="宋体" w:hAnsi="宋体" w:eastAsia="宋体"/>
          <w:color w:val="auto"/>
          <w:sz w:val="24"/>
          <w:szCs w:val="24"/>
        </w:rPr>
        <w:t>.完善医院内控制度、业务流程，提出岗位分工、职责及授权、关键控制点等，最终形成《※※※医院内部控制手册》；</w:t>
      </w:r>
    </w:p>
    <w:p>
      <w:pPr>
        <w:spacing w:line="360" w:lineRule="auto"/>
        <w:ind w:firstLine="420"/>
        <w:rPr>
          <w:rFonts w:ascii="宋体" w:hAnsi="宋体" w:eastAsia="宋体"/>
          <w:color w:val="auto"/>
          <w:sz w:val="24"/>
          <w:szCs w:val="24"/>
        </w:rPr>
      </w:pPr>
      <w:r>
        <w:rPr>
          <w:rFonts w:hint="eastAsia" w:ascii="宋体" w:hAnsi="宋体" w:eastAsia="宋体"/>
          <w:color w:val="auto"/>
          <w:sz w:val="24"/>
          <w:szCs w:val="24"/>
          <w:lang w:val="en-US" w:eastAsia="zh-CN"/>
        </w:rPr>
        <w:t>2</w:t>
      </w:r>
      <w:r>
        <w:rPr>
          <w:rFonts w:hint="eastAsia" w:ascii="宋体" w:hAnsi="宋体" w:eastAsia="宋体"/>
          <w:color w:val="auto"/>
          <w:sz w:val="24"/>
          <w:szCs w:val="24"/>
        </w:rPr>
        <w:t>.提供两年期内的电话、微信咨询与解答服务；</w:t>
      </w:r>
    </w:p>
    <w:p>
      <w:pPr>
        <w:spacing w:line="360" w:lineRule="auto"/>
        <w:ind w:firstLine="420"/>
        <w:rPr>
          <w:rFonts w:ascii="宋体" w:hAnsi="宋体" w:eastAsia="宋体"/>
          <w:color w:val="auto"/>
          <w:sz w:val="24"/>
          <w:szCs w:val="24"/>
        </w:rPr>
      </w:pPr>
      <w:r>
        <w:rPr>
          <w:rFonts w:hint="eastAsia" w:ascii="宋体" w:hAnsi="宋体" w:eastAsia="宋体"/>
          <w:color w:val="auto"/>
          <w:sz w:val="24"/>
          <w:szCs w:val="24"/>
          <w:lang w:val="en-US" w:eastAsia="zh-CN"/>
        </w:rPr>
        <w:t>3</w:t>
      </w:r>
      <w:r>
        <w:rPr>
          <w:rFonts w:hint="eastAsia" w:ascii="宋体" w:hAnsi="宋体" w:eastAsia="宋体"/>
          <w:color w:val="auto"/>
          <w:sz w:val="24"/>
          <w:szCs w:val="24"/>
        </w:rPr>
        <w:t>.本次内控建设工作成果的知识产权由我单位享有。</w:t>
      </w:r>
    </w:p>
    <w:p>
      <w:pPr>
        <w:spacing w:line="360" w:lineRule="auto"/>
        <w:ind w:firstLine="360" w:firstLineChars="150"/>
        <w:rPr>
          <w:rFonts w:ascii="宋体" w:hAnsi="宋体" w:eastAsia="宋体"/>
          <w:color w:val="auto"/>
          <w:sz w:val="24"/>
          <w:szCs w:val="24"/>
        </w:rPr>
      </w:pPr>
    </w:p>
    <w:p>
      <w:pPr>
        <w:spacing w:line="360" w:lineRule="auto"/>
        <w:ind w:firstLine="360" w:firstLineChars="150"/>
        <w:rPr>
          <w:rFonts w:ascii="宋体" w:hAnsi="宋体" w:eastAsia="宋体"/>
          <w:color w:val="auto"/>
          <w:sz w:val="24"/>
          <w:szCs w:val="24"/>
        </w:rPr>
      </w:pPr>
      <w:r>
        <w:rPr>
          <w:rFonts w:hint="eastAsia" w:ascii="宋体" w:hAnsi="宋体" w:eastAsia="宋体"/>
          <w:color w:val="auto"/>
          <w:sz w:val="24"/>
          <w:szCs w:val="24"/>
        </w:rPr>
        <w:t>三、基本要求</w:t>
      </w:r>
    </w:p>
    <w:p>
      <w:pPr>
        <w:spacing w:line="360" w:lineRule="auto"/>
        <w:ind w:firstLine="420"/>
        <w:rPr>
          <w:rFonts w:ascii="宋体" w:hAnsi="宋体" w:eastAsia="宋体"/>
          <w:color w:val="auto"/>
          <w:sz w:val="24"/>
          <w:szCs w:val="24"/>
        </w:rPr>
      </w:pPr>
      <w:r>
        <w:rPr>
          <w:rFonts w:hint="eastAsia" w:ascii="宋体" w:hAnsi="宋体" w:eastAsia="宋体"/>
          <w:color w:val="auto"/>
          <w:sz w:val="24"/>
          <w:szCs w:val="24"/>
        </w:rPr>
        <w:t>医疗</w:t>
      </w:r>
      <w:r>
        <w:rPr>
          <w:rFonts w:ascii="宋体" w:hAnsi="宋体" w:eastAsia="宋体"/>
          <w:color w:val="auto"/>
          <w:sz w:val="24"/>
          <w:szCs w:val="24"/>
        </w:rPr>
        <w:t>卫生机构实施内部控制，要通过机构设置、职能分工、岗位责任制、归口管理、三权分离等，将各项经济事项根据管理职能固化到具体的业务流程中，并对应到具体的工作岗位上。</w:t>
      </w:r>
    </w:p>
    <w:p>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lang w:val="en-US" w:eastAsia="zh-CN"/>
        </w:rPr>
        <w:t>1.</w:t>
      </w:r>
      <w:r>
        <w:rPr>
          <w:rFonts w:hint="eastAsia" w:ascii="宋体" w:hAnsi="宋体" w:eastAsia="宋体"/>
          <w:color w:val="auto"/>
          <w:sz w:val="24"/>
          <w:szCs w:val="24"/>
        </w:rPr>
        <w:t>医疗业务管理。建立健全诊疗规范和诊疗活动管理制度；明确诊疗项目和收费的审查机制、审批机制、监督检查机制；明确内部医务管理部门、医保部门、物价部门在医疗活动和诊疗项目价格政策执行方面的职责；合理设置诊疗项目管理岗位，明确岗位职责权限；明确诊疗项目的内部申请、审核和审批权限，确保诊疗项目的申请与审核、审核与审批、审批与执行等不相容岗位相互分离。加强对临床科室诊疗活动的监督检查，严格控制不合理检查、不合理用药的行为；诊疗活动的收费应当与物价项目内涵和医保政策相符合；建立与医保部门、物价部门沟通协调机制，定期分析诊疗服务过程中存在的执行医保、物价政策风险，对存在的问题及时组织整改。医院设置行风管理岗位，定期检查临床科室和医务人员在药品、医用耗材、医疗设备引进过程中的行为规范以及各临床科室是否严格执行本部门的申请机制，建立与纪检监察部门的协调联动机制，严厉查处药品耗材设备购销领域的商业贿赂行为。医院建立与医疗业务相关的委员会制度，明确委员会的组织构成和运行机制，加强对药品、医用耗材、医疗设备引进的专业评估和审查，各临床科室应当建立本部门药品、医用耗材、医疗设备引进的内部申请和决策机制。</w:t>
      </w:r>
    </w:p>
    <w:p>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lang w:val="en-US" w:eastAsia="zh-CN"/>
        </w:rPr>
        <w:t>2.</w:t>
      </w:r>
      <w:r>
        <w:rPr>
          <w:rFonts w:hint="eastAsia" w:ascii="宋体" w:hAnsi="宋体" w:eastAsia="宋体"/>
          <w:color w:val="auto"/>
          <w:sz w:val="24"/>
          <w:szCs w:val="24"/>
        </w:rPr>
        <w:t>科研业务管理。医院建立健全科研项目管理制度。明确科研项目组织部门、财务部门、审计部门、采购部门、资产部门等内部相关部门在科研管理中的职责权限。合理设置科研项目管理岗位，明确岗位职责权限。优化科研项目申请、立项、执行、结题验收、成果保护与转化的工作流程、业务规范，建立沟通配合机制，加强科研项目研究过程管理和资金支付、调整、结余管理，鼓励科研项目成果转化与应用。建立横向课题和临床试验项目立项审批和审查制度，加强经费使用管理。</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lang w:val="en-US" w:eastAsia="zh-CN"/>
        </w:rPr>
        <w:t>3</w:t>
      </w:r>
      <w:r>
        <w:rPr>
          <w:rFonts w:ascii="宋体" w:hAnsi="宋体" w:eastAsia="宋体"/>
          <w:color w:val="auto"/>
          <w:sz w:val="24"/>
          <w:szCs w:val="24"/>
        </w:rPr>
        <w:t>.</w:t>
      </w:r>
      <w:r>
        <w:rPr>
          <w:rFonts w:hint="eastAsia" w:ascii="宋体" w:hAnsi="宋体" w:eastAsia="宋体"/>
          <w:color w:val="auto"/>
          <w:sz w:val="24"/>
          <w:szCs w:val="24"/>
        </w:rPr>
        <w:t>教学业务管理。医院建立健全教学业务管理制度。明确教学业务管理部门、财务部门、审计部门、采购部门、资产部门等内部相关部门在教学管理中的职责权限。合理设置教学业务管理岗位，明确岗位职责权限。优化教学业务管理的工作流程、工作规范，建立部门间沟通配合机制。按批复预算使用教学资金，专款专用，加强教学经费使用管理。</w:t>
      </w:r>
      <w:r>
        <w:rPr>
          <w:rFonts w:ascii="宋体" w:hAnsi="宋体" w:eastAsia="宋体"/>
          <w:color w:val="auto"/>
          <w:sz w:val="24"/>
          <w:szCs w:val="24"/>
        </w:rPr>
        <w:t xml:space="preserve">  </w:t>
      </w:r>
    </w:p>
    <w:p>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lang w:val="en-US" w:eastAsia="zh-CN"/>
        </w:rPr>
        <w:t>4</w:t>
      </w:r>
      <w:r>
        <w:rPr>
          <w:rFonts w:ascii="宋体" w:hAnsi="宋体" w:eastAsia="宋体"/>
          <w:color w:val="auto"/>
          <w:sz w:val="24"/>
          <w:szCs w:val="24"/>
        </w:rPr>
        <w:t>.</w:t>
      </w:r>
      <w:r>
        <w:rPr>
          <w:rFonts w:hint="eastAsia" w:ascii="宋体" w:hAnsi="宋体" w:eastAsia="宋体"/>
          <w:color w:val="auto"/>
          <w:sz w:val="24"/>
          <w:szCs w:val="24"/>
        </w:rPr>
        <w:t>互联网医疗业务管理。建立健全互联网诊疗服务与收费的相关管理制度，严格诊疗行为和费用监管。明确临床科室、医务部门、信息部门、医保部门、财务部门、审计部门等内部相关部门在互联网医疗业务管理工作中的职责权限。建立互联网医疗业务的工作流程、业务规范、沟通配合机制，对互联网医疗业务管理的关键环节实行重点管控。</w:t>
      </w:r>
    </w:p>
    <w:p>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lang w:val="en-US" w:eastAsia="zh-CN"/>
        </w:rPr>
        <w:t>5</w:t>
      </w:r>
      <w:r>
        <w:rPr>
          <w:rFonts w:ascii="宋体" w:hAnsi="宋体" w:eastAsia="宋体"/>
          <w:color w:val="auto"/>
          <w:sz w:val="24"/>
          <w:szCs w:val="24"/>
        </w:rPr>
        <w:t>.</w:t>
      </w:r>
      <w:r>
        <w:rPr>
          <w:rFonts w:hint="eastAsia" w:ascii="宋体" w:hAnsi="宋体" w:eastAsia="宋体"/>
          <w:color w:val="auto"/>
          <w:sz w:val="24"/>
          <w:szCs w:val="24"/>
        </w:rPr>
        <w:t>医联体业务管理。医联体牵头医院负责建立医联体议事决策机制、工作机制、审核机制、监督机制；建立健全医联体相关工作管理制度，涵盖医联体诊疗服务与收费，资源与信息共享，绩效与利益分配等内容。各成员单位要明确医联体相关业务的归口管理部门及其职责权限。建立风险评估机制，确保法律法规、规章制度及医联体经营管理政策的贯彻执行，促进医联体平稳运行和健康发展。</w:t>
      </w:r>
    </w:p>
    <w:p>
      <w:pPr>
        <w:spacing w:line="360" w:lineRule="auto"/>
        <w:ind w:firstLine="480" w:firstLineChars="200"/>
        <w:rPr>
          <w:rFonts w:hint="eastAsia" w:ascii="宋体" w:hAnsi="宋体" w:eastAsia="宋体"/>
          <w:color w:val="auto"/>
          <w:sz w:val="24"/>
          <w:szCs w:val="24"/>
        </w:rPr>
      </w:pPr>
      <w:bookmarkStart w:id="0" w:name="_GoBack"/>
      <w:bookmarkEnd w:id="0"/>
      <w:r>
        <w:rPr>
          <w:rFonts w:hint="eastAsia" w:ascii="宋体" w:hAnsi="宋体" w:eastAsia="宋体"/>
          <w:color w:val="auto"/>
          <w:sz w:val="24"/>
          <w:szCs w:val="24"/>
          <w:lang w:val="en-US" w:eastAsia="zh-CN"/>
        </w:rPr>
        <w:t>6</w:t>
      </w:r>
      <w:r>
        <w:rPr>
          <w:rFonts w:ascii="宋体" w:hAnsi="宋体" w:eastAsia="宋体"/>
          <w:color w:val="auto"/>
          <w:sz w:val="24"/>
          <w:szCs w:val="24"/>
        </w:rPr>
        <w:t>.</w:t>
      </w:r>
      <w:r>
        <w:rPr>
          <w:rFonts w:hint="eastAsia" w:ascii="宋体" w:hAnsi="宋体" w:eastAsia="宋体"/>
          <w:color w:val="auto"/>
          <w:sz w:val="24"/>
          <w:szCs w:val="24"/>
        </w:rPr>
        <w:t>信息化建设业务管理。医院建立健全信息化建设管理制度。明确归口管理部门和信息系统建设项目牵头部门，建立相互合作与制约的工作机制。合理设置信息系统建设管理岗位，明确其职责权限。医院应当根据事业发展战略和业务活动需要，编制中长期信息化建设规划以及年度工作计划。建立信息数据质量管理制度。信息归口管理部门应当落实信息化建设相关标准规范，制定数据共享与交互的规则和标准。各信息系统应当按照统一标准建设，能够完整反映业务制度规定的活动控制流程。加强内部控制信息系统的安全管理，建立用户管理制度、系统数据定期备份制度、信息系统安全保密和泄密责任追究制度等措施，确保重要信息系统安全、可靠，增强信息安全保障能力。</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四、其他要求</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1.具备良好的咨询服务经验和行业口碑，有事业单位内部控制体系设计、咨询、建设等服务经历，熟悉医疗行业经营业务。</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2.有能够满足建设事业单位内部控制体系的专业人员以及应具备的专业能力，能够派专职人员进驻我院开展工作。</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3.具有良好的售后服务体系，能提供后续技术支持。</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lang w:val="en-US" w:eastAsia="zh-CN"/>
        </w:rPr>
        <w:t>4</w:t>
      </w:r>
      <w:r>
        <w:rPr>
          <w:rFonts w:hint="eastAsia" w:ascii="宋体" w:hAnsi="宋体" w:eastAsia="宋体"/>
          <w:color w:val="auto"/>
          <w:sz w:val="24"/>
          <w:szCs w:val="24"/>
        </w:rPr>
        <w:t>.具备良好的咨询服务历史经验，可提供医院内控工作成功案例。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CA"/>
    <w:rsid w:val="0000594F"/>
    <w:rsid w:val="000D4E2A"/>
    <w:rsid w:val="0016346F"/>
    <w:rsid w:val="001B167A"/>
    <w:rsid w:val="001D435C"/>
    <w:rsid w:val="002518AD"/>
    <w:rsid w:val="00302B16"/>
    <w:rsid w:val="00306BE8"/>
    <w:rsid w:val="00386926"/>
    <w:rsid w:val="00427980"/>
    <w:rsid w:val="0047596A"/>
    <w:rsid w:val="00491A32"/>
    <w:rsid w:val="00545365"/>
    <w:rsid w:val="005A546C"/>
    <w:rsid w:val="005C087B"/>
    <w:rsid w:val="006272CA"/>
    <w:rsid w:val="00643490"/>
    <w:rsid w:val="00686A3E"/>
    <w:rsid w:val="006F59A7"/>
    <w:rsid w:val="00711CA9"/>
    <w:rsid w:val="00832861"/>
    <w:rsid w:val="008502DB"/>
    <w:rsid w:val="008B0598"/>
    <w:rsid w:val="008D5B1A"/>
    <w:rsid w:val="00903DB8"/>
    <w:rsid w:val="0092413F"/>
    <w:rsid w:val="009555A1"/>
    <w:rsid w:val="0097416F"/>
    <w:rsid w:val="009B3EB3"/>
    <w:rsid w:val="009E10D2"/>
    <w:rsid w:val="009E145E"/>
    <w:rsid w:val="00A2050F"/>
    <w:rsid w:val="00A7793C"/>
    <w:rsid w:val="00B46D2A"/>
    <w:rsid w:val="00B5577D"/>
    <w:rsid w:val="00B62F41"/>
    <w:rsid w:val="00BC20B8"/>
    <w:rsid w:val="00C6265F"/>
    <w:rsid w:val="00C70F97"/>
    <w:rsid w:val="00CC51B3"/>
    <w:rsid w:val="00CF490C"/>
    <w:rsid w:val="00D325A3"/>
    <w:rsid w:val="00DF5E9C"/>
    <w:rsid w:val="00E02C8C"/>
    <w:rsid w:val="00E31AE4"/>
    <w:rsid w:val="00E570B4"/>
    <w:rsid w:val="00E620D4"/>
    <w:rsid w:val="00E8566C"/>
    <w:rsid w:val="00F37CB4"/>
    <w:rsid w:val="00F91665"/>
    <w:rsid w:val="28A57153"/>
    <w:rsid w:val="7F9877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730D92-F3A6-4B1B-A596-9EABC24CCC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461</Words>
  <Characters>2633</Characters>
  <Lines>21</Lines>
  <Paragraphs>6</Paragraphs>
  <TotalTime>8</TotalTime>
  <ScaleCrop>false</ScaleCrop>
  <LinksUpToDate>false</LinksUpToDate>
  <CharactersWithSpaces>3088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2021-03-09T10:27:00Z</dcterms:created>
  <dc:creator>nng</dc:creator>
  <cp:lastModifiedBy>陈婧</cp:lastModifiedBy>
  <dcterms:modified xsi:type="dcterms:W3CDTF">2021-07-22T07:19:39Z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948AA808B77D441CB4FD46444D8BC9F1</vt:lpwstr>
  </property>
</Properties>
</file>