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eastAsia="方正小标宋简体"/>
          <w:sz w:val="44"/>
          <w:szCs w:val="44"/>
        </w:rPr>
      </w:pPr>
    </w:p>
    <w:p>
      <w:pPr>
        <w:ind w:firstLine="0" w:firstLineChars="0"/>
        <w:jc w:val="center"/>
        <w:rPr>
          <w:rFonts w:ascii="方正小标宋简体" w:eastAsia="方正小标宋简体"/>
          <w:sz w:val="44"/>
          <w:szCs w:val="44"/>
        </w:rPr>
      </w:pPr>
    </w:p>
    <w:p>
      <w:pPr>
        <w:ind w:firstLine="0" w:firstLineChars="0"/>
        <w:jc w:val="center"/>
        <w:rPr>
          <w:rFonts w:ascii="方正小标宋简体" w:eastAsia="方正小标宋简体"/>
          <w:sz w:val="44"/>
          <w:szCs w:val="44"/>
        </w:rPr>
      </w:pPr>
    </w:p>
    <w:p>
      <w:pPr>
        <w:spacing w:line="600"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广西人类辅助生殖技术信息管理系统</w:t>
      </w:r>
    </w:p>
    <w:p>
      <w:pPr>
        <w:spacing w:line="600"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开发采购项目需求</w:t>
      </w:r>
    </w:p>
    <w:p>
      <w:pPr>
        <w:ind w:firstLine="560"/>
      </w:pPr>
    </w:p>
    <w:p>
      <w:pPr>
        <w:ind w:firstLine="560"/>
      </w:pPr>
    </w:p>
    <w:p>
      <w:pPr>
        <w:ind w:firstLine="560"/>
      </w:pPr>
    </w:p>
    <w:p>
      <w:pPr>
        <w:jc w:val="both"/>
      </w:pPr>
      <w:r>
        <w:rPr>
          <w:rFonts w:hint="eastAsia" w:ascii="宋体" w:hAnsi="宋体" w:cs="宋体"/>
          <w:sz w:val="24"/>
        </w:rPr>
        <w:br w:type="page"/>
      </w:r>
    </w:p>
    <w:p>
      <w:pPr>
        <w:ind w:firstLine="560"/>
      </w:pPr>
    </w:p>
    <w:p>
      <w:pPr>
        <w:ind w:firstLine="560"/>
      </w:pPr>
      <w:r>
        <w:rPr>
          <w:rFonts w:hint="eastAsia"/>
        </w:rPr>
        <w:t>“ 广西人类辅助生殖技术信息管理系统 ”具体技术</w:t>
      </w:r>
      <w:r>
        <w:t>要求如下：</w:t>
      </w:r>
    </w:p>
    <w:p>
      <w:pPr>
        <w:pStyle w:val="4"/>
        <w:ind w:firstLine="560"/>
      </w:pPr>
      <w:bookmarkStart w:id="0" w:name="_Toc104116490"/>
      <w:bookmarkStart w:id="1" w:name="_Toc26521"/>
      <w:bookmarkStart w:id="2" w:name="_Toc29562"/>
      <w:bookmarkStart w:id="3" w:name="_Toc5715"/>
      <w:r>
        <w:rPr>
          <w:rFonts w:hint="eastAsia"/>
        </w:rPr>
        <w:t>3.1 开发网络直报录入界面</w:t>
      </w:r>
      <w:bookmarkEnd w:id="0"/>
      <w:bookmarkEnd w:id="1"/>
      <w:bookmarkEnd w:id="2"/>
      <w:bookmarkEnd w:id="3"/>
      <w:bookmarkStart w:id="4" w:name="_Hlk97909934"/>
    </w:p>
    <w:p>
      <w:pPr>
        <w:ind w:firstLine="560"/>
      </w:pPr>
      <w:r>
        <w:rPr>
          <w:rFonts w:hint="eastAsia"/>
        </w:rPr>
        <w:t>通过网络直报的形式，</w:t>
      </w:r>
      <w:bookmarkEnd w:id="4"/>
      <w:bookmarkStart w:id="5" w:name="_Hlk97909944"/>
      <w:r>
        <w:rPr>
          <w:rFonts w:hint="eastAsia"/>
        </w:rPr>
        <w:t>对全区辅助生殖机构开展数据收集、整理、分析、上报以及相关信息管理和质控等工作</w:t>
      </w:r>
      <w:bookmarkEnd w:id="5"/>
      <w:r>
        <w:rPr>
          <w:rFonts w:hint="eastAsia"/>
        </w:rPr>
        <w:t>，建立全区人类辅助生殖技术信息数据库，实现数据集中管理和质量控制。各辅助生殖机构于</w:t>
      </w:r>
      <w:r>
        <w:t>4月15日、7月15日、10月15日、1月15日前完成上季度信息报送。</w:t>
      </w:r>
      <w:r>
        <w:rPr>
          <w:rFonts w:hint="eastAsia"/>
        </w:rPr>
        <w:t>报送信息包含国家、自治区卫生健康委的报表要求，内容包含生殖中心基本信息、精子库基本信息、人类辅助生殖各项技术（</w:t>
      </w:r>
      <w:r>
        <w:t>AIH、AID、IVF、ICSI、FET、PGT、卵子冻融等）开展情况、人类精子库开展情况、并发症情况等内容，共13张</w:t>
      </w:r>
      <w:r>
        <w:rPr>
          <w:rFonts w:hint="eastAsia"/>
        </w:rPr>
        <w:t>。</w:t>
      </w:r>
      <w:r>
        <w:t>录入报表样式详见附件1。</w:t>
      </w:r>
    </w:p>
    <w:p>
      <w:pPr>
        <w:ind w:firstLine="560"/>
      </w:pPr>
      <w:r>
        <w:rPr>
          <w:rFonts w:hint="eastAsia"/>
        </w:rPr>
        <w:t>表</w:t>
      </w:r>
      <w:r>
        <w:t>GXSZ-101：生殖中心基本信息</w:t>
      </w:r>
    </w:p>
    <w:p>
      <w:pPr>
        <w:ind w:firstLine="560"/>
      </w:pPr>
      <w:r>
        <w:rPr>
          <w:rFonts w:hint="eastAsia"/>
        </w:rPr>
        <w:t>表</w:t>
      </w:r>
      <w:r>
        <w:t>GXSZ-102：人类精子库基本信息</w:t>
      </w:r>
    </w:p>
    <w:p>
      <w:pPr>
        <w:ind w:firstLine="560"/>
      </w:pPr>
      <w:r>
        <w:rPr>
          <w:rFonts w:hint="eastAsia"/>
        </w:rPr>
        <w:t>表</w:t>
      </w:r>
      <w:r>
        <w:t>GXSZ-201：广西人类辅助生殖技术报表（AID）</w:t>
      </w:r>
    </w:p>
    <w:p>
      <w:pPr>
        <w:ind w:firstLine="560"/>
      </w:pPr>
      <w:r>
        <w:rPr>
          <w:rFonts w:hint="eastAsia"/>
        </w:rPr>
        <w:t>表</w:t>
      </w:r>
      <w:r>
        <w:t>GXSZ-202：广西人类辅助生殖技术报表（AIH）</w:t>
      </w:r>
    </w:p>
    <w:p>
      <w:pPr>
        <w:ind w:firstLine="560"/>
      </w:pPr>
      <w:r>
        <w:rPr>
          <w:rFonts w:hint="eastAsia"/>
        </w:rPr>
        <w:t>表</w:t>
      </w:r>
      <w:r>
        <w:t>GXSZ-203：广西人类辅助生殖技术报表（IVF）</w:t>
      </w:r>
    </w:p>
    <w:p>
      <w:pPr>
        <w:ind w:firstLine="560"/>
      </w:pPr>
      <w:r>
        <w:rPr>
          <w:rFonts w:hint="eastAsia"/>
        </w:rPr>
        <w:t>表</w:t>
      </w:r>
      <w:r>
        <w:t>GXSZ-204：广西人类辅助生殖技术报表（ICSI）</w:t>
      </w:r>
    </w:p>
    <w:p>
      <w:pPr>
        <w:ind w:firstLine="560"/>
      </w:pPr>
      <w:r>
        <w:rPr>
          <w:rFonts w:hint="eastAsia"/>
        </w:rPr>
        <w:t>表</w:t>
      </w:r>
      <w:r>
        <w:t>GXSZ-205：广西人类辅助生殖技术报表（FET）</w:t>
      </w:r>
    </w:p>
    <w:p>
      <w:pPr>
        <w:ind w:firstLine="560"/>
      </w:pPr>
      <w:r>
        <w:rPr>
          <w:rFonts w:hint="eastAsia"/>
        </w:rPr>
        <w:t>表</w:t>
      </w:r>
      <w:r>
        <w:t>GXSZ-206：广西人类辅助生殖技术报表（PGT）</w:t>
      </w:r>
    </w:p>
    <w:p>
      <w:pPr>
        <w:ind w:firstLine="560"/>
      </w:pPr>
      <w:r>
        <w:rPr>
          <w:rFonts w:hint="eastAsia"/>
        </w:rPr>
        <w:t>表</w:t>
      </w:r>
      <w:r>
        <w:t>GXSZ-207：广西人类辅助生殖技术报表（卵子冻融）</w:t>
      </w:r>
    </w:p>
    <w:p>
      <w:pPr>
        <w:ind w:firstLine="560"/>
      </w:pPr>
      <w:r>
        <w:rPr>
          <w:rFonts w:hint="eastAsia"/>
        </w:rPr>
        <w:t>表</w:t>
      </w:r>
      <w:r>
        <w:t>GXSZ-208：广西人类辅助生殖技术报表（授卵）</w:t>
      </w:r>
    </w:p>
    <w:p>
      <w:pPr>
        <w:ind w:firstLine="560"/>
      </w:pPr>
      <w:r>
        <w:rPr>
          <w:rFonts w:hint="eastAsia"/>
        </w:rPr>
        <w:t>表</w:t>
      </w:r>
      <w:r>
        <w:t>GXSZ-209：广西人类辅助生殖技术并发症发生情况</w:t>
      </w:r>
    </w:p>
    <w:p>
      <w:pPr>
        <w:ind w:firstLine="560"/>
      </w:pPr>
      <w:r>
        <w:rPr>
          <w:rFonts w:hint="eastAsia"/>
        </w:rPr>
        <w:t>表</w:t>
      </w:r>
      <w:r>
        <w:t>GXSZ-210：广西人类辅助生殖实验室技术情况</w:t>
      </w:r>
    </w:p>
    <w:p>
      <w:pPr>
        <w:ind w:firstLine="560"/>
      </w:pPr>
      <w:r>
        <w:rPr>
          <w:rFonts w:hint="eastAsia"/>
        </w:rPr>
        <w:t>表</w:t>
      </w:r>
      <w:r>
        <w:t>GXSZ-301：广西人类精子库技术报表</w:t>
      </w:r>
    </w:p>
    <w:p>
      <w:pPr>
        <w:pStyle w:val="4"/>
        <w:ind w:firstLine="560"/>
      </w:pPr>
      <w:bookmarkStart w:id="6" w:name="_Toc14735"/>
      <w:bookmarkStart w:id="7" w:name="_Toc104116491"/>
      <w:bookmarkStart w:id="8" w:name="_Toc27764"/>
      <w:bookmarkStart w:id="9" w:name="_Toc22544"/>
      <w:r>
        <w:rPr>
          <w:rFonts w:hint="eastAsia"/>
        </w:rPr>
        <w:t>3.2 生成报表和导出数据</w:t>
      </w:r>
      <w:bookmarkEnd w:id="6"/>
      <w:bookmarkEnd w:id="7"/>
      <w:bookmarkEnd w:id="8"/>
      <w:bookmarkEnd w:id="9"/>
    </w:p>
    <w:p>
      <w:pPr>
        <w:ind w:firstLine="560"/>
      </w:pPr>
      <w:r>
        <w:rPr>
          <w:rFonts w:hint="eastAsia"/>
        </w:rPr>
        <w:t>3.2.1生成录入报表。根据录入的内容在信息系统生成报表查看界面，同时可导出</w:t>
      </w:r>
      <w:r>
        <w:t>excel格式</w:t>
      </w:r>
      <w:r>
        <w:rPr>
          <w:rFonts w:hint="eastAsia"/>
        </w:rPr>
        <w:t>报表</w:t>
      </w:r>
      <w:r>
        <w:t>。</w:t>
      </w:r>
    </w:p>
    <w:p>
      <w:pPr>
        <w:ind w:firstLine="560"/>
      </w:pPr>
      <w:r>
        <w:rPr>
          <w:rFonts w:hint="eastAsia"/>
        </w:rPr>
        <w:t>3.2.2生成质控报表。信息系统能实现信息收集、线上质控、线上反馈功能，根据录入的内容生成质控报表（附件</w:t>
      </w:r>
      <w:r>
        <w:t>2</w:t>
      </w:r>
      <w:r>
        <w:rPr>
          <w:rFonts w:hint="eastAsia"/>
        </w:rPr>
        <w:t>）</w:t>
      </w:r>
      <w:r>
        <w:t>，</w:t>
      </w:r>
      <w:r>
        <w:rPr>
          <w:rFonts w:hint="eastAsia"/>
        </w:rPr>
        <w:t>同时可导出</w:t>
      </w:r>
      <w:r>
        <w:t>excel格式</w:t>
      </w:r>
      <w:r>
        <w:rPr>
          <w:rFonts w:hint="eastAsia"/>
        </w:rPr>
        <w:t>报表。</w:t>
      </w:r>
    </w:p>
    <w:p>
      <w:pPr>
        <w:ind w:firstLine="560"/>
      </w:pPr>
      <w:r>
        <w:rPr>
          <w:rFonts w:hint="eastAsia"/>
        </w:rPr>
        <w:t>3.2.3导出国家报表。信息系统可按照国家卫生健康委的报表样式导出</w:t>
      </w:r>
      <w:r>
        <w:t>excel格式报表</w:t>
      </w:r>
      <w:r>
        <w:rPr>
          <w:rFonts w:hint="eastAsia"/>
        </w:rPr>
        <w:t>（附件3、</w:t>
      </w:r>
      <w:r>
        <w:t>4</w:t>
      </w:r>
      <w:r>
        <w:rPr>
          <w:rFonts w:hint="eastAsia"/>
        </w:rPr>
        <w:t>）</w:t>
      </w:r>
      <w:r>
        <w:t>，各辅助生殖机构可将导出的报表自行上传至国家辅助生殖技术管理信息系统，以确保自治区和国家数据的一致性，减少数据上报的重复工作，减轻工作量。</w:t>
      </w:r>
    </w:p>
    <w:p>
      <w:pPr>
        <w:ind w:firstLine="560"/>
      </w:pPr>
      <w:r>
        <w:rPr>
          <w:rFonts w:hint="eastAsia"/>
        </w:rPr>
        <w:t>3.2.4导出自治区报表。信息系统可按照自治区卫生健康委的报表样式（附件</w:t>
      </w:r>
      <w:r>
        <w:t>5</w:t>
      </w:r>
      <w:r>
        <w:rPr>
          <w:rFonts w:hint="eastAsia"/>
        </w:rPr>
        <w:t>）导出</w:t>
      </w:r>
      <w:r>
        <w:t>excel格式报表。</w:t>
      </w:r>
    </w:p>
    <w:p>
      <w:pPr>
        <w:pStyle w:val="4"/>
        <w:ind w:firstLine="560"/>
      </w:pPr>
      <w:bookmarkStart w:id="10" w:name="_Toc15823"/>
      <w:bookmarkStart w:id="11" w:name="_Toc11789"/>
      <w:bookmarkStart w:id="12" w:name="_Toc17291"/>
      <w:bookmarkStart w:id="13" w:name="_Toc104116492"/>
      <w:r>
        <w:rPr>
          <w:rFonts w:hint="eastAsia"/>
        </w:rPr>
        <w:t>3.3 严格系统权限管理</w:t>
      </w:r>
      <w:bookmarkEnd w:id="10"/>
      <w:bookmarkEnd w:id="11"/>
      <w:bookmarkEnd w:id="12"/>
      <w:bookmarkEnd w:id="13"/>
    </w:p>
    <w:p>
      <w:pPr>
        <w:ind w:firstLine="560"/>
      </w:pPr>
      <w:r>
        <w:rPr>
          <w:rFonts w:hint="eastAsia"/>
        </w:rPr>
        <w:t>系统信息设自治区管理员、单位管理员、单位录入员账号。自治区管理员账号可统计、查看、驳回全区各辅助生殖机构数据，管理和分配全区辅助生殖机构账号；单位管理员账号可查看、录入、修改、导出本单位数据；单位录入账号可录入数据，修改和查看本账号录入的数据。</w:t>
      </w:r>
    </w:p>
    <w:p>
      <w:pPr>
        <w:spacing w:line="360" w:lineRule="auto"/>
        <w:ind w:firstLine="480"/>
        <w:jc w:val="left"/>
        <w:rPr>
          <w:rFonts w:ascii="宋体" w:hAnsi="宋体" w:eastAsia="宋体" w:cs="宋体"/>
          <w:sz w:val="24"/>
        </w:rPr>
      </w:pPr>
    </w:p>
    <w:p>
      <w:pPr>
        <w:ind w:firstLine="560"/>
      </w:pPr>
      <w:bookmarkStart w:id="14" w:name="_Toc8696"/>
      <w:r>
        <w:rPr>
          <w:rFonts w:hint="eastAsia"/>
        </w:rPr>
        <w:t>附件</w:t>
      </w:r>
      <w:r>
        <w:t>：1.录入报表样式</w:t>
      </w:r>
    </w:p>
    <w:p>
      <w:pPr>
        <w:ind w:firstLine="1400" w:firstLineChars="500"/>
      </w:pPr>
      <w:r>
        <w:t>2.质控报表样式</w:t>
      </w:r>
    </w:p>
    <w:p>
      <w:pPr>
        <w:ind w:firstLine="1400" w:firstLineChars="500"/>
      </w:pPr>
      <w:r>
        <w:rPr>
          <w:rFonts w:hint="eastAsia"/>
        </w:rPr>
        <w:t>3</w:t>
      </w:r>
      <w:r>
        <w:t>.</w:t>
      </w:r>
      <w:r>
        <w:rPr>
          <w:rFonts w:hint="eastAsia"/>
        </w:rPr>
        <w:t>国家人类辅助生殖技术服务情况调查表</w:t>
      </w:r>
    </w:p>
    <w:p>
      <w:pPr>
        <w:ind w:firstLine="1400" w:firstLineChars="500"/>
      </w:pPr>
      <w:r>
        <w:rPr>
          <w:rFonts w:hint="eastAsia"/>
        </w:rPr>
        <w:t>4</w:t>
      </w:r>
      <w:r>
        <w:t>.</w:t>
      </w:r>
      <w:r>
        <w:rPr>
          <w:rFonts w:hint="eastAsia"/>
        </w:rPr>
        <w:t>国家</w:t>
      </w:r>
      <w:r>
        <w:t>人类精子库服务情况调查表</w:t>
      </w:r>
    </w:p>
    <w:p>
      <w:pPr>
        <w:ind w:firstLine="1400" w:firstLineChars="500"/>
      </w:pPr>
      <w:r>
        <w:t>5.</w:t>
      </w:r>
      <w:r>
        <w:rPr>
          <w:rFonts w:hint="eastAsia"/>
        </w:rPr>
        <w:t>自治区人类辅助生殖技术统计报表</w:t>
      </w:r>
      <w:bookmarkEnd w:id="14"/>
      <w:bookmarkStart w:id="15" w:name="_GoBack"/>
      <w:bookmarkEnd w:id="15"/>
    </w:p>
    <w:p>
      <w:pPr>
        <w:ind w:firstLine="56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hZjRmM2RiOGMxMWQ2NTNiOWQ1ZGFlOGZmZDhkNGMifQ=="/>
  </w:docVars>
  <w:rsids>
    <w:rsidRoot w:val="00E30444"/>
    <w:rsid w:val="000C2B98"/>
    <w:rsid w:val="000E098E"/>
    <w:rsid w:val="00185F14"/>
    <w:rsid w:val="001927A0"/>
    <w:rsid w:val="0029642D"/>
    <w:rsid w:val="002B6CC5"/>
    <w:rsid w:val="0031379E"/>
    <w:rsid w:val="005046F7"/>
    <w:rsid w:val="005361B4"/>
    <w:rsid w:val="005819C2"/>
    <w:rsid w:val="005833F3"/>
    <w:rsid w:val="005A5ECD"/>
    <w:rsid w:val="00660A9C"/>
    <w:rsid w:val="006746DF"/>
    <w:rsid w:val="006A71F1"/>
    <w:rsid w:val="00763056"/>
    <w:rsid w:val="00927E0A"/>
    <w:rsid w:val="00946762"/>
    <w:rsid w:val="00A02814"/>
    <w:rsid w:val="00AF256B"/>
    <w:rsid w:val="00B87BD9"/>
    <w:rsid w:val="00C85B11"/>
    <w:rsid w:val="00CA653C"/>
    <w:rsid w:val="00CE28BD"/>
    <w:rsid w:val="00CF5AB6"/>
    <w:rsid w:val="00D14DE5"/>
    <w:rsid w:val="00E1719A"/>
    <w:rsid w:val="00E30444"/>
    <w:rsid w:val="00F30B2B"/>
    <w:rsid w:val="00FA466D"/>
    <w:rsid w:val="2641343C"/>
    <w:rsid w:val="7BDFE4A8"/>
    <w:rsid w:val="7FEEF15A"/>
    <w:rsid w:val="87EF85E9"/>
    <w:rsid w:val="BB6F4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200" w:firstLineChars="200"/>
      <w:jc w:val="both"/>
    </w:pPr>
    <w:rPr>
      <w:rFonts w:ascii="仿宋_GB2312" w:hAnsi="Calibri" w:eastAsia="仿宋_GB2312" w:cs="Times New Roman"/>
      <w:kern w:val="2"/>
      <w:sz w:val="28"/>
      <w:szCs w:val="24"/>
      <w:lang w:val="en-US" w:eastAsia="zh-CN" w:bidi="ar-SA"/>
    </w:rPr>
  </w:style>
  <w:style w:type="paragraph" w:styleId="3">
    <w:name w:val="heading 1"/>
    <w:basedOn w:val="1"/>
    <w:next w:val="1"/>
    <w:link w:val="17"/>
    <w:qFormat/>
    <w:uiPriority w:val="0"/>
    <w:pPr>
      <w:keepNext/>
      <w:keepLines/>
      <w:ind w:firstLine="0" w:firstLineChars="0"/>
      <w:jc w:val="center"/>
      <w:outlineLvl w:val="0"/>
    </w:pPr>
    <w:rPr>
      <w:rFonts w:eastAsia="黑体" w:asciiTheme="minorHAnsi" w:hAnsiTheme="minorHAnsi" w:cstheme="minorBidi"/>
      <w:bCs/>
      <w:kern w:val="44"/>
      <w:szCs w:val="44"/>
    </w:rPr>
  </w:style>
  <w:style w:type="paragraph" w:styleId="4">
    <w:name w:val="heading 2"/>
    <w:basedOn w:val="1"/>
    <w:next w:val="1"/>
    <w:link w:val="22"/>
    <w:qFormat/>
    <w:uiPriority w:val="0"/>
    <w:pPr>
      <w:keepNext/>
      <w:keepLines/>
      <w:spacing w:before="20" w:after="20"/>
      <w:outlineLvl w:val="1"/>
    </w:pPr>
    <w:rPr>
      <w:rFonts w:ascii="Arial" w:hAnsi="Arial"/>
    </w:rPr>
  </w:style>
  <w:style w:type="paragraph" w:styleId="5">
    <w:name w:val="heading 3"/>
    <w:basedOn w:val="1"/>
    <w:next w:val="1"/>
    <w:link w:val="25"/>
    <w:unhideWhenUsed/>
    <w:qFormat/>
    <w:uiPriority w:val="9"/>
    <w:pPr>
      <w:keepNext/>
      <w:keepLines/>
      <w:spacing w:before="260" w:after="260" w:line="416" w:lineRule="atLeast"/>
      <w:outlineLvl w:val="2"/>
    </w:pPr>
    <w:rPr>
      <w:b/>
      <w:bCs/>
      <w:sz w:val="32"/>
      <w:szCs w:val="32"/>
    </w:rPr>
  </w:style>
  <w:style w:type="paragraph" w:styleId="2">
    <w:name w:val="heading 4"/>
    <w:basedOn w:val="1"/>
    <w:next w:val="1"/>
    <w:link w:val="23"/>
    <w:qFormat/>
    <w:uiPriority w:val="0"/>
    <w:pPr>
      <w:keepNext/>
      <w:keepLines/>
      <w:spacing w:before="280" w:after="290" w:line="376" w:lineRule="auto"/>
      <w:outlineLvl w:val="3"/>
    </w:pPr>
    <w:rPr>
      <w:rFonts w:ascii="Cambria" w:hAnsi="Cambria"/>
      <w:b/>
      <w:bCs/>
      <w:szCs w:val="28"/>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6">
    <w:name w:val="Body Text"/>
    <w:basedOn w:val="1"/>
    <w:link w:val="24"/>
    <w:qFormat/>
    <w:uiPriority w:val="0"/>
    <w:rPr>
      <w:rFonts w:ascii="Times New Roman"/>
    </w:rPr>
  </w:style>
  <w:style w:type="paragraph" w:styleId="7">
    <w:name w:val="footer"/>
    <w:basedOn w:val="1"/>
    <w:link w:val="21"/>
    <w:unhideWhenUsed/>
    <w:qFormat/>
    <w:uiPriority w:val="99"/>
    <w:pPr>
      <w:tabs>
        <w:tab w:val="center" w:pos="4153"/>
        <w:tab w:val="right" w:pos="8306"/>
      </w:tabs>
      <w:snapToGrid w:val="0"/>
      <w:spacing w:line="240" w:lineRule="atLeast"/>
      <w:jc w:val="left"/>
    </w:pPr>
    <w:rPr>
      <w:rFonts w:asciiTheme="minorHAnsi" w:hAnsiTheme="minorHAnsi" w:cstheme="minorBidi"/>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spacing w:line="240" w:lineRule="atLeast"/>
      <w:jc w:val="center"/>
    </w:pPr>
    <w:rPr>
      <w:rFonts w:asciiTheme="minorHAnsi" w:hAnsiTheme="minorHAnsi" w:cstheme="minorBidi"/>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table" w:styleId="12">
    <w:name w:val="Table Grid"/>
    <w:basedOn w:val="11"/>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paragraph" w:customStyle="1" w:styleId="15">
    <w:name w:val="标题1"/>
    <w:basedOn w:val="1"/>
    <w:link w:val="16"/>
    <w:qFormat/>
    <w:uiPriority w:val="0"/>
    <w:rPr>
      <w:rFonts w:eastAsia="黑体" w:asciiTheme="minorHAnsi" w:hAnsiTheme="minorHAnsi" w:cstheme="minorBidi"/>
      <w:szCs w:val="22"/>
    </w:rPr>
  </w:style>
  <w:style w:type="character" w:customStyle="1" w:styleId="16">
    <w:name w:val="标题1 字符"/>
    <w:basedOn w:val="13"/>
    <w:link w:val="15"/>
    <w:qFormat/>
    <w:uiPriority w:val="0"/>
    <w:rPr>
      <w:rFonts w:eastAsia="黑体"/>
      <w:sz w:val="32"/>
    </w:rPr>
  </w:style>
  <w:style w:type="character" w:customStyle="1" w:styleId="17">
    <w:name w:val="标题 1 字符"/>
    <w:basedOn w:val="13"/>
    <w:link w:val="3"/>
    <w:qFormat/>
    <w:uiPriority w:val="0"/>
    <w:rPr>
      <w:rFonts w:eastAsia="黑体"/>
      <w:bCs/>
      <w:kern w:val="44"/>
      <w:sz w:val="28"/>
      <w:szCs w:val="44"/>
    </w:rPr>
  </w:style>
  <w:style w:type="paragraph" w:customStyle="1" w:styleId="18">
    <w:name w:val="黑体三号标题"/>
    <w:basedOn w:val="1"/>
    <w:link w:val="19"/>
    <w:qFormat/>
    <w:uiPriority w:val="0"/>
    <w:rPr>
      <w:rFonts w:hAnsiTheme="minorHAnsi" w:cstheme="minorBidi"/>
      <w:b/>
      <w:bCs/>
      <w:szCs w:val="32"/>
    </w:rPr>
  </w:style>
  <w:style w:type="character" w:customStyle="1" w:styleId="19">
    <w:name w:val="黑体三号标题 字符"/>
    <w:basedOn w:val="13"/>
    <w:link w:val="18"/>
    <w:qFormat/>
    <w:uiPriority w:val="0"/>
    <w:rPr>
      <w:rFonts w:ascii="仿宋_GB2312" w:eastAsia="仿宋_GB2312"/>
      <w:b/>
      <w:bCs/>
      <w:sz w:val="32"/>
      <w:szCs w:val="32"/>
    </w:rPr>
  </w:style>
  <w:style w:type="character" w:customStyle="1" w:styleId="20">
    <w:name w:val="页眉 字符"/>
    <w:basedOn w:val="13"/>
    <w:link w:val="8"/>
    <w:qFormat/>
    <w:uiPriority w:val="99"/>
    <w:rPr>
      <w:rFonts w:eastAsia="仿宋_GB2312"/>
      <w:sz w:val="18"/>
      <w:szCs w:val="18"/>
    </w:rPr>
  </w:style>
  <w:style w:type="character" w:customStyle="1" w:styleId="21">
    <w:name w:val="页脚 字符"/>
    <w:basedOn w:val="13"/>
    <w:link w:val="7"/>
    <w:qFormat/>
    <w:uiPriority w:val="99"/>
    <w:rPr>
      <w:rFonts w:eastAsia="仿宋_GB2312"/>
      <w:sz w:val="18"/>
      <w:szCs w:val="18"/>
    </w:rPr>
  </w:style>
  <w:style w:type="character" w:customStyle="1" w:styleId="22">
    <w:name w:val="标题 2 字符"/>
    <w:basedOn w:val="13"/>
    <w:link w:val="4"/>
    <w:qFormat/>
    <w:uiPriority w:val="0"/>
    <w:rPr>
      <w:rFonts w:ascii="Arial" w:hAnsi="Arial" w:eastAsia="仿宋_GB2312" w:cs="Times New Roman"/>
      <w:sz w:val="28"/>
      <w:szCs w:val="24"/>
    </w:rPr>
  </w:style>
  <w:style w:type="character" w:customStyle="1" w:styleId="23">
    <w:name w:val="标题 4 字符"/>
    <w:basedOn w:val="13"/>
    <w:link w:val="2"/>
    <w:qFormat/>
    <w:uiPriority w:val="0"/>
    <w:rPr>
      <w:rFonts w:ascii="Cambria" w:hAnsi="Cambria" w:eastAsia="仿宋_GB2312" w:cs="Times New Roman"/>
      <w:b/>
      <w:bCs/>
      <w:sz w:val="28"/>
      <w:szCs w:val="28"/>
    </w:rPr>
  </w:style>
  <w:style w:type="character" w:customStyle="1" w:styleId="24">
    <w:name w:val="正文文本 字符"/>
    <w:basedOn w:val="13"/>
    <w:link w:val="6"/>
    <w:qFormat/>
    <w:uiPriority w:val="0"/>
    <w:rPr>
      <w:rFonts w:ascii="Times New Roman" w:hAnsi="Calibri" w:eastAsia="仿宋_GB2312" w:cs="Times New Roman"/>
      <w:sz w:val="32"/>
      <w:szCs w:val="24"/>
    </w:rPr>
  </w:style>
  <w:style w:type="character" w:customStyle="1" w:styleId="25">
    <w:name w:val="标题 3 字符"/>
    <w:basedOn w:val="13"/>
    <w:link w:val="5"/>
    <w:qFormat/>
    <w:uiPriority w:val="9"/>
    <w:rPr>
      <w:rFonts w:ascii="仿宋_GB2312" w:hAnsi="Calibri" w:eastAsia="仿宋_GB2312" w:cs="Times New Roman"/>
      <w:b/>
      <w:bCs/>
      <w:sz w:val="32"/>
      <w:szCs w:val="32"/>
    </w:rPr>
  </w:style>
  <w:style w:type="paragraph" w:customStyle="1" w:styleId="26">
    <w:name w:val="TOC 标题1"/>
    <w:basedOn w:val="3"/>
    <w:next w:val="1"/>
    <w:unhideWhenUsed/>
    <w:qFormat/>
    <w:uiPriority w:val="39"/>
    <w:pPr>
      <w:widowControl/>
      <w:spacing w:before="24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1949</Words>
  <Characters>2395</Characters>
  <Lines>25</Lines>
  <Paragraphs>7</Paragraphs>
  <TotalTime>4</TotalTime>
  <ScaleCrop>false</ScaleCrop>
  <LinksUpToDate>false</LinksUpToDate>
  <CharactersWithSpaces>2537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2022-05-22T20:21:00Z</dcterms:created>
  <dc:creator>阿 文</dc:creator>
  <cp:lastModifiedBy>林惠鹏</cp:lastModifiedBy>
  <dcterms:modified xsi:type="dcterms:W3CDTF">2022-06-22T03:38:35Z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F8CC6D78427E4F1B9D064F12F153FE95</vt:lpwstr>
  </property>
</Properties>
</file>