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27AEB3"/>
    <w:p w14:paraId="69543921">
      <w:pPr>
        <w:pStyle w:val="4"/>
        <w:ind w:left="0"/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  <w:t>实验室ISO15189认可咨询服务+标准化</w:t>
      </w:r>
    </w:p>
    <w:p w14:paraId="5BC1EF67">
      <w:pPr>
        <w:pStyle w:val="4"/>
        <w:ind w:left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  <w:t>系统采购需求一览表</w:t>
      </w:r>
    </w:p>
    <w:tbl>
      <w:tblPr>
        <w:tblStyle w:val="10"/>
        <w:tblpPr w:leftFromText="180" w:rightFromText="180" w:vertAnchor="text" w:horzAnchor="page" w:tblpXSpec="center" w:tblpY="794"/>
        <w:tblOverlap w:val="never"/>
        <w:tblW w:w="965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0"/>
        <w:gridCol w:w="981"/>
        <w:gridCol w:w="623"/>
        <w:gridCol w:w="6471"/>
        <w:gridCol w:w="1062"/>
      </w:tblGrid>
      <w:tr w14:paraId="79392B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" w:hRule="atLeast"/>
          <w:jc w:val="center"/>
        </w:trPr>
        <w:tc>
          <w:tcPr>
            <w:tcW w:w="520" w:type="dxa"/>
            <w:vAlign w:val="center"/>
          </w:tcPr>
          <w:p w14:paraId="5D906215">
            <w:pPr>
              <w:snapToGrid w:val="0"/>
              <w:spacing w:line="360" w:lineRule="exact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序号</w:t>
            </w:r>
          </w:p>
        </w:tc>
        <w:tc>
          <w:tcPr>
            <w:tcW w:w="981" w:type="dxa"/>
            <w:vAlign w:val="center"/>
          </w:tcPr>
          <w:p w14:paraId="561DE2F6">
            <w:pPr>
              <w:snapToGrid w:val="0"/>
              <w:spacing w:line="360" w:lineRule="exact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采购标的名称</w:t>
            </w:r>
          </w:p>
        </w:tc>
        <w:tc>
          <w:tcPr>
            <w:tcW w:w="623" w:type="dxa"/>
            <w:vAlign w:val="center"/>
          </w:tcPr>
          <w:p w14:paraId="7420741D">
            <w:pPr>
              <w:snapToGrid w:val="0"/>
              <w:spacing w:line="360" w:lineRule="exact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数量</w:t>
            </w:r>
          </w:p>
        </w:tc>
        <w:tc>
          <w:tcPr>
            <w:tcW w:w="6471" w:type="dxa"/>
            <w:vAlign w:val="center"/>
          </w:tcPr>
          <w:p w14:paraId="51CE2825">
            <w:pPr>
              <w:snapToGrid w:val="0"/>
              <w:spacing w:line="360" w:lineRule="exact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技术参数要求</w:t>
            </w:r>
          </w:p>
        </w:tc>
        <w:tc>
          <w:tcPr>
            <w:tcW w:w="1062" w:type="dxa"/>
            <w:vAlign w:val="center"/>
          </w:tcPr>
          <w:p w14:paraId="7F66C1EC">
            <w:pPr>
              <w:snapToGrid w:val="0"/>
              <w:spacing w:line="360" w:lineRule="exact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预算</w:t>
            </w:r>
          </w:p>
          <w:p w14:paraId="1AB7AB79">
            <w:pPr>
              <w:snapToGrid w:val="0"/>
              <w:spacing w:line="360" w:lineRule="exact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（万元）</w:t>
            </w:r>
          </w:p>
        </w:tc>
      </w:tr>
      <w:tr w14:paraId="3E9790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8" w:hRule="atLeast"/>
          <w:jc w:val="center"/>
        </w:trPr>
        <w:tc>
          <w:tcPr>
            <w:tcW w:w="520" w:type="dxa"/>
            <w:vAlign w:val="center"/>
          </w:tcPr>
          <w:p w14:paraId="617BE2D8">
            <w:pPr>
              <w:widowControl/>
              <w:jc w:val="center"/>
              <w:textAlignment w:val="top"/>
              <w:rPr>
                <w:rFonts w:hint="eastAsia"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1</w:t>
            </w:r>
          </w:p>
        </w:tc>
        <w:tc>
          <w:tcPr>
            <w:tcW w:w="981" w:type="dxa"/>
            <w:vAlign w:val="center"/>
          </w:tcPr>
          <w:p w14:paraId="1BC74C71">
            <w:pPr>
              <w:widowControl/>
              <w:jc w:val="left"/>
              <w:textAlignment w:val="center"/>
              <w:rPr>
                <w:rFonts w:hint="eastAsia"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Cs w:val="21"/>
              </w:rPr>
              <w:t>实验室ISO15189认可咨询服务＋标准化系统</w:t>
            </w:r>
          </w:p>
        </w:tc>
        <w:tc>
          <w:tcPr>
            <w:tcW w:w="623" w:type="dxa"/>
            <w:vAlign w:val="center"/>
          </w:tcPr>
          <w:p w14:paraId="32BF0E30">
            <w:pPr>
              <w:widowControl/>
              <w:jc w:val="left"/>
              <w:textAlignment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</w:t>
            </w:r>
          </w:p>
        </w:tc>
        <w:tc>
          <w:tcPr>
            <w:tcW w:w="6471" w:type="dxa"/>
            <w:vAlign w:val="center"/>
          </w:tcPr>
          <w:p w14:paraId="3D167525">
            <w:pPr>
              <w:pStyle w:val="22"/>
              <w:numPr>
                <w:ilvl w:val="0"/>
                <w:numId w:val="1"/>
              </w:numPr>
              <w:adjustRightInd/>
              <w:spacing w:line="240" w:lineRule="auto"/>
              <w:ind w:firstLineChars="0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咨询服务</w:t>
            </w:r>
          </w:p>
          <w:p w14:paraId="4A60D63B">
            <w:pPr>
              <w:pStyle w:val="22"/>
              <w:numPr>
                <w:ilvl w:val="0"/>
                <w:numId w:val="2"/>
              </w:numPr>
              <w:adjustRightInd/>
              <w:spacing w:line="240" w:lineRule="auto"/>
              <w:ind w:firstLineChars="0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投标人提供自有的知识产权以及专利的标准化系统，可用于</w:t>
            </w:r>
            <w:r>
              <w:rPr>
                <w:rFonts w:hint="eastAsia" w:ascii="宋体" w:hAnsi="宋体" w:cs="宋体"/>
                <w:kern w:val="2"/>
                <w:szCs w:val="24"/>
              </w:rPr>
              <w:t>ISO15189:2022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远程并实时调用实验室数据、远程查阅实验室文件和记录的</w:t>
            </w:r>
            <w:r>
              <w:rPr>
                <w:rFonts w:hint="eastAsia" w:ascii="宋体" w:hAnsi="宋体" w:cs="宋体"/>
                <w:kern w:val="2"/>
                <w:szCs w:val="24"/>
              </w:rPr>
              <w:t>ISO15189:2022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软件工具，符合实验室接受现场评审的要求。</w:t>
            </w:r>
          </w:p>
          <w:p w14:paraId="729B7FB1">
            <w:pPr>
              <w:pStyle w:val="22"/>
              <w:numPr>
                <w:ilvl w:val="0"/>
                <w:numId w:val="2"/>
              </w:numPr>
              <w:adjustRightInd/>
              <w:spacing w:line="240" w:lineRule="auto"/>
              <w:ind w:firstLineChars="0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协助进行全体动员，确保实验室认可工作能深入到每一个层次和每一位工作人员，真正实现全员参与。</w:t>
            </w:r>
          </w:p>
          <w:p w14:paraId="68ADF498">
            <w:pPr>
              <w:pStyle w:val="22"/>
              <w:numPr>
                <w:ilvl w:val="0"/>
                <w:numId w:val="2"/>
              </w:numPr>
              <w:adjustRightInd/>
              <w:spacing w:line="240" w:lineRule="auto"/>
              <w:ind w:firstLineChars="0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指导进行质量管理体系设计，提供可参考的管理体系文件模板，指导编写、修改管理体系手册，包括质量手册、程序文件、标本采集手册、安全手册、信息手册、各亚专业作业指导书、管理规章制度、记录表格等，审核批准前的管理体系文件。</w:t>
            </w:r>
          </w:p>
          <w:p w14:paraId="71E526A1">
            <w:pPr>
              <w:pStyle w:val="22"/>
              <w:numPr>
                <w:ilvl w:val="0"/>
                <w:numId w:val="2"/>
              </w:numPr>
              <w:adjustRightInd/>
              <w:spacing w:line="240" w:lineRule="auto"/>
              <w:ind w:firstLineChars="0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进行管理体系文件实施前的培训，确保全员掌握相关要求，为后续试运行做准备。</w:t>
            </w:r>
          </w:p>
          <w:p w14:paraId="1F6305A5">
            <w:pPr>
              <w:pStyle w:val="22"/>
              <w:numPr>
                <w:ilvl w:val="0"/>
                <w:numId w:val="2"/>
              </w:numPr>
              <w:adjustRightInd/>
              <w:spacing w:line="240" w:lineRule="auto"/>
              <w:ind w:firstLineChars="0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提供详细的可执行的ISO15189认可咨询服务计划，分阶段指导认可的筹备工作。</w:t>
            </w:r>
          </w:p>
          <w:p w14:paraId="45D980D9">
            <w:pPr>
              <w:pStyle w:val="22"/>
              <w:numPr>
                <w:ilvl w:val="0"/>
                <w:numId w:val="2"/>
              </w:numPr>
              <w:adjustRightInd/>
              <w:spacing w:line="240" w:lineRule="auto"/>
              <w:ind w:firstLineChars="0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指导检验技术人员正确进行设备的校准和性能验证，提供性能验证相关的标准指南、实操模板。</w:t>
            </w:r>
          </w:p>
          <w:p w14:paraId="22064046">
            <w:pPr>
              <w:pStyle w:val="22"/>
              <w:numPr>
                <w:ilvl w:val="0"/>
                <w:numId w:val="2"/>
              </w:numPr>
              <w:adjustRightInd/>
              <w:spacing w:line="240" w:lineRule="auto"/>
              <w:ind w:firstLineChars="0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指导实验室内部审核和管理评审的策划和实施，指导内部审核发现的不符合项的整改，提供内审和管审报告参考模板。</w:t>
            </w:r>
          </w:p>
          <w:p w14:paraId="35C4E7C0">
            <w:pPr>
              <w:pStyle w:val="22"/>
              <w:numPr>
                <w:ilvl w:val="0"/>
                <w:numId w:val="2"/>
              </w:numPr>
              <w:adjustRightInd/>
              <w:spacing w:line="240" w:lineRule="auto"/>
              <w:ind w:firstLineChars="0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指导负有直接责任的管理者亲自或以其名义进行管理评审，根据评审结果，提出完善管理体系的建议和对策。</w:t>
            </w:r>
          </w:p>
          <w:p w14:paraId="75BDB1F0">
            <w:pPr>
              <w:pStyle w:val="22"/>
              <w:numPr>
                <w:ilvl w:val="0"/>
                <w:numId w:val="2"/>
              </w:numPr>
              <w:adjustRightInd/>
              <w:spacing w:line="240" w:lineRule="auto"/>
              <w:ind w:firstLineChars="0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指导和检查各项工作记录的填写。</w:t>
            </w:r>
          </w:p>
          <w:p w14:paraId="391B1C5C">
            <w:pPr>
              <w:pStyle w:val="22"/>
              <w:numPr>
                <w:ilvl w:val="0"/>
                <w:numId w:val="2"/>
              </w:numPr>
              <w:adjustRightInd/>
              <w:spacing w:line="240" w:lineRule="auto"/>
              <w:ind w:firstLineChars="0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指导填写认可申请书，并对其进行审核，指导准备和提交申报资料（含申请书、体系文件、评估报告等），并指导解决认可机构针对申报资料提出的问题（含文件审核的问题），确保申报资料最终被认可机构受理。</w:t>
            </w:r>
          </w:p>
          <w:p w14:paraId="601AA74F">
            <w:pPr>
              <w:pStyle w:val="22"/>
              <w:numPr>
                <w:ilvl w:val="0"/>
                <w:numId w:val="2"/>
              </w:numPr>
              <w:adjustRightInd/>
              <w:spacing w:line="240" w:lineRule="auto"/>
              <w:ind w:firstLineChars="0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在认可机构现场评审前，指导进行所有应对评审资料的归档。</w:t>
            </w:r>
          </w:p>
          <w:p w14:paraId="62445249">
            <w:pPr>
              <w:pStyle w:val="22"/>
              <w:numPr>
                <w:ilvl w:val="0"/>
                <w:numId w:val="2"/>
              </w:numPr>
              <w:adjustRightInd/>
              <w:spacing w:line="240" w:lineRule="auto"/>
              <w:ind w:firstLineChars="0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进行现场评审应对培训，确保全员掌握迎审知识和技巧。</w:t>
            </w:r>
          </w:p>
          <w:p w14:paraId="7FD6F57C">
            <w:pPr>
              <w:pStyle w:val="22"/>
              <w:numPr>
                <w:ilvl w:val="0"/>
                <w:numId w:val="2"/>
              </w:numPr>
              <w:adjustRightInd/>
              <w:spacing w:line="240" w:lineRule="auto"/>
              <w:ind w:firstLineChars="0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认可前邀请主任评审员开展模拟审核，各部门应予以积极配合并及时纠正不符合项。</w:t>
            </w:r>
          </w:p>
          <w:p w14:paraId="11AB11F0">
            <w:pPr>
              <w:pStyle w:val="22"/>
              <w:numPr>
                <w:ilvl w:val="0"/>
                <w:numId w:val="2"/>
              </w:numPr>
              <w:adjustRightInd/>
              <w:spacing w:line="240" w:lineRule="auto"/>
              <w:ind w:firstLineChars="0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协助实验室与认可机构进行联系、协调、沟通。</w:t>
            </w:r>
          </w:p>
          <w:p w14:paraId="24267289">
            <w:pPr>
              <w:pStyle w:val="22"/>
              <w:numPr>
                <w:ilvl w:val="0"/>
                <w:numId w:val="2"/>
              </w:numPr>
              <w:adjustRightInd/>
              <w:spacing w:line="240" w:lineRule="auto"/>
              <w:ind w:firstLineChars="0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指导纠正认可机构评审组提出的不符合项，指导完善报告提交评审组长，完善体系直到取得实验室管理体系认可证书为止。</w:t>
            </w:r>
          </w:p>
          <w:p w14:paraId="1C94520B">
            <w:pPr>
              <w:pStyle w:val="22"/>
              <w:numPr>
                <w:ilvl w:val="0"/>
                <w:numId w:val="2"/>
              </w:numPr>
              <w:adjustRightInd/>
              <w:spacing w:line="240" w:lineRule="auto"/>
              <w:ind w:firstLineChars="0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指导现场评审不符合项整改计划的制定。</w:t>
            </w:r>
          </w:p>
          <w:p w14:paraId="372EB7A6">
            <w:pPr>
              <w:pStyle w:val="22"/>
              <w:numPr>
                <w:ilvl w:val="0"/>
                <w:numId w:val="2"/>
              </w:numPr>
              <w:adjustRightInd/>
              <w:spacing w:line="240" w:lineRule="auto"/>
              <w:ind w:firstLineChars="0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▲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取得认可证书后，在证书有效期限内，为应对认可机构的监督评审和复评审，为采购人提供上门或不上门的咨询服务（不额外收费）。</w:t>
            </w:r>
          </w:p>
          <w:p w14:paraId="4016482D">
            <w:pPr>
              <w:pStyle w:val="22"/>
              <w:numPr>
                <w:ilvl w:val="0"/>
                <w:numId w:val="2"/>
              </w:numPr>
              <w:adjustRightInd/>
              <w:spacing w:line="240" w:lineRule="auto"/>
              <w:ind w:firstLineChars="0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▲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专家团队</w:t>
            </w:r>
          </w:p>
          <w:p w14:paraId="1DAB01C0">
            <w:pPr>
              <w:widowControl/>
              <w:numPr>
                <w:ilvl w:val="0"/>
                <w:numId w:val="3"/>
              </w:numPr>
              <w:jc w:val="left"/>
              <w:rPr>
                <w:rFonts w:hint="eastAsia" w:ascii="宋体" w:hAnsi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bidi="ar"/>
              </w:rPr>
              <w:t>邀请CNAS主任评审员，技术评审员对实验室进行ISO15189认可相关工作的培训和技术指导，有丰富的现场评审工作经验，在行业内有较高影响力，出版有认可专著并在认证认可相关协会担任副主委以上职务，</w:t>
            </w:r>
            <w:bookmarkStart w:id="3" w:name="_GoBack"/>
            <w:bookmarkEnd w:id="3"/>
            <w:r>
              <w:rPr>
                <w:rFonts w:hint="eastAsia" w:ascii="宋体" w:hAnsi="宋体" w:cs="宋体"/>
                <w:kern w:val="0"/>
                <w:szCs w:val="21"/>
                <w:lang w:bidi="ar"/>
              </w:rPr>
              <w:t>需提供相关支持材料。</w:t>
            </w:r>
          </w:p>
          <w:p w14:paraId="0B284C73">
            <w:pPr>
              <w:widowControl/>
              <w:numPr>
                <w:ilvl w:val="0"/>
                <w:numId w:val="3"/>
              </w:numPr>
              <w:jc w:val="left"/>
              <w:rPr>
                <w:rFonts w:hint="eastAsia" w:ascii="宋体" w:hAnsi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bidi="ar"/>
              </w:rPr>
              <w:t>有强大的专家团队，专家团队成员所在实验室通过ISO15189认可，能对实验室各专业组进行深入培训和现场指导。</w:t>
            </w:r>
          </w:p>
          <w:p w14:paraId="273DF0CE">
            <w:pPr>
              <w:widowControl/>
              <w:numPr>
                <w:ilvl w:val="0"/>
                <w:numId w:val="3"/>
              </w:numPr>
              <w:jc w:val="left"/>
              <w:rPr>
                <w:rFonts w:hint="eastAsia" w:ascii="宋体" w:hAnsi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bidi="ar"/>
              </w:rPr>
              <w:t>专家团队全程参与质量体系建设、有效运行和持续改进，能直接参加实验室内部审核。</w:t>
            </w:r>
          </w:p>
          <w:p w14:paraId="62A757ED">
            <w:pPr>
              <w:widowControl/>
              <w:numPr>
                <w:ilvl w:val="0"/>
                <w:numId w:val="3"/>
              </w:numPr>
              <w:jc w:val="left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bidi="ar"/>
              </w:rPr>
              <w:t>专家团队参加启动会、内审和预评审。</w:t>
            </w:r>
          </w:p>
          <w:p w14:paraId="1CDDD591">
            <w:pPr>
              <w:widowControl/>
              <w:numPr>
                <w:ilvl w:val="0"/>
                <w:numId w:val="3"/>
              </w:numPr>
              <w:jc w:val="left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模拟评审流程，提前了解评审过程和提早准备应对措施，使评审工作开展更加顺利。</w:t>
            </w:r>
          </w:p>
          <w:p w14:paraId="571BE445">
            <w:pPr>
              <w:widowControl/>
              <w:numPr>
                <w:ilvl w:val="0"/>
                <w:numId w:val="3"/>
              </w:numPr>
              <w:jc w:val="left"/>
              <w:rPr>
                <w:rFonts w:hint="eastAsia" w:ascii="宋体" w:hAnsi="宋体" w:cs="宋体"/>
                <w:kern w:val="0"/>
                <w:szCs w:val="21"/>
                <w:lang w:bidi="ar"/>
              </w:rPr>
            </w:pPr>
            <w:bookmarkStart w:id="0" w:name="OLE_LINK3"/>
            <w:r>
              <w:rPr>
                <w:rFonts w:hint="eastAsia" w:ascii="宋体" w:hAnsi="宋体" w:cs="宋体"/>
                <w:kern w:val="0"/>
                <w:szCs w:val="21"/>
                <w:lang w:bidi="ar"/>
              </w:rPr>
              <w:t>现场指导次数:专家团队/项目组成员至少每月到场到场/线上 1 次（每季度现场指导至少1次），每次 1-2 天。</w:t>
            </w:r>
          </w:p>
          <w:p w14:paraId="07C18FE1">
            <w:pPr>
              <w:widowControl/>
              <w:numPr>
                <w:ilvl w:val="0"/>
                <w:numId w:val="3"/>
              </w:numPr>
              <w:jc w:val="left"/>
              <w:rPr>
                <w:rFonts w:hint="eastAsia" w:ascii="宋体" w:hAnsi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bidi="ar"/>
              </w:rPr>
              <w:t>专家团队</w:t>
            </w:r>
          </w:p>
          <w:p w14:paraId="6E28D4E3">
            <w:pPr>
              <w:widowControl/>
              <w:numPr>
                <w:ilvl w:val="0"/>
                <w:numId w:val="4"/>
              </w:numPr>
              <w:jc w:val="left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专家团队：主任评审员、已通过ISO 15189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技术专家</w:t>
            </w:r>
            <w:r>
              <w:rPr>
                <w:rFonts w:hint="eastAsia" w:ascii="宋体" w:hAnsi="宋体" w:cs="宋体"/>
                <w:szCs w:val="21"/>
              </w:rPr>
              <w:t xml:space="preserve"> 4 人。</w:t>
            </w:r>
          </w:p>
          <w:p w14:paraId="7ADB3DD7">
            <w:pPr>
              <w:widowControl/>
              <w:numPr>
                <w:ilvl w:val="0"/>
                <w:numId w:val="4"/>
              </w:numPr>
              <w:jc w:val="left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项目负责人、项目成员2人。</w:t>
            </w:r>
          </w:p>
          <w:bookmarkEnd w:id="0"/>
          <w:p w14:paraId="51153A6E">
            <w:pPr>
              <w:widowControl/>
              <w:jc w:val="left"/>
              <w:rPr>
                <w:rFonts w:hint="eastAsia" w:ascii="宋体" w:hAnsi="宋体" w:cs="宋体"/>
                <w:b/>
                <w:bCs/>
                <w:szCs w:val="21"/>
                <w:highlight w:val="red"/>
              </w:rPr>
            </w:pPr>
          </w:p>
          <w:p w14:paraId="45F2DD39">
            <w:pPr>
              <w:pStyle w:val="22"/>
              <w:numPr>
                <w:ilvl w:val="0"/>
                <w:numId w:val="1"/>
              </w:numPr>
              <w:adjustRightInd/>
              <w:spacing w:line="240" w:lineRule="auto"/>
              <w:ind w:firstLineChars="0"/>
              <w:rPr>
                <w:rFonts w:hint="eastAsia" w:ascii="宋体" w:hAnsi="宋体" w:cs="宋体"/>
                <w:b/>
                <w:bCs/>
                <w:sz w:val="20"/>
              </w:rPr>
            </w:pPr>
            <w:bookmarkStart w:id="1" w:name="OLE_LINK2"/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标准化</w:t>
            </w:r>
            <w:r>
              <w:rPr>
                <w:rFonts w:hint="eastAsia" w:ascii="宋体" w:hAnsi="宋体" w:cs="宋体"/>
                <w:b/>
                <w:bCs/>
                <w:sz w:val="20"/>
              </w:rPr>
              <w:t>系统：</w:t>
            </w:r>
          </w:p>
          <w:bookmarkEnd w:id="1"/>
          <w:p w14:paraId="45CABC38">
            <w:pPr>
              <w:pStyle w:val="23"/>
              <w:numPr>
                <w:ilvl w:val="0"/>
                <w:numId w:val="5"/>
              </w:numPr>
              <w:rPr>
                <w:rFonts w:hint="eastAsia"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sz w:val="20"/>
                <w:szCs w:val="20"/>
              </w:rPr>
              <w:t>文件管理：</w:t>
            </w:r>
          </w:p>
          <w:p w14:paraId="05003DC2">
            <w:pPr>
              <w:pStyle w:val="23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▲（1）支持文档列表查询、文档在线浏览、文档下载管理、文档阅读记录等功能，应包括满足科室ISO15189、国标三甲管理的外部文件和内部文件。外部文件包括医学实验室检验专业相关的法律法规、标准指南、专家共识等,并及时更新；体系文件按照质量手册、程序文件、标本采集手册、安全手册、信息手册、各亚专业作业指导书、管理规章制度、记录表格等进行管理，应全部满足ISO 15189:2022新版标准8.2和8.3的认可要求。（提供对应的软件功能截图，以及在三甲医院应用场景截图）</w:t>
            </w:r>
          </w:p>
          <w:p w14:paraId="48DC14B4">
            <w:pPr>
              <w:pStyle w:val="23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（2）支持在线协同编辑，文件分类存储，可按文件名、编号检索，在线查看文件信息、历史记录及阅读量。</w:t>
            </w:r>
          </w:p>
          <w:p w14:paraId="14D54451">
            <w:pPr>
              <w:pStyle w:val="23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（3）支持文件电子归档，文件管理流程(新建、修订、审核、批准、发布、借阅、废止等)符合ISO15189：2022 规范要求，文件阅读权限可内部控制并提供防外泄控制机制。</w:t>
            </w:r>
          </w:p>
          <w:p w14:paraId="7C2EC7DD">
            <w:pPr>
              <w:pStyle w:val="23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（4）支持的文件格式:doc/docx、xls/xlsx、ppt/pptx、pdf、txt、png/jpg/jpeg/bmp。</w:t>
            </w:r>
          </w:p>
          <w:p w14:paraId="70C113AC">
            <w:pPr>
              <w:pStyle w:val="23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（5）支持批量上传文件。</w:t>
            </w:r>
          </w:p>
          <w:p w14:paraId="65E4A98F">
            <w:pPr>
              <w:pStyle w:val="23"/>
              <w:numPr>
                <w:ilvl w:val="0"/>
                <w:numId w:val="5"/>
              </w:numP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 w:val="20"/>
                <w:szCs w:val="20"/>
              </w:rPr>
              <w:t>电子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记录：</w:t>
            </w:r>
          </w:p>
          <w:p w14:paraId="2CFC53F9">
            <w:pPr>
              <w:pStyle w:val="23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bookmarkStart w:id="2" w:name="OLE_LINK1"/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▲</w:t>
            </w:r>
            <w:bookmarkEnd w:id="2"/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（1）按照 ISO15189：2022条款要求进行分类，所有记录进行电子化，检验人员按分类索引可快捷找到所需表单。表单内容应包括但不限于以下信息项：（提供对应的软件功能截图，以及在三甲医院应用场景截图）</w:t>
            </w:r>
          </w:p>
          <w:p w14:paraId="24C99208">
            <w:pPr>
              <w:pStyle w:val="23"/>
              <w:ind w:firstLine="420" w:firstLineChars="200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4.2 保密性</w:t>
            </w:r>
          </w:p>
          <w:p w14:paraId="3D4D5449">
            <w:pPr>
              <w:pStyle w:val="23"/>
              <w:ind w:firstLine="420" w:firstLineChars="200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5.3 实验室活动</w:t>
            </w:r>
          </w:p>
          <w:p w14:paraId="4205D102">
            <w:pPr>
              <w:pStyle w:val="23"/>
              <w:ind w:firstLine="420" w:firstLineChars="200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6.2 人员</w:t>
            </w:r>
          </w:p>
          <w:p w14:paraId="5CC97CCB">
            <w:pPr>
              <w:pStyle w:val="23"/>
              <w:ind w:firstLine="420" w:firstLineChars="200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6.3 设施和环境条件</w:t>
            </w:r>
          </w:p>
          <w:p w14:paraId="6BCD15D9">
            <w:pPr>
              <w:pStyle w:val="23"/>
              <w:ind w:firstLine="420" w:firstLineChars="200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6.4 设备</w:t>
            </w:r>
          </w:p>
          <w:p w14:paraId="0A00979E">
            <w:pPr>
              <w:pStyle w:val="23"/>
              <w:ind w:firstLine="420" w:firstLineChars="200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6.5 设备校准和计量学溯源</w:t>
            </w:r>
          </w:p>
          <w:p w14:paraId="16D2CF50">
            <w:pPr>
              <w:pStyle w:val="23"/>
              <w:ind w:firstLine="420" w:firstLineChars="200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6.6 试剂和耗材</w:t>
            </w:r>
          </w:p>
          <w:p w14:paraId="10A1FA2E">
            <w:pPr>
              <w:pStyle w:val="23"/>
              <w:ind w:firstLine="420" w:firstLineChars="200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6.7 服务协议</w:t>
            </w:r>
          </w:p>
          <w:p w14:paraId="48189DDA">
            <w:pPr>
              <w:pStyle w:val="23"/>
              <w:ind w:firstLine="420" w:firstLineChars="200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6.8 外部提供的产品和服务</w:t>
            </w:r>
          </w:p>
          <w:p w14:paraId="189772CE">
            <w:pPr>
              <w:pStyle w:val="23"/>
              <w:ind w:firstLine="420" w:firstLineChars="200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7.2 检验前过程</w:t>
            </w:r>
          </w:p>
          <w:p w14:paraId="360E2ECE">
            <w:pPr>
              <w:pStyle w:val="23"/>
              <w:ind w:firstLine="420" w:firstLineChars="200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7.3 检验过程</w:t>
            </w:r>
          </w:p>
          <w:p w14:paraId="31646677">
            <w:pPr>
              <w:pStyle w:val="23"/>
              <w:ind w:firstLine="420" w:firstLineChars="200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7.4 检验后过程</w:t>
            </w:r>
          </w:p>
          <w:p w14:paraId="16F25FE8">
            <w:pPr>
              <w:pStyle w:val="23"/>
              <w:ind w:firstLine="420" w:firstLineChars="200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7.6 数据控制和信息管理</w:t>
            </w:r>
          </w:p>
          <w:p w14:paraId="78F9EE3A">
            <w:pPr>
              <w:pStyle w:val="23"/>
              <w:ind w:firstLine="420" w:firstLineChars="200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7.7 投诉</w:t>
            </w:r>
          </w:p>
          <w:p w14:paraId="2D437FFD">
            <w:pPr>
              <w:pStyle w:val="23"/>
              <w:ind w:firstLine="420" w:firstLineChars="200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8.1 总体要求</w:t>
            </w:r>
          </w:p>
          <w:p w14:paraId="6BB549CD">
            <w:pPr>
              <w:pStyle w:val="23"/>
              <w:ind w:firstLine="420" w:firstLineChars="200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8.3 管理体系文件的控制</w:t>
            </w:r>
          </w:p>
          <w:p w14:paraId="0879F7E0">
            <w:pPr>
              <w:pStyle w:val="23"/>
              <w:ind w:firstLine="420" w:firstLineChars="200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8.4 记录控制</w:t>
            </w:r>
          </w:p>
          <w:p w14:paraId="7516E6E9">
            <w:pPr>
              <w:pStyle w:val="23"/>
              <w:ind w:firstLine="420" w:firstLineChars="200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8.5 应对风险和改进机遇的措施</w:t>
            </w:r>
          </w:p>
          <w:p w14:paraId="399508D5">
            <w:pPr>
              <w:pStyle w:val="23"/>
              <w:ind w:firstLine="420" w:firstLineChars="200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8.6 改进</w:t>
            </w:r>
          </w:p>
          <w:p w14:paraId="31080354">
            <w:pPr>
              <w:pStyle w:val="23"/>
              <w:ind w:firstLine="420" w:firstLineChars="200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8.7 不符合及纠正措施</w:t>
            </w:r>
          </w:p>
          <w:p w14:paraId="2C7FB6A8">
            <w:pPr>
              <w:pStyle w:val="23"/>
              <w:ind w:firstLine="420" w:firstLineChars="200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8.8 评估</w:t>
            </w:r>
          </w:p>
          <w:p w14:paraId="0981FFC6">
            <w:pPr>
              <w:pStyle w:val="23"/>
              <w:ind w:firstLine="420" w:firstLineChars="200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8.9 管理评审</w:t>
            </w:r>
          </w:p>
          <w:p w14:paraId="02B994A4">
            <w:pPr>
              <w:pStyle w:val="23"/>
              <w:ind w:firstLine="420" w:firstLineChars="200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附录A 即时检验</w:t>
            </w:r>
          </w:p>
          <w:p w14:paraId="76066C9A">
            <w:pPr>
              <w:pStyle w:val="23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（2）针对其中多环节的记录表格，采用流程化管理，流转分配给相应岗位的工作人员。 </w:t>
            </w:r>
          </w:p>
          <w:p w14:paraId="02D05DCB">
            <w:pPr>
              <w:pStyle w:val="23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（3）流程结束支持表单自动生成；流程记录结束支持打印、导出PDF格式文件。</w:t>
            </w:r>
          </w:p>
          <w:p w14:paraId="50254ABF">
            <w:pPr>
              <w:pStyle w:val="23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（5）表单格式和记录流程可自定义配置;全面满足ISO15189:2022中8.3和8.4的要求。</w:t>
            </w:r>
          </w:p>
          <w:p w14:paraId="020DFDC1">
            <w:pPr>
              <w:pStyle w:val="23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（6）电子记录系统支持上传的文件格式:doc/docx、xls/xlsx、ppt/pptx、pdf、txt、png/jpg/jpeg/bmp。</w:t>
            </w:r>
          </w:p>
          <w:p w14:paraId="555C00EF">
            <w:pPr>
              <w:pStyle w:val="23"/>
              <w:numPr>
                <w:ilvl w:val="0"/>
                <w:numId w:val="5"/>
              </w:numP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▲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认可迎检：</w:t>
            </w:r>
          </w:p>
          <w:p w14:paraId="35C105F9">
            <w:pPr>
              <w:pStyle w:val="23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（1）提供ISO15189：2022新版认可准则对应的标准解读和专家现场方法和迎检要点，以及实验室各亚专业的认可要求和迎检思路；</w:t>
            </w:r>
          </w:p>
          <w:p w14:paraId="27058E88">
            <w:pPr>
              <w:pStyle w:val="23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（2）满足实验室申请ISO15189换版认可的监督评审、复评审和扩项评审；</w:t>
            </w:r>
          </w:p>
          <w:p w14:paraId="44CE900E">
            <w:pPr>
              <w:pStyle w:val="23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（3）能实现ISO15189：2022认可准则、应用要求等相关文件的任务分配和条款自查功能，确保每个条款落实到人，全员参与，循序渐进，自查自纠，监控条款完成情况和认可进度；</w:t>
            </w:r>
          </w:p>
          <w:p w14:paraId="4459A258">
            <w:pPr>
              <w:pStyle w:val="23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（4）支持各种证据性文件上传保存，与文件系统、电子记录系统、内审系统交互，提升内审和现场评审质量和效率。</w:t>
            </w:r>
          </w:p>
          <w:p w14:paraId="2B4F7B51">
            <w:pPr>
              <w:pStyle w:val="22"/>
              <w:numPr>
                <w:ilvl w:val="0"/>
                <w:numId w:val="1"/>
              </w:numPr>
              <w:adjustRightInd/>
              <w:spacing w:line="240" w:lineRule="auto"/>
              <w:ind w:firstLineChars="0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标准化系统维保服务</w:t>
            </w:r>
          </w:p>
          <w:p w14:paraId="5A13F30B">
            <w:pPr>
              <w:pStyle w:val="23"/>
              <w:numPr>
                <w:ilvl w:val="0"/>
                <w:numId w:val="6"/>
              </w:numPr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服务提供系统故障恢复服务，响应时间6小时内。</w:t>
            </w:r>
          </w:p>
          <w:p w14:paraId="3F61D854">
            <w:pPr>
              <w:pStyle w:val="23"/>
              <w:numPr>
                <w:ilvl w:val="0"/>
                <w:numId w:val="6"/>
              </w:numPr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标准化系统（文件管理、电子记录、认可迎检）在咨询服务认可期间通过免费维保服务，通过现场评审之日后提供有偿维保服务，每年的维保费用不超过合同（标准化系统部分）总金额的</w:t>
            </w: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5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%。</w:t>
            </w:r>
          </w:p>
        </w:tc>
        <w:tc>
          <w:tcPr>
            <w:tcW w:w="1062" w:type="dxa"/>
            <w:vAlign w:val="center"/>
          </w:tcPr>
          <w:p w14:paraId="4F50D5DF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35</w:t>
            </w:r>
          </w:p>
        </w:tc>
      </w:tr>
    </w:tbl>
    <w:p w14:paraId="5FEB8522">
      <w:pPr>
        <w:spacing w:line="480" w:lineRule="exact"/>
        <w:rPr>
          <w:rFonts w:hint="eastAsia" w:ascii="Microsoft JhengHei" w:hAnsi="Microsoft JhengHei"/>
          <w:sz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0F106AA-DE4E-44DF-AFA2-CBC992D0C546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6D14CE8D-7A8E-4C94-B37B-AB492656718D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3D101450-F618-47BF-8468-133ABC28619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FEBB248B-63B8-4AFB-B77C-4B24935A4C5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60EAD7DA-4A74-4509-B58E-76A7DA89CF1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C47E3EF3-1721-4F1D-9912-672DD5130EB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4DF61201-2EE7-4CB3-BA30-96D7E00271BB}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  <w:embedRegular r:id="rId8" w:fontKey="{008C06C6-2C38-4EDE-8E03-8E06FCA6A768}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  <w:embedRegular r:id="rId9" w:fontKey="{F8AF131B-29E7-4E96-883C-FCE6708C0686}"/>
  </w:font>
  <w:font w:name="长城仿宋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10" w:fontKey="{92010495-130A-443F-83D1-9C13EC21654F}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  <w:embedRegular r:id="rId11" w:fontKey="{9E1620CE-68FA-4F02-ADC7-304EB544694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2F33577"/>
    <w:multiLevelType w:val="singleLevel"/>
    <w:tmpl w:val="C2F33577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CCAFEA9C"/>
    <w:multiLevelType w:val="singleLevel"/>
    <w:tmpl w:val="CCAFEA9C"/>
    <w:lvl w:ilvl="0" w:tentative="0">
      <w:start w:val="1"/>
      <w:numFmt w:val="decimal"/>
      <w:suff w:val="space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082E7372"/>
    <w:multiLevelType w:val="multilevel"/>
    <w:tmpl w:val="082E7372"/>
    <w:lvl w:ilvl="0" w:tentative="0">
      <w:start w:val="1"/>
      <w:numFmt w:val="decimal"/>
      <w:lvlText w:val="(%1)"/>
      <w:lvlJc w:val="left"/>
      <w:pPr>
        <w:ind w:left="440" w:hanging="44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3">
    <w:nsid w:val="486F2BC6"/>
    <w:multiLevelType w:val="singleLevel"/>
    <w:tmpl w:val="486F2BC6"/>
    <w:lvl w:ilvl="0" w:tentative="0">
      <w:start w:val="1"/>
      <w:numFmt w:val="lowerLetter"/>
      <w:lvlText w:val="%1."/>
      <w:lvlJc w:val="left"/>
      <w:pPr>
        <w:ind w:left="635" w:hanging="425"/>
      </w:pPr>
      <w:rPr>
        <w:rFonts w:hint="default"/>
      </w:rPr>
    </w:lvl>
  </w:abstractNum>
  <w:abstractNum w:abstractNumId="4">
    <w:nsid w:val="4BC3D70B"/>
    <w:multiLevelType w:val="singleLevel"/>
    <w:tmpl w:val="4BC3D70B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5">
    <w:nsid w:val="7D66DBF5"/>
    <w:multiLevelType w:val="singleLevel"/>
    <w:tmpl w:val="7D66DBF5"/>
    <w:lvl w:ilvl="0" w:tentative="0">
      <w:start w:val="1"/>
      <w:numFmt w:val="chineseCounting"/>
      <w:suff w:val="nothing"/>
      <w:lvlText w:val="%1、"/>
      <w:lvlJc w:val="left"/>
      <w:pPr>
        <w:ind w:left="-420" w:firstLine="420"/>
      </w:pPr>
      <w:rPr>
        <w:rFonts w:hint="eastAsia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g0NmUyZWM3MGY1OGM4ZTBkZDgzMDk1MzNhNzg2ZmQifQ=="/>
  </w:docVars>
  <w:rsids>
    <w:rsidRoot w:val="000B7032"/>
    <w:rsid w:val="00025ED2"/>
    <w:rsid w:val="00091D8F"/>
    <w:rsid w:val="000B7032"/>
    <w:rsid w:val="001136AF"/>
    <w:rsid w:val="00135659"/>
    <w:rsid w:val="001830B7"/>
    <w:rsid w:val="001C408A"/>
    <w:rsid w:val="002152C0"/>
    <w:rsid w:val="00296851"/>
    <w:rsid w:val="002C499A"/>
    <w:rsid w:val="00326FEB"/>
    <w:rsid w:val="00375A20"/>
    <w:rsid w:val="003C560A"/>
    <w:rsid w:val="004760D4"/>
    <w:rsid w:val="004A6B13"/>
    <w:rsid w:val="005C1BFA"/>
    <w:rsid w:val="00622A19"/>
    <w:rsid w:val="006F0C90"/>
    <w:rsid w:val="00760A72"/>
    <w:rsid w:val="00771FFD"/>
    <w:rsid w:val="00782624"/>
    <w:rsid w:val="007F4D12"/>
    <w:rsid w:val="008817E6"/>
    <w:rsid w:val="008B61BA"/>
    <w:rsid w:val="008C259B"/>
    <w:rsid w:val="008D2D18"/>
    <w:rsid w:val="009D5DB1"/>
    <w:rsid w:val="00A25CC3"/>
    <w:rsid w:val="00A536CA"/>
    <w:rsid w:val="00A60BB1"/>
    <w:rsid w:val="00A613C1"/>
    <w:rsid w:val="00A825AA"/>
    <w:rsid w:val="00A83D9C"/>
    <w:rsid w:val="00AA1F3C"/>
    <w:rsid w:val="00AF19DB"/>
    <w:rsid w:val="00AF4E2A"/>
    <w:rsid w:val="00B904A9"/>
    <w:rsid w:val="00BE498E"/>
    <w:rsid w:val="00BE794F"/>
    <w:rsid w:val="00C31D82"/>
    <w:rsid w:val="00C66C79"/>
    <w:rsid w:val="00C67152"/>
    <w:rsid w:val="00CA66A3"/>
    <w:rsid w:val="00CE1C22"/>
    <w:rsid w:val="00D36400"/>
    <w:rsid w:val="00D73306"/>
    <w:rsid w:val="00DF3FF8"/>
    <w:rsid w:val="00E0209D"/>
    <w:rsid w:val="00E60887"/>
    <w:rsid w:val="00F26E97"/>
    <w:rsid w:val="00F35D52"/>
    <w:rsid w:val="01D37272"/>
    <w:rsid w:val="01FF7A36"/>
    <w:rsid w:val="02197F61"/>
    <w:rsid w:val="02201F6A"/>
    <w:rsid w:val="02924000"/>
    <w:rsid w:val="04C54886"/>
    <w:rsid w:val="054609A9"/>
    <w:rsid w:val="058D2554"/>
    <w:rsid w:val="05EF21A1"/>
    <w:rsid w:val="06035C4C"/>
    <w:rsid w:val="06515EEC"/>
    <w:rsid w:val="06857D70"/>
    <w:rsid w:val="074666C4"/>
    <w:rsid w:val="07742F74"/>
    <w:rsid w:val="08D31906"/>
    <w:rsid w:val="09DA6CC4"/>
    <w:rsid w:val="0A9B4B5C"/>
    <w:rsid w:val="0AC00FE8"/>
    <w:rsid w:val="0B100BEF"/>
    <w:rsid w:val="0BC64C69"/>
    <w:rsid w:val="0CDE6880"/>
    <w:rsid w:val="0D523F2B"/>
    <w:rsid w:val="0F692FC4"/>
    <w:rsid w:val="0F9022FF"/>
    <w:rsid w:val="113464CC"/>
    <w:rsid w:val="117479FE"/>
    <w:rsid w:val="11781072"/>
    <w:rsid w:val="118E0AC0"/>
    <w:rsid w:val="11EA4AC7"/>
    <w:rsid w:val="12503FC7"/>
    <w:rsid w:val="12CF70E3"/>
    <w:rsid w:val="13545D39"/>
    <w:rsid w:val="136249D5"/>
    <w:rsid w:val="147852C4"/>
    <w:rsid w:val="14794D4D"/>
    <w:rsid w:val="147A297C"/>
    <w:rsid w:val="153B2D0D"/>
    <w:rsid w:val="15714282"/>
    <w:rsid w:val="16B248A9"/>
    <w:rsid w:val="17190545"/>
    <w:rsid w:val="175353AE"/>
    <w:rsid w:val="17BA0D53"/>
    <w:rsid w:val="18052408"/>
    <w:rsid w:val="1846169D"/>
    <w:rsid w:val="19357313"/>
    <w:rsid w:val="19F33BB6"/>
    <w:rsid w:val="1A59218D"/>
    <w:rsid w:val="1AD05A7F"/>
    <w:rsid w:val="1B210BF7"/>
    <w:rsid w:val="1CA81462"/>
    <w:rsid w:val="1CE73996"/>
    <w:rsid w:val="1D730A62"/>
    <w:rsid w:val="1DF5091A"/>
    <w:rsid w:val="1E705342"/>
    <w:rsid w:val="1F4912D7"/>
    <w:rsid w:val="1FE81CE3"/>
    <w:rsid w:val="20926ACF"/>
    <w:rsid w:val="21C51830"/>
    <w:rsid w:val="224640BB"/>
    <w:rsid w:val="22AB3AF4"/>
    <w:rsid w:val="23DD5F67"/>
    <w:rsid w:val="252C0C04"/>
    <w:rsid w:val="25A6334E"/>
    <w:rsid w:val="25D4309C"/>
    <w:rsid w:val="25DD3690"/>
    <w:rsid w:val="26163F51"/>
    <w:rsid w:val="27D80778"/>
    <w:rsid w:val="27D87B31"/>
    <w:rsid w:val="28687D8B"/>
    <w:rsid w:val="289160F1"/>
    <w:rsid w:val="28F72F97"/>
    <w:rsid w:val="29DD5ADD"/>
    <w:rsid w:val="2A4C54B2"/>
    <w:rsid w:val="2A543C72"/>
    <w:rsid w:val="2AA335B8"/>
    <w:rsid w:val="2BFA58D0"/>
    <w:rsid w:val="2C1960AF"/>
    <w:rsid w:val="2C474843"/>
    <w:rsid w:val="2CBD6F50"/>
    <w:rsid w:val="2DE0561B"/>
    <w:rsid w:val="2DEE20DD"/>
    <w:rsid w:val="2E790F70"/>
    <w:rsid w:val="2E9372BE"/>
    <w:rsid w:val="2F495922"/>
    <w:rsid w:val="2F913518"/>
    <w:rsid w:val="2FE222AB"/>
    <w:rsid w:val="30113F2A"/>
    <w:rsid w:val="3084431A"/>
    <w:rsid w:val="3191373F"/>
    <w:rsid w:val="323662DC"/>
    <w:rsid w:val="33573930"/>
    <w:rsid w:val="33A04957"/>
    <w:rsid w:val="34142A88"/>
    <w:rsid w:val="344700C2"/>
    <w:rsid w:val="34E044C7"/>
    <w:rsid w:val="351837FB"/>
    <w:rsid w:val="367E0853"/>
    <w:rsid w:val="36C75074"/>
    <w:rsid w:val="37007D47"/>
    <w:rsid w:val="37666B2C"/>
    <w:rsid w:val="37906A90"/>
    <w:rsid w:val="37943880"/>
    <w:rsid w:val="379E6A28"/>
    <w:rsid w:val="37F45271"/>
    <w:rsid w:val="399A2F4B"/>
    <w:rsid w:val="39C14354"/>
    <w:rsid w:val="3A827028"/>
    <w:rsid w:val="3A8D5509"/>
    <w:rsid w:val="3B781A4E"/>
    <w:rsid w:val="3C0E02E9"/>
    <w:rsid w:val="3C6D73A0"/>
    <w:rsid w:val="3CA743CF"/>
    <w:rsid w:val="3CBF51CA"/>
    <w:rsid w:val="3DA05553"/>
    <w:rsid w:val="3DA434E4"/>
    <w:rsid w:val="3E426CA4"/>
    <w:rsid w:val="3E565F08"/>
    <w:rsid w:val="3E646581"/>
    <w:rsid w:val="3E9A597B"/>
    <w:rsid w:val="3F906DE9"/>
    <w:rsid w:val="3FEA1315"/>
    <w:rsid w:val="4000052B"/>
    <w:rsid w:val="403E2033"/>
    <w:rsid w:val="406F0DA8"/>
    <w:rsid w:val="412E7573"/>
    <w:rsid w:val="4192566C"/>
    <w:rsid w:val="426D00FA"/>
    <w:rsid w:val="42D261AF"/>
    <w:rsid w:val="435E4DD8"/>
    <w:rsid w:val="4385068A"/>
    <w:rsid w:val="43CD117F"/>
    <w:rsid w:val="43E13170"/>
    <w:rsid w:val="443B5FD6"/>
    <w:rsid w:val="44FD328B"/>
    <w:rsid w:val="452D6E19"/>
    <w:rsid w:val="4558387D"/>
    <w:rsid w:val="45B918A8"/>
    <w:rsid w:val="480D60CA"/>
    <w:rsid w:val="494621E4"/>
    <w:rsid w:val="4AA2290B"/>
    <w:rsid w:val="4B037977"/>
    <w:rsid w:val="4C122001"/>
    <w:rsid w:val="4C88556D"/>
    <w:rsid w:val="4CD5539B"/>
    <w:rsid w:val="4D092F8B"/>
    <w:rsid w:val="4D1739E2"/>
    <w:rsid w:val="4F261383"/>
    <w:rsid w:val="4FA34A1C"/>
    <w:rsid w:val="50972580"/>
    <w:rsid w:val="51603374"/>
    <w:rsid w:val="51715258"/>
    <w:rsid w:val="51890380"/>
    <w:rsid w:val="51A7622B"/>
    <w:rsid w:val="52AF6F9A"/>
    <w:rsid w:val="532F4954"/>
    <w:rsid w:val="53E915AA"/>
    <w:rsid w:val="540144C6"/>
    <w:rsid w:val="54E35FFA"/>
    <w:rsid w:val="558B7E6B"/>
    <w:rsid w:val="55DC3C48"/>
    <w:rsid w:val="565B67BE"/>
    <w:rsid w:val="56A13EAC"/>
    <w:rsid w:val="57621854"/>
    <w:rsid w:val="576C677A"/>
    <w:rsid w:val="58133D92"/>
    <w:rsid w:val="595B70D5"/>
    <w:rsid w:val="596D0588"/>
    <w:rsid w:val="598D2EC6"/>
    <w:rsid w:val="5A3A1A38"/>
    <w:rsid w:val="5BE95364"/>
    <w:rsid w:val="5C261AEC"/>
    <w:rsid w:val="5C4B23B9"/>
    <w:rsid w:val="5CA55BEF"/>
    <w:rsid w:val="5CA82ABA"/>
    <w:rsid w:val="5D2370B7"/>
    <w:rsid w:val="5D6F10E6"/>
    <w:rsid w:val="5DB20AFC"/>
    <w:rsid w:val="5E45015E"/>
    <w:rsid w:val="5E996D30"/>
    <w:rsid w:val="5EC7698C"/>
    <w:rsid w:val="5EE74938"/>
    <w:rsid w:val="5F3A44F7"/>
    <w:rsid w:val="60067040"/>
    <w:rsid w:val="609B7CD8"/>
    <w:rsid w:val="60F64E0C"/>
    <w:rsid w:val="612E6627"/>
    <w:rsid w:val="614A547E"/>
    <w:rsid w:val="616665F7"/>
    <w:rsid w:val="61EB51CF"/>
    <w:rsid w:val="62A52A5F"/>
    <w:rsid w:val="63693B36"/>
    <w:rsid w:val="63E458EA"/>
    <w:rsid w:val="640E59C3"/>
    <w:rsid w:val="649E00A9"/>
    <w:rsid w:val="64E839D4"/>
    <w:rsid w:val="64F6539B"/>
    <w:rsid w:val="651F64BD"/>
    <w:rsid w:val="65705527"/>
    <w:rsid w:val="663B5B56"/>
    <w:rsid w:val="67807E9F"/>
    <w:rsid w:val="67991BBE"/>
    <w:rsid w:val="67BF6872"/>
    <w:rsid w:val="67D3773F"/>
    <w:rsid w:val="68776979"/>
    <w:rsid w:val="692C7B17"/>
    <w:rsid w:val="69D85A75"/>
    <w:rsid w:val="6BA729B8"/>
    <w:rsid w:val="6BCB3AF5"/>
    <w:rsid w:val="6E18254C"/>
    <w:rsid w:val="6F6658F2"/>
    <w:rsid w:val="7088793C"/>
    <w:rsid w:val="719E28E1"/>
    <w:rsid w:val="71DD6B84"/>
    <w:rsid w:val="72374E7D"/>
    <w:rsid w:val="72587BCF"/>
    <w:rsid w:val="72763F40"/>
    <w:rsid w:val="72C60FDD"/>
    <w:rsid w:val="72DA1AF4"/>
    <w:rsid w:val="730F1284"/>
    <w:rsid w:val="731E526F"/>
    <w:rsid w:val="73257B3E"/>
    <w:rsid w:val="733D52E3"/>
    <w:rsid w:val="74BF5CE3"/>
    <w:rsid w:val="751678CE"/>
    <w:rsid w:val="75E25D74"/>
    <w:rsid w:val="762521BC"/>
    <w:rsid w:val="76F31C74"/>
    <w:rsid w:val="778356EE"/>
    <w:rsid w:val="77AA1968"/>
    <w:rsid w:val="781225CE"/>
    <w:rsid w:val="79B81B2E"/>
    <w:rsid w:val="79C34025"/>
    <w:rsid w:val="7A7E5483"/>
    <w:rsid w:val="7AFD4178"/>
    <w:rsid w:val="7B560A24"/>
    <w:rsid w:val="7BE041F3"/>
    <w:rsid w:val="7BEA239A"/>
    <w:rsid w:val="7C0D6E4B"/>
    <w:rsid w:val="7CD410F2"/>
    <w:rsid w:val="7E135441"/>
    <w:rsid w:val="7E3F7E95"/>
    <w:rsid w:val="7E5973D6"/>
    <w:rsid w:val="7EFD6D64"/>
    <w:rsid w:val="7F631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qFormat="1" w:uiPriority="99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index 8"/>
    <w:basedOn w:val="1"/>
    <w:next w:val="1"/>
    <w:unhideWhenUsed/>
    <w:qFormat/>
    <w:uiPriority w:val="99"/>
    <w:pPr>
      <w:ind w:left="1400" w:leftChars="1400"/>
    </w:pPr>
  </w:style>
  <w:style w:type="paragraph" w:styleId="3">
    <w:name w:val="annotation text"/>
    <w:basedOn w:val="1"/>
    <w:link w:val="18"/>
    <w:autoRedefine/>
    <w:qFormat/>
    <w:uiPriority w:val="0"/>
  </w:style>
  <w:style w:type="paragraph" w:styleId="4">
    <w:name w:val="Body Text"/>
    <w:basedOn w:val="1"/>
    <w:next w:val="1"/>
    <w:qFormat/>
    <w:uiPriority w:val="1"/>
    <w:pPr>
      <w:ind w:left="398"/>
    </w:pPr>
    <w:rPr>
      <w:sz w:val="24"/>
    </w:rPr>
  </w:style>
  <w:style w:type="paragraph" w:styleId="5">
    <w:name w:val="Plain Text"/>
    <w:basedOn w:val="1"/>
    <w:next w:val="2"/>
    <w:qFormat/>
    <w:uiPriority w:val="0"/>
    <w:rPr>
      <w:rFonts w:ascii="宋体" w:hAnsi="Courier New" w:cs="Courier New"/>
      <w:szCs w:val="21"/>
    </w:rPr>
  </w:style>
  <w:style w:type="paragraph" w:styleId="6">
    <w:name w:val="Balloon Text"/>
    <w:basedOn w:val="1"/>
    <w:link w:val="15"/>
    <w:qFormat/>
    <w:uiPriority w:val="0"/>
    <w:rPr>
      <w:rFonts w:asciiTheme="majorHAnsi" w:hAnsiTheme="majorHAnsi" w:eastAsiaTheme="majorEastAsia" w:cstheme="majorBidi"/>
      <w:sz w:val="18"/>
      <w:szCs w:val="18"/>
    </w:rPr>
  </w:style>
  <w:style w:type="paragraph" w:styleId="7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8">
    <w:name w:val="header"/>
    <w:basedOn w:val="1"/>
    <w:link w:val="16"/>
    <w:qFormat/>
    <w:uiPriority w:val="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9">
    <w:name w:val="annotation subject"/>
    <w:basedOn w:val="3"/>
    <w:next w:val="3"/>
    <w:link w:val="19"/>
    <w:qFormat/>
    <w:uiPriority w:val="0"/>
    <w:pPr>
      <w:jc w:val="left"/>
    </w:pPr>
    <w:rPr>
      <w:b/>
      <w:bCs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annotation reference"/>
    <w:basedOn w:val="12"/>
    <w:qFormat/>
    <w:uiPriority w:val="0"/>
    <w:rPr>
      <w:sz w:val="18"/>
      <w:szCs w:val="18"/>
    </w:rPr>
  </w:style>
  <w:style w:type="paragraph" w:customStyle="1" w:styleId="14">
    <w:name w:val="列表段落1"/>
    <w:basedOn w:val="1"/>
    <w:autoRedefine/>
    <w:qFormat/>
    <w:uiPriority w:val="1"/>
    <w:pPr>
      <w:spacing w:before="93"/>
      <w:ind w:left="398" w:firstLine="480"/>
    </w:pPr>
  </w:style>
  <w:style w:type="character" w:customStyle="1" w:styleId="15">
    <w:name w:val="批注框文本 字符"/>
    <w:basedOn w:val="12"/>
    <w:link w:val="6"/>
    <w:qFormat/>
    <w:uiPriority w:val="0"/>
    <w:rPr>
      <w:rFonts w:asciiTheme="majorHAnsi" w:hAnsiTheme="majorHAnsi" w:eastAsiaTheme="majorEastAsia" w:cstheme="majorBidi"/>
      <w:kern w:val="2"/>
      <w:sz w:val="18"/>
      <w:szCs w:val="18"/>
      <w:lang w:eastAsia="zh-CN"/>
    </w:rPr>
  </w:style>
  <w:style w:type="character" w:customStyle="1" w:styleId="16">
    <w:name w:val="页眉 字符"/>
    <w:basedOn w:val="12"/>
    <w:link w:val="8"/>
    <w:qFormat/>
    <w:uiPriority w:val="0"/>
    <w:rPr>
      <w:rFonts w:ascii="Times New Roman" w:hAnsi="Times New Roman" w:eastAsia="宋体" w:cs="Times New Roman"/>
      <w:kern w:val="2"/>
      <w:lang w:eastAsia="zh-CN"/>
    </w:rPr>
  </w:style>
  <w:style w:type="character" w:customStyle="1" w:styleId="17">
    <w:name w:val="页脚 字符"/>
    <w:basedOn w:val="12"/>
    <w:link w:val="7"/>
    <w:qFormat/>
    <w:uiPriority w:val="0"/>
    <w:rPr>
      <w:rFonts w:ascii="Times New Roman" w:hAnsi="Times New Roman" w:eastAsia="宋体" w:cs="Times New Roman"/>
      <w:kern w:val="2"/>
      <w:lang w:eastAsia="zh-CN"/>
    </w:rPr>
  </w:style>
  <w:style w:type="character" w:customStyle="1" w:styleId="18">
    <w:name w:val="批注文字 字符"/>
    <w:basedOn w:val="12"/>
    <w:link w:val="3"/>
    <w:qFormat/>
    <w:uiPriority w:val="0"/>
    <w:rPr>
      <w:rFonts w:ascii="Times New Roman" w:hAnsi="Times New Roman" w:eastAsia="宋体" w:cs="Times New Roman"/>
      <w:kern w:val="2"/>
      <w:sz w:val="21"/>
      <w:szCs w:val="24"/>
      <w:lang w:eastAsia="zh-CN"/>
    </w:rPr>
  </w:style>
  <w:style w:type="character" w:customStyle="1" w:styleId="19">
    <w:name w:val="批注主题 字符"/>
    <w:basedOn w:val="18"/>
    <w:link w:val="9"/>
    <w:qFormat/>
    <w:uiPriority w:val="0"/>
    <w:rPr>
      <w:rFonts w:ascii="Times New Roman" w:hAnsi="Times New Roman" w:eastAsia="宋体" w:cs="Times New Roman"/>
      <w:b/>
      <w:bCs/>
      <w:kern w:val="2"/>
      <w:sz w:val="21"/>
      <w:szCs w:val="24"/>
      <w:lang w:eastAsia="zh-CN"/>
    </w:rPr>
  </w:style>
  <w:style w:type="paragraph" w:customStyle="1" w:styleId="20">
    <w:name w:val="Default"/>
    <w:qFormat/>
    <w:uiPriority w:val="0"/>
    <w:pPr>
      <w:widowControl w:val="0"/>
      <w:autoSpaceDE w:val="0"/>
      <w:autoSpaceDN w:val="0"/>
      <w:adjustRightInd w:val="0"/>
    </w:pPr>
    <w:rPr>
      <w:rFonts w:ascii="Verdana" w:hAnsi="Verdana" w:cs="Verdana" w:eastAsiaTheme="minorEastAsia"/>
      <w:color w:val="000000"/>
      <w:sz w:val="24"/>
      <w:szCs w:val="24"/>
      <w:lang w:val="en-US" w:eastAsia="zh-TW" w:bidi="ar-SA"/>
    </w:rPr>
  </w:style>
  <w:style w:type="paragraph" w:customStyle="1" w:styleId="21">
    <w:name w:val="修订1"/>
    <w:hidden/>
    <w:unhideWhenUsed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2">
    <w:name w:val="文档正文"/>
    <w:basedOn w:val="1"/>
    <w:autoRedefine/>
    <w:qFormat/>
    <w:uiPriority w:val="0"/>
    <w:pPr>
      <w:adjustRightInd w:val="0"/>
      <w:spacing w:line="480" w:lineRule="atLeast"/>
      <w:ind w:firstLine="567" w:firstLineChars="200"/>
      <w:textAlignment w:val="baseline"/>
    </w:pPr>
    <w:rPr>
      <w:rFonts w:ascii="长城仿宋"/>
      <w:kern w:val="0"/>
      <w:szCs w:val="20"/>
    </w:rPr>
  </w:style>
  <w:style w:type="paragraph" w:styleId="23">
    <w:name w:val="No Spacing"/>
    <w:autoRedefine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2274</Words>
  <Characters>2559</Characters>
  <Lines>19</Lines>
  <Paragraphs>5</Paragraphs>
  <TotalTime>48</TotalTime>
  <ScaleCrop>false</ScaleCrop>
  <LinksUpToDate>false</LinksUpToDate>
  <CharactersWithSpaces>2593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2024-08-19T03:13:00Z</dcterms:created>
  <dc:creator>Administrator</dc:creator>
  <cp:lastModifiedBy>老炮儿</cp:lastModifiedBy>
  <dcterms:modified xsi:type="dcterms:W3CDTF">2024-10-21T00:59:19Z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6319C8E5D0D744A3A7DE1E1BC4208BC8_13</vt:lpwstr>
  </property>
</Properties>
</file>