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40631">
      <w:pPr>
        <w:rPr>
          <w:rFonts w:hint="eastAsia" w:ascii="宋体" w:hAnsi="宋体" w:eastAsia="宋体" w:cs="宋体"/>
          <w:b/>
          <w:color w:val="000000" w:themeColor="text1"/>
          <w:sz w:val="30"/>
          <w:szCs w:val="30"/>
          <w:lang w:val="en-US" w:eastAsia="zh-CN"/>
          <w14:textFill>
            <w14:solidFill>
              <w14:schemeClr w14:val="tx1"/>
            </w14:solidFill>
          </w14:textFill>
        </w:rPr>
      </w:pPr>
    </w:p>
    <w:p w14:paraId="1D50D16C">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tbl>
      <w:tblPr>
        <w:tblStyle w:val="11"/>
        <w:tblpPr w:leftFromText="180" w:rightFromText="180" w:vertAnchor="text" w:horzAnchor="page" w:tblpX="1757" w:tblpY="585"/>
        <w:tblOverlap w:val="never"/>
        <w:tblW w:w="88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801"/>
        <w:gridCol w:w="6937"/>
      </w:tblGrid>
      <w:tr w14:paraId="5AC4E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73" w:type="dxa"/>
            <w:gridSpan w:val="3"/>
            <w:tcBorders>
              <w:top w:val="single" w:color="auto" w:sz="4" w:space="0"/>
              <w:left w:val="single" w:color="auto" w:sz="4" w:space="0"/>
              <w:bottom w:val="single" w:color="auto" w:sz="4" w:space="0"/>
              <w:right w:val="single" w:color="auto" w:sz="4" w:space="0"/>
            </w:tcBorders>
          </w:tcPr>
          <w:p w14:paraId="24A0CD9E">
            <w:pPr>
              <w:snapToGrid w:val="0"/>
              <w:spacing w:line="360" w:lineRule="exact"/>
              <w:jc w:val="both"/>
              <w:rPr>
                <w:rFonts w:cs="Times New Roman"/>
                <w:b/>
                <w:highlight w:val="none"/>
              </w:rPr>
            </w:pPr>
            <w:r>
              <w:rPr>
                <w:rFonts w:cs="Times New Roman"/>
                <w:b/>
                <w:highlight w:val="none"/>
              </w:rPr>
              <w:t>项目要求及技术需求</w:t>
            </w:r>
          </w:p>
        </w:tc>
      </w:tr>
      <w:tr w14:paraId="761C0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14:paraId="3DDEDC33">
            <w:pPr>
              <w:snapToGrid w:val="0"/>
              <w:spacing w:line="360" w:lineRule="exact"/>
              <w:jc w:val="center"/>
              <w:rPr>
                <w:rFonts w:cs="Times New Roman"/>
                <w:highlight w:val="none"/>
              </w:rPr>
            </w:pPr>
            <w:r>
              <w:rPr>
                <w:rFonts w:cs="Times New Roman"/>
                <w:highlight w:val="none"/>
              </w:rPr>
              <w:t>采购内容</w:t>
            </w:r>
          </w:p>
        </w:tc>
        <w:tc>
          <w:tcPr>
            <w:tcW w:w="801" w:type="dxa"/>
            <w:tcBorders>
              <w:top w:val="single" w:color="auto" w:sz="4" w:space="0"/>
              <w:left w:val="single" w:color="auto" w:sz="4" w:space="0"/>
              <w:bottom w:val="single" w:color="auto" w:sz="4" w:space="0"/>
              <w:right w:val="single" w:color="auto" w:sz="4" w:space="0"/>
            </w:tcBorders>
            <w:vAlign w:val="center"/>
          </w:tcPr>
          <w:p w14:paraId="504DBF13">
            <w:pPr>
              <w:snapToGrid w:val="0"/>
              <w:spacing w:line="360" w:lineRule="exact"/>
              <w:jc w:val="center"/>
              <w:rPr>
                <w:rFonts w:cs="Times New Roman"/>
                <w:highlight w:val="none"/>
              </w:rPr>
            </w:pPr>
            <w:r>
              <w:rPr>
                <w:rFonts w:hint="eastAsia" w:cs="Times New Roman"/>
                <w:kern w:val="0"/>
                <w:highlight w:val="none"/>
              </w:rPr>
              <w:t>数量</w:t>
            </w:r>
          </w:p>
        </w:tc>
        <w:tc>
          <w:tcPr>
            <w:tcW w:w="6937" w:type="dxa"/>
            <w:tcBorders>
              <w:top w:val="single" w:color="auto" w:sz="4" w:space="0"/>
              <w:left w:val="single" w:color="auto" w:sz="4" w:space="0"/>
              <w:bottom w:val="single" w:color="auto" w:sz="4" w:space="0"/>
              <w:right w:val="single" w:color="auto" w:sz="4" w:space="0"/>
            </w:tcBorders>
            <w:vAlign w:val="center"/>
          </w:tcPr>
          <w:p w14:paraId="6830A3E7">
            <w:pPr>
              <w:snapToGrid w:val="0"/>
              <w:spacing w:line="360" w:lineRule="exact"/>
              <w:jc w:val="center"/>
              <w:rPr>
                <w:rFonts w:cs="Times New Roman"/>
                <w:highlight w:val="none"/>
              </w:rPr>
            </w:pPr>
            <w:r>
              <w:rPr>
                <w:rFonts w:cs="Times New Roman"/>
                <w:highlight w:val="none"/>
              </w:rPr>
              <w:t>项目要求及技术需求</w:t>
            </w:r>
          </w:p>
        </w:tc>
      </w:tr>
      <w:tr w14:paraId="1FD82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8" w:hRule="atLeast"/>
        </w:trPr>
        <w:tc>
          <w:tcPr>
            <w:tcW w:w="1135" w:type="dxa"/>
            <w:tcBorders>
              <w:left w:val="single" w:color="auto" w:sz="4" w:space="0"/>
              <w:bottom w:val="single" w:color="auto" w:sz="4" w:space="0"/>
              <w:right w:val="single" w:color="auto" w:sz="4" w:space="0"/>
            </w:tcBorders>
            <w:vAlign w:val="center"/>
          </w:tcPr>
          <w:p w14:paraId="74B1AA88">
            <w:pPr>
              <w:widowControl/>
              <w:jc w:val="center"/>
              <w:rPr>
                <w:rFonts w:hint="default" w:ascii="Calibri" w:hAnsi="Calibri" w:eastAsia="宋体" w:cs="Calibri"/>
                <w:szCs w:val="24"/>
                <w:highlight w:val="none"/>
                <w:lang w:val="en-US" w:eastAsia="zh-CN"/>
              </w:rPr>
            </w:pPr>
            <w:r>
              <w:rPr>
                <w:rFonts w:hint="eastAsia" w:cs="宋体"/>
                <w:highlight w:val="none"/>
                <w:lang w:val="en-US" w:eastAsia="zh-CN"/>
              </w:rPr>
              <w:t>显微操作管-活检针</w:t>
            </w:r>
          </w:p>
        </w:tc>
        <w:tc>
          <w:tcPr>
            <w:tcW w:w="801" w:type="dxa"/>
            <w:tcBorders>
              <w:left w:val="single" w:color="auto" w:sz="4" w:space="0"/>
              <w:bottom w:val="single" w:color="auto" w:sz="4" w:space="0"/>
              <w:right w:val="single" w:color="auto" w:sz="4" w:space="0"/>
            </w:tcBorders>
            <w:vAlign w:val="center"/>
          </w:tcPr>
          <w:p w14:paraId="5BFD30CA">
            <w:pPr>
              <w:spacing w:line="400" w:lineRule="exact"/>
              <w:jc w:val="center"/>
              <w:rPr>
                <w:rFonts w:hint="default" w:eastAsia="宋体" w:cs="Times New Roman"/>
                <w:kern w:val="0"/>
                <w:highlight w:val="none"/>
                <w:lang w:val="en-US" w:eastAsia="zh-CN"/>
              </w:rPr>
            </w:pPr>
            <w:r>
              <w:rPr>
                <w:rFonts w:hint="eastAsia" w:cs="Times New Roman"/>
                <w:kern w:val="0"/>
                <w:highlight w:val="none"/>
                <w:lang w:val="en-US" w:eastAsia="zh-CN"/>
              </w:rPr>
              <w:t>1000支（按实际验收数量结算）</w:t>
            </w:r>
          </w:p>
        </w:tc>
        <w:tc>
          <w:tcPr>
            <w:tcW w:w="6937" w:type="dxa"/>
            <w:tcBorders>
              <w:top w:val="single" w:color="auto" w:sz="4" w:space="0"/>
              <w:left w:val="single" w:color="auto" w:sz="4" w:space="0"/>
              <w:bottom w:val="single" w:color="auto" w:sz="4" w:space="0"/>
              <w:right w:val="single" w:color="auto" w:sz="4" w:space="0"/>
            </w:tcBorders>
            <w:vAlign w:val="center"/>
          </w:tcPr>
          <w:p w14:paraId="26EC6A41">
            <w:pPr>
              <w:spacing w:line="440" w:lineRule="exact"/>
              <w:ind w:firstLine="420" w:firstLineChars="200"/>
              <w:jc w:val="left"/>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产品要求</w:t>
            </w:r>
          </w:p>
          <w:p w14:paraId="4290134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0" w:firstLineChars="30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显微操作管-活检管(BIOPSY PIPETTE)用于人类辅助生殖技术中行植入前遗传学诊断技术检测的病例，从囊胚中吸取5-8个滋养层细胞进行活检，显微操作管-活检管要求由硼酸盐玻璃制成，由针柄、针颈、针头组成,外径(0D)30μm，内径20-25μm，弯曲(Bend)30°，垂直平面(standard)90°，管口平整，较圆滑；产品需经辐射灭菌。</w:t>
            </w:r>
          </w:p>
          <w:p w14:paraId="64FA400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0" w:firstLineChars="300"/>
              <w:jc w:val="left"/>
              <w:textAlignment w:val="center"/>
              <w:rPr>
                <w:rFonts w:hint="eastAsia" w:ascii="宋体" w:hAnsi="宋体" w:eastAsia="宋体" w:cs="宋体"/>
                <w:sz w:val="21"/>
                <w:szCs w:val="21"/>
                <w:highlight w:val="none"/>
                <w:lang w:val="en-US" w:eastAsia="zh-CN"/>
              </w:rPr>
            </w:pPr>
            <w:r>
              <w:rPr>
                <w:rFonts w:hint="eastAsia" w:ascii="宋体" w:hAnsi="宋体" w:cs="宋体"/>
                <w:color w:val="000000"/>
                <w:kern w:val="0"/>
                <w:sz w:val="21"/>
                <w:szCs w:val="21"/>
                <w:highlight w:val="none"/>
                <w:lang w:val="en-US" w:eastAsia="zh-CN" w:bidi="ar"/>
              </w:rPr>
              <w:t>产品</w:t>
            </w:r>
            <w:r>
              <w:rPr>
                <w:rFonts w:hint="eastAsia" w:ascii="宋体" w:hAnsi="宋体" w:eastAsia="宋体" w:cs="宋体"/>
                <w:color w:val="000000"/>
                <w:kern w:val="0"/>
                <w:sz w:val="21"/>
                <w:szCs w:val="21"/>
                <w:highlight w:val="none"/>
                <w:lang w:bidi="ar"/>
              </w:rPr>
              <w:t>有效期</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1年</w:t>
            </w:r>
            <w:r>
              <w:rPr>
                <w:rFonts w:hint="eastAsia" w:ascii="宋体" w:hAnsi="宋体" w:eastAsia="宋体" w:cs="宋体"/>
                <w:color w:val="000000"/>
                <w:kern w:val="0"/>
                <w:sz w:val="21"/>
                <w:szCs w:val="21"/>
                <w:highlight w:val="none"/>
                <w:lang w:eastAsia="zh-CN" w:bidi="ar"/>
              </w:rPr>
              <w:t>。</w:t>
            </w:r>
          </w:p>
          <w:p w14:paraId="5B200B8E">
            <w:pPr>
              <w:spacing w:line="440" w:lineRule="exact"/>
              <w:ind w:firstLine="360" w:firstLineChars="200"/>
              <w:jc w:val="left"/>
              <w:rPr>
                <w:highlight w:val="none"/>
              </w:rPr>
            </w:pPr>
            <w:r>
              <w:rPr>
                <w:rFonts w:hint="eastAsia" w:ascii="宋体" w:hAnsi="宋体" w:eastAsia="宋体" w:cs="宋体"/>
                <w:color w:val="000000"/>
                <w:kern w:val="0"/>
                <w:sz w:val="18"/>
                <w:szCs w:val="18"/>
                <w:highlight w:val="none"/>
                <w:lang w:bidi="ar"/>
              </w:rPr>
              <w:t>▲</w:t>
            </w:r>
            <w:r>
              <w:rPr>
                <w:rFonts w:hint="eastAsia" w:ascii="宋体" w:hAnsi="宋体" w:eastAsia="宋体" w:cs="宋体"/>
                <w:b w:val="0"/>
                <w:bCs w:val="0"/>
                <w:i w:val="0"/>
                <w:iCs w:val="0"/>
                <w:caps w:val="0"/>
                <w:color w:val="000000"/>
                <w:spacing w:val="0"/>
                <w:kern w:val="0"/>
                <w:sz w:val="21"/>
                <w:szCs w:val="21"/>
                <w:highlight w:val="none"/>
                <w:shd w:val="clear" w:fill="FFFFFF"/>
                <w:lang w:val="en-US" w:eastAsia="zh-CN" w:bidi="ar"/>
              </w:rPr>
              <w:t>参加遴选的产品必须为广西壮族自治区医疗保障一体化平台药品和医用耗材招采管</w:t>
            </w:r>
            <w:bookmarkStart w:id="0" w:name="_GoBack"/>
            <w:bookmarkEnd w:id="0"/>
            <w:r>
              <w:rPr>
                <w:rFonts w:hint="eastAsia" w:ascii="宋体" w:hAnsi="宋体" w:eastAsia="宋体" w:cs="宋体"/>
                <w:b w:val="0"/>
                <w:bCs w:val="0"/>
                <w:i w:val="0"/>
                <w:iCs w:val="0"/>
                <w:caps w:val="0"/>
                <w:color w:val="000000"/>
                <w:spacing w:val="0"/>
                <w:kern w:val="0"/>
                <w:sz w:val="21"/>
                <w:szCs w:val="21"/>
                <w:highlight w:val="none"/>
                <w:shd w:val="clear" w:fill="FFFFFF"/>
                <w:lang w:val="en-US" w:eastAsia="zh-CN" w:bidi="ar"/>
              </w:rPr>
              <w:t>理子系统挂网目录内的耗材产品。</w:t>
            </w:r>
          </w:p>
        </w:tc>
      </w:tr>
      <w:tr w14:paraId="08B20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873" w:type="dxa"/>
            <w:gridSpan w:val="3"/>
            <w:tcBorders>
              <w:top w:val="single" w:color="auto" w:sz="4" w:space="0"/>
              <w:left w:val="single" w:color="auto" w:sz="4" w:space="0"/>
              <w:bottom w:val="single" w:color="auto" w:sz="4" w:space="0"/>
              <w:right w:val="single" w:color="auto" w:sz="4" w:space="0"/>
            </w:tcBorders>
            <w:vAlign w:val="center"/>
          </w:tcPr>
          <w:p w14:paraId="19ED3841">
            <w:pPr>
              <w:snapToGrid w:val="0"/>
              <w:spacing w:line="360" w:lineRule="exact"/>
              <w:rPr>
                <w:highlight w:val="none"/>
              </w:rPr>
            </w:pPr>
            <w:r>
              <w:rPr>
                <w:rFonts w:hint="eastAsia"/>
                <w:b/>
                <w:bCs/>
                <w:highlight w:val="none"/>
              </w:rPr>
              <w:t>二、商务要求表</w:t>
            </w:r>
          </w:p>
        </w:tc>
      </w:tr>
      <w:tr w14:paraId="15947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14:paraId="60A29708">
            <w:pPr>
              <w:spacing w:line="360" w:lineRule="exact"/>
              <w:ind w:right="97" w:rightChars="46"/>
              <w:jc w:val="center"/>
              <w:rPr>
                <w:bCs/>
                <w:highlight w:val="none"/>
              </w:rPr>
            </w:pPr>
            <w:r>
              <w:rPr>
                <w:rFonts w:hint="eastAsia"/>
                <w:bCs/>
                <w:highlight w:val="none"/>
              </w:rPr>
              <w:t>服务期</w:t>
            </w:r>
          </w:p>
        </w:tc>
        <w:tc>
          <w:tcPr>
            <w:tcW w:w="6937" w:type="dxa"/>
            <w:tcBorders>
              <w:top w:val="single" w:color="auto" w:sz="4" w:space="0"/>
              <w:left w:val="single" w:color="auto" w:sz="4" w:space="0"/>
              <w:bottom w:val="single" w:color="auto" w:sz="4" w:space="0"/>
              <w:right w:val="single" w:color="auto" w:sz="4" w:space="0"/>
            </w:tcBorders>
            <w:vAlign w:val="center"/>
          </w:tcPr>
          <w:p w14:paraId="1B4C02F8">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1</w:t>
            </w:r>
            <w:r>
              <w:rPr>
                <w:rFonts w:hint="eastAsia"/>
                <w:bCs/>
                <w:highlight w:val="none"/>
              </w:rPr>
              <w:t>年</w:t>
            </w:r>
            <w:r>
              <w:rPr>
                <w:rFonts w:hint="eastAsia"/>
                <w:bCs/>
                <w:highlight w:val="none"/>
                <w:lang w:eastAsia="zh-CN"/>
              </w:rPr>
              <w:t>。</w:t>
            </w:r>
          </w:p>
        </w:tc>
      </w:tr>
      <w:tr w14:paraId="769FB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14:paraId="1DD68D18">
            <w:pPr>
              <w:spacing w:line="360" w:lineRule="exact"/>
              <w:ind w:right="97" w:rightChars="46"/>
              <w:jc w:val="center"/>
              <w:rPr>
                <w:bCs/>
                <w:highlight w:val="none"/>
              </w:rPr>
            </w:pPr>
            <w:r>
              <w:rPr>
                <w:rFonts w:hint="eastAsia"/>
                <w:bCs/>
                <w:highlight w:val="none"/>
              </w:rPr>
              <w:t>服务地点</w:t>
            </w:r>
          </w:p>
        </w:tc>
        <w:tc>
          <w:tcPr>
            <w:tcW w:w="6937" w:type="dxa"/>
            <w:tcBorders>
              <w:top w:val="single" w:color="auto" w:sz="4" w:space="0"/>
              <w:left w:val="single" w:color="auto" w:sz="4" w:space="0"/>
              <w:bottom w:val="single" w:color="auto" w:sz="4" w:space="0"/>
              <w:right w:val="single" w:color="auto" w:sz="4" w:space="0"/>
            </w:tcBorders>
            <w:vAlign w:val="center"/>
          </w:tcPr>
          <w:p w14:paraId="30C90595">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5E744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14:paraId="2C9E01F0">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937" w:type="dxa"/>
            <w:tcBorders>
              <w:top w:val="single" w:color="auto" w:sz="4" w:space="0"/>
              <w:left w:val="single" w:color="auto" w:sz="4" w:space="0"/>
              <w:bottom w:val="single" w:color="auto" w:sz="4" w:space="0"/>
              <w:right w:val="single" w:color="auto" w:sz="4" w:space="0"/>
            </w:tcBorders>
            <w:vAlign w:val="center"/>
          </w:tcPr>
          <w:p w14:paraId="77C10BB9">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CF19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14:paraId="4C69D701">
            <w:pPr>
              <w:spacing w:line="360" w:lineRule="exact"/>
              <w:ind w:right="97" w:rightChars="46"/>
              <w:jc w:val="center"/>
              <w:rPr>
                <w:rFonts w:cs="Calibri"/>
                <w:highlight w:val="none"/>
              </w:rPr>
            </w:pPr>
            <w:r>
              <w:rPr>
                <w:rFonts w:hint="eastAsia" w:cs="Calibri"/>
                <w:highlight w:val="none"/>
              </w:rPr>
              <w:t>报价说明</w:t>
            </w:r>
          </w:p>
        </w:tc>
        <w:tc>
          <w:tcPr>
            <w:tcW w:w="6937" w:type="dxa"/>
            <w:tcBorders>
              <w:top w:val="single" w:color="auto" w:sz="4" w:space="0"/>
              <w:left w:val="single" w:color="auto" w:sz="4" w:space="0"/>
              <w:bottom w:val="single" w:color="auto" w:sz="4" w:space="0"/>
              <w:right w:val="single" w:color="auto" w:sz="4" w:space="0"/>
            </w:tcBorders>
            <w:vAlign w:val="center"/>
          </w:tcPr>
          <w:p w14:paraId="20EA32C0">
            <w:pPr>
              <w:numPr>
                <w:ilvl w:val="0"/>
                <w:numId w:val="2"/>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4189F4EA">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17287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14:paraId="6C2D3119">
            <w:pPr>
              <w:widowControl/>
              <w:spacing w:line="360" w:lineRule="exact"/>
              <w:jc w:val="center"/>
              <w:rPr>
                <w:rFonts w:cs="Calibri"/>
                <w:highlight w:val="none"/>
              </w:rPr>
            </w:pPr>
            <w:r>
              <w:rPr>
                <w:rFonts w:hint="eastAsia" w:cs="Calibri"/>
                <w:highlight w:val="none"/>
              </w:rPr>
              <w:t>付款方式</w:t>
            </w:r>
          </w:p>
        </w:tc>
        <w:tc>
          <w:tcPr>
            <w:tcW w:w="6937" w:type="dxa"/>
            <w:tcBorders>
              <w:top w:val="single" w:color="auto" w:sz="4" w:space="0"/>
              <w:left w:val="single" w:color="auto" w:sz="4" w:space="0"/>
              <w:bottom w:val="single" w:color="auto" w:sz="4" w:space="0"/>
              <w:right w:val="single" w:color="auto" w:sz="4" w:space="0"/>
            </w:tcBorders>
            <w:vAlign w:val="center"/>
          </w:tcPr>
          <w:p w14:paraId="72E9B88F">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1129C176">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6DD99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14:paraId="3B8E8A04">
            <w:pPr>
              <w:spacing w:line="360" w:lineRule="exact"/>
              <w:jc w:val="center"/>
              <w:rPr>
                <w:rFonts w:cs="Calibri"/>
                <w:color w:val="auto"/>
                <w:highlight w:val="none"/>
              </w:rPr>
            </w:pPr>
            <w:r>
              <w:rPr>
                <w:rFonts w:hint="eastAsia" w:cs="Calibri"/>
                <w:color w:val="auto"/>
                <w:highlight w:val="none"/>
              </w:rPr>
              <w:t>服务要求</w:t>
            </w:r>
          </w:p>
        </w:tc>
        <w:tc>
          <w:tcPr>
            <w:tcW w:w="6937" w:type="dxa"/>
            <w:tcBorders>
              <w:top w:val="single" w:color="auto" w:sz="4" w:space="0"/>
              <w:left w:val="single" w:color="auto" w:sz="4" w:space="0"/>
              <w:bottom w:val="single" w:color="auto" w:sz="4" w:space="0"/>
              <w:right w:val="single" w:color="auto" w:sz="4" w:space="0"/>
            </w:tcBorders>
          </w:tcPr>
          <w:p w14:paraId="4B835708">
            <w:pPr>
              <w:numPr>
                <w:ilvl w:val="0"/>
                <w:numId w:val="3"/>
              </w:numPr>
              <w:spacing w:line="360" w:lineRule="exact"/>
              <w:ind w:right="97" w:rightChars="46"/>
              <w:jc w:val="left"/>
              <w:rPr>
                <w:rFonts w:hint="eastAsia" w:cs="Calibri"/>
                <w:color w:val="auto"/>
                <w:highlight w:val="none"/>
              </w:rPr>
            </w:pPr>
            <w:r>
              <w:rPr>
                <w:rFonts w:hint="eastAsia" w:cs="Calibri"/>
                <w:color w:val="auto"/>
                <w:highlight w:val="none"/>
                <w:lang w:val="en-US" w:eastAsia="zh-CN"/>
              </w:rPr>
              <w:t>供应商提供的产品必须是在自治区中标或药招采子系统平台挂网目录内的耗材产品并且承诺中选后通过药招采子系统平台配送。</w:t>
            </w:r>
          </w:p>
          <w:p w14:paraId="5C40887B">
            <w:pPr>
              <w:numPr>
                <w:ilvl w:val="0"/>
                <w:numId w:val="3"/>
              </w:numPr>
              <w:spacing w:line="360" w:lineRule="exact"/>
              <w:ind w:right="97" w:rightChars="46"/>
              <w:jc w:val="left"/>
              <w:rPr>
                <w:rFonts w:hint="eastAsia"/>
                <w:color w:val="auto"/>
                <w:highlight w:val="none"/>
              </w:rPr>
            </w:pP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322DA906">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6A92916A">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3161402C">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3919F1D7">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eastAsia="宋体"/>
                <w:color w:val="auto"/>
                <w:highlight w:val="none"/>
                <w:lang w:val="en-US" w:eastAsia="zh-CN"/>
              </w:rPr>
            </w:pPr>
            <w:r>
              <w:rPr>
                <w:rFonts w:hint="eastAsia" w:eastAsia="宋体" w:cs="Calibri"/>
                <w:color w:val="auto"/>
                <w:highlight w:val="none"/>
                <w:lang w:val="en-US" w:eastAsia="zh-CN"/>
              </w:rPr>
              <w:t>6、</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tc>
      </w:tr>
      <w:tr w14:paraId="6A5F0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936" w:type="dxa"/>
            <w:gridSpan w:val="2"/>
            <w:tcBorders>
              <w:top w:val="single" w:color="auto" w:sz="4" w:space="0"/>
              <w:left w:val="single" w:color="auto" w:sz="4" w:space="0"/>
              <w:bottom w:val="single" w:color="auto" w:sz="4" w:space="0"/>
              <w:right w:val="single" w:color="auto" w:sz="4" w:space="0"/>
            </w:tcBorders>
            <w:vAlign w:val="center"/>
          </w:tcPr>
          <w:p w14:paraId="00A527F4">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937" w:type="dxa"/>
            <w:tcBorders>
              <w:top w:val="single" w:color="auto" w:sz="4" w:space="0"/>
              <w:left w:val="single" w:color="auto" w:sz="4" w:space="0"/>
              <w:bottom w:val="single" w:color="auto" w:sz="4" w:space="0"/>
              <w:right w:val="single" w:color="auto" w:sz="4" w:space="0"/>
            </w:tcBorders>
            <w:vAlign w:val="center"/>
          </w:tcPr>
          <w:p w14:paraId="518818DB">
            <w:pPr>
              <w:spacing w:line="360" w:lineRule="exact"/>
              <w:rPr>
                <w:rFonts w:hint="eastAsia" w:ascii="宋体" w:hAnsi="宋体" w:eastAsia="宋体" w:cs="宋体"/>
                <w:color w:val="auto"/>
                <w:szCs w:val="21"/>
              </w:rPr>
            </w:pPr>
            <w:r>
              <w:rPr>
                <w:rFonts w:hint="eastAsia" w:ascii="宋体" w:hAnsi="宋体" w:eastAsia="宋体" w:cs="宋体"/>
                <w:color w:val="auto"/>
                <w:szCs w:val="21"/>
                <w:lang w:val="zh-CN"/>
              </w:rPr>
              <w:t>1、</w:t>
            </w:r>
            <w:r>
              <w:rPr>
                <w:rFonts w:hint="eastAsia" w:ascii="宋体" w:hAnsi="宋体" w:eastAsia="宋体" w:cs="宋体"/>
                <w:color w:val="auto"/>
                <w:szCs w:val="21"/>
              </w:rPr>
              <w:t>成交</w:t>
            </w:r>
            <w:r>
              <w:rPr>
                <w:rFonts w:hint="eastAsia" w:ascii="宋体" w:hAnsi="宋体" w:cs="宋体"/>
                <w:color w:val="auto"/>
                <w:szCs w:val="21"/>
                <w:lang w:eastAsia="zh-CN"/>
              </w:rPr>
              <w:t>供应商</w:t>
            </w:r>
            <w:r>
              <w:rPr>
                <w:rFonts w:hint="eastAsia" w:ascii="宋体" w:hAnsi="宋体" w:eastAsia="宋体" w:cs="宋体"/>
                <w:color w:val="auto"/>
                <w:szCs w:val="21"/>
              </w:rPr>
              <w:t>保证向采购人提供的货物是全新、完整、未使用过的。</w:t>
            </w:r>
          </w:p>
          <w:p w14:paraId="0ECF599B">
            <w:pPr>
              <w:spacing w:line="36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 w:val="21"/>
                <w:szCs w:val="21"/>
              </w:rPr>
              <w:t>、</w:t>
            </w:r>
            <w:r>
              <w:rPr>
                <w:rFonts w:hint="eastAsia" w:ascii="宋体" w:hAnsi="宋体" w:eastAsia="宋体" w:cs="宋体"/>
                <w:color w:val="auto"/>
                <w:szCs w:val="21"/>
                <w:lang w:val="en-US" w:eastAsia="zh-CN"/>
              </w:rPr>
              <w:t>成交供应商</w:t>
            </w:r>
            <w:r>
              <w:rPr>
                <w:rFonts w:hint="eastAsia" w:ascii="宋体" w:hAnsi="宋体" w:eastAsia="宋体" w:cs="宋体"/>
                <w:color w:val="auto"/>
                <w:szCs w:val="21"/>
              </w:rPr>
              <w:t>成交后，采购人在货物验收阶段</w:t>
            </w:r>
            <w:r>
              <w:rPr>
                <w:rFonts w:hint="eastAsia" w:ascii="宋体" w:hAnsi="宋体" w:cs="宋体"/>
                <w:color w:val="auto"/>
                <w:szCs w:val="21"/>
              </w:rPr>
              <w:t>发现</w:t>
            </w:r>
            <w:r>
              <w:rPr>
                <w:rFonts w:hint="eastAsia" w:ascii="宋体" w:hAnsi="宋体" w:eastAsia="宋体" w:cs="宋体"/>
                <w:color w:val="auto"/>
                <w:szCs w:val="21"/>
              </w:rPr>
              <w:t>货物技术参数指标达不招标文件技术要求，属虚假应标行为，采购人将拒绝收货，因采购时间延迟造成采购人经济等方面损失，将由该成交人承担，视情况采购人将情况上报政府采购监督管理门。</w:t>
            </w:r>
          </w:p>
          <w:p w14:paraId="3DB3495A">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E4EA5A7">
            <w:pPr>
              <w:pStyle w:val="2"/>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3000元/次，违约金从成交供应商应得的货款中一次性扣除。断货期间，采购人有权向其他供货商购买同类产品，直到成交供应商能继续供货为止。</w:t>
            </w:r>
          </w:p>
          <w:p w14:paraId="40363F49">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B104565">
            <w:pPr>
              <w:spacing w:line="400" w:lineRule="exact"/>
              <w:ind w:right="97" w:rightChars="46"/>
              <w:rPr>
                <w:color w:val="auto"/>
              </w:rPr>
            </w:pPr>
            <w:r>
              <w:rPr>
                <w:rFonts w:hint="eastAsia" w:ascii="宋体" w:hAnsi="宋体" w:cs="宋体"/>
                <w:color w:val="auto"/>
                <w:szCs w:val="21"/>
                <w:highlight w:val="none"/>
                <w:lang w:val="en-US" w:eastAsia="zh-CN"/>
              </w:rPr>
              <w:t>6、</w:t>
            </w:r>
            <w:r>
              <w:rPr>
                <w:rFonts w:hint="eastAsia"/>
                <w:color w:val="auto"/>
              </w:rPr>
              <w:t>合同履行期内因成交供应商原因导致出现严重</w:t>
            </w:r>
            <w:r>
              <w:rPr>
                <w:rFonts w:hint="eastAsia"/>
                <w:color w:val="auto"/>
                <w:lang w:eastAsia="zh-CN"/>
              </w:rPr>
              <w:t>试剂</w:t>
            </w:r>
            <w:r>
              <w:rPr>
                <w:rFonts w:hint="eastAsia"/>
                <w:color w:val="auto"/>
              </w:rPr>
              <w:t>质量事故的，采购单位有权索赔和终止合同。因该事故造成的经济及法律责任，由成交供应商承担。</w:t>
            </w:r>
          </w:p>
          <w:p w14:paraId="33AFDAAF">
            <w:pPr>
              <w:spacing w:line="400" w:lineRule="exact"/>
              <w:ind w:right="97" w:rightChars="46"/>
              <w:rPr>
                <w:rFonts w:hint="default"/>
                <w:lang w:val="en-US" w:eastAsia="zh-CN"/>
              </w:rPr>
            </w:pPr>
            <w:r>
              <w:rPr>
                <w:rFonts w:hint="eastAsia" w:cs="Times New Roman"/>
                <w:color w:val="auto"/>
                <w:lang w:val="en-US" w:eastAsia="zh-CN"/>
              </w:rPr>
              <w:t>7</w:t>
            </w:r>
            <w:r>
              <w:rPr>
                <w:rFonts w:hint="eastAsia" w:eastAsia="宋体" w:cs="Times New Roman"/>
                <w:color w:val="auto"/>
              </w:rPr>
              <w:t>、如合同执行期间成交供应商资质发生变化不符合供货要求或被上级管理部门认定为不能继续供应配送的情况，采购人有权无条件终止合同。</w:t>
            </w:r>
          </w:p>
          <w:p w14:paraId="2369B6E5">
            <w:pPr>
              <w:pStyle w:val="2"/>
              <w:ind w:left="0" w:leftChars="0" w:firstLine="0" w:firstLineChars="0"/>
              <w:rPr>
                <w:rFonts w:hint="eastAsia"/>
                <w:highlight w:val="none"/>
                <w:lang w:val="en-US" w:eastAsia="zh-CN"/>
              </w:rPr>
            </w:pPr>
          </w:p>
        </w:tc>
      </w:tr>
    </w:tbl>
    <w:p w14:paraId="52979B25">
      <w:pPr>
        <w:pStyle w:val="4"/>
      </w:pPr>
    </w:p>
    <w:p w14:paraId="0437035D">
      <w:pPr>
        <w:pStyle w:val="4"/>
        <w:rPr>
          <w:sz w:val="21"/>
          <w:szCs w:val="21"/>
        </w:rPr>
      </w:pPr>
    </w:p>
    <w:p w14:paraId="40074CD8">
      <w:pPr>
        <w:pStyle w:val="4"/>
        <w:rPr>
          <w:rFonts w:hint="default"/>
          <w:sz w:val="21"/>
          <w:szCs w:val="21"/>
          <w:lang w:val="en-US" w:eastAsia="zh-CN"/>
        </w:rPr>
      </w:pPr>
    </w:p>
    <w:p w14:paraId="23AD4870"/>
    <w:p w14:paraId="77205580"/>
    <w:p w14:paraId="6AD627A6"/>
    <w:p w14:paraId="7A4ECC89"/>
    <w:p w14:paraId="4BFA0A42">
      <w:pPr>
        <w:pStyle w:val="5"/>
        <w:numPr>
          <w:ilvl w:val="3"/>
          <w:numId w:val="0"/>
        </w:numPr>
        <w:ind w:leftChars="0"/>
        <w:rPr>
          <w:rFonts w:hint="default"/>
          <w:lang w:val="en-US" w:eastAsia="zh-CN"/>
        </w:rPr>
      </w:pPr>
    </w:p>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金山简黑体">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8A6F1">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03ABF">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203ABF">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5095E"/>
    <w:multiLevelType w:val="singleLevel"/>
    <w:tmpl w:val="BF25095E"/>
    <w:lvl w:ilvl="0" w:tentative="0">
      <w:start w:val="1"/>
      <w:numFmt w:val="decimal"/>
      <w:suff w:val="nothing"/>
      <w:lvlText w:val="%1、"/>
      <w:lvlJc w:val="left"/>
    </w:lvl>
  </w:abstractNum>
  <w:abstractNum w:abstractNumId="1">
    <w:nsid w:val="0F166208"/>
    <w:multiLevelType w:val="singleLevel"/>
    <w:tmpl w:val="0F166208"/>
    <w:lvl w:ilvl="0" w:tentative="0">
      <w:start w:val="1"/>
      <w:numFmt w:val="decimal"/>
      <w:suff w:val="nothing"/>
      <w:lvlText w:val="%1、"/>
      <w:lvlJc w:val="left"/>
    </w:lvl>
  </w:abstractNum>
  <w:abstractNum w:abstractNumId="2">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MGU0MWQ3ZjFiNTA0MDY5NjUzNTQyMjYyOTBjYTYifQ=="/>
  </w:docVars>
  <w:rsids>
    <w:rsidRoot w:val="153558A9"/>
    <w:rsid w:val="09956A01"/>
    <w:rsid w:val="10C45D0D"/>
    <w:rsid w:val="153558A9"/>
    <w:rsid w:val="187D706F"/>
    <w:rsid w:val="1B8850B1"/>
    <w:rsid w:val="2D471155"/>
    <w:rsid w:val="2DFB7239"/>
    <w:rsid w:val="2F88247F"/>
    <w:rsid w:val="30405223"/>
    <w:rsid w:val="31F2600B"/>
    <w:rsid w:val="46633EB2"/>
    <w:rsid w:val="46A56191"/>
    <w:rsid w:val="5A3F7144"/>
    <w:rsid w:val="5AFF287E"/>
    <w:rsid w:val="5C76637A"/>
    <w:rsid w:val="639A5A00"/>
    <w:rsid w:val="6505684A"/>
    <w:rsid w:val="70966801"/>
    <w:rsid w:val="717F4CE5"/>
    <w:rsid w:val="76A531ED"/>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99"/>
    <w:pPr>
      <w:spacing w:before="25" w:after="25"/>
      <w:jc w:val="left"/>
    </w:pPr>
    <w:rPr>
      <w:bCs/>
      <w:spacing w:val="10"/>
      <w:kern w:val="0"/>
      <w:sz w:val="24"/>
    </w:r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4">
    <w:name w:val="Body Text"/>
    <w:basedOn w:val="1"/>
    <w:qFormat/>
    <w:uiPriority w:val="0"/>
    <w:rPr>
      <w:rFonts w:ascii="金山简黑体" w:hAnsi="Courier New" w:eastAsia="金山简黑体"/>
      <w:b/>
      <w:spacing w:val="-8"/>
      <w:sz w:val="44"/>
      <w:szCs w:val="20"/>
    </w:rPr>
  </w:style>
  <w:style w:type="paragraph" w:styleId="6">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2"/>
    <w:basedOn w:val="1"/>
    <w:unhideWhenUsed/>
    <w:qFormat/>
    <w:uiPriority w:val="99"/>
    <w:pPr>
      <w:spacing w:after="120" w:line="480" w:lineRule="auto"/>
    </w:pPr>
  </w:style>
  <w:style w:type="paragraph" w:styleId="10">
    <w:name w:val="Body Text First Indent"/>
    <w:basedOn w:val="4"/>
    <w:semiHidden/>
    <w:unhideWhenUsed/>
    <w:qFormat/>
    <w:uiPriority w:val="99"/>
    <w:pPr>
      <w:ind w:firstLine="420" w:firstLineChars="100"/>
    </w:pPr>
    <w:rPr>
      <w:rFonts w:asciiTheme="minorHAnsi"/>
      <w:sz w:val="21"/>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6">
    <w:name w:val="正文1"/>
    <w:basedOn w:val="1"/>
    <w:qFormat/>
    <w:uiPriority w:val="0"/>
    <w:pPr>
      <w:spacing w:line="318" w:lineRule="atLeast"/>
      <w:ind w:left="369" w:firstLine="369"/>
    </w:pPr>
    <w:rPr>
      <w:rFonts w:ascii="宋体"/>
    </w:rPr>
  </w:style>
  <w:style w:type="paragraph" w:customStyle="1" w:styleId="17">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1673</Words>
  <Characters>1734</Characters>
  <Lines>1</Lines>
  <Paragraphs>1</Paragraphs>
  <TotalTime>3</TotalTime>
  <ScaleCrop>false</ScaleCrop>
  <LinksUpToDate>false</LinksUpToDate>
  <CharactersWithSpaces>1735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2024-10-11T08:31:45Z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B0691300D9494E4E8FDA9DCF45191B1B_13</vt:lpwstr>
  </property>
</Properties>
</file>