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920EF">
      <w:pPr>
        <w:jc w:val="center"/>
        <w:rPr>
          <w:rFonts w:ascii="方正小标宋简体" w:hAnsi="方正小标宋简体" w:eastAsia="方正小标宋简体" w:cs="方正小标宋简体"/>
          <w:b w:val="0"/>
          <w:bCs w:val="0"/>
          <w:sz w:val="44"/>
          <w:szCs w:val="44"/>
        </w:rPr>
      </w:pPr>
      <w:r>
        <w:rPr>
          <w:rFonts w:hint="eastAsia" w:asciiTheme="majorEastAsia" w:hAnsiTheme="majorEastAsia" w:eastAsiaTheme="majorEastAsia" w:cstheme="majorEastAsia"/>
          <w:b w:val="0"/>
          <w:bCs w:val="0"/>
          <w:sz w:val="40"/>
          <w:szCs w:val="40"/>
          <w:lang w:val="en-US" w:eastAsia="zh-CN"/>
        </w:rPr>
        <w:t>医用耗材（第四批）需求</w:t>
      </w:r>
      <w:r>
        <w:rPr>
          <w:rFonts w:hint="eastAsia" w:asciiTheme="majorEastAsia" w:hAnsiTheme="majorEastAsia" w:eastAsiaTheme="majorEastAsia" w:cstheme="majorEastAsia"/>
          <w:b w:val="0"/>
          <w:bCs w:val="0"/>
          <w:sz w:val="40"/>
          <w:szCs w:val="40"/>
        </w:rPr>
        <w:t>参数</w:t>
      </w:r>
    </w:p>
    <w:p w14:paraId="203F1C1F">
      <w:pP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一、</w:t>
      </w:r>
      <w:r>
        <w:rPr>
          <w:rFonts w:hint="eastAsia" w:ascii="方正小标宋简体" w:hAnsi="方正小标宋简体" w:eastAsia="方正小标宋简体" w:cs="方正小标宋简体"/>
          <w:sz w:val="28"/>
          <w:szCs w:val="28"/>
          <w:lang w:eastAsia="zh-CN"/>
        </w:rPr>
        <w:t>基本需求参数</w:t>
      </w:r>
      <w:r>
        <w:rPr>
          <w:rFonts w:hint="eastAsia" w:ascii="方正小标宋简体" w:hAnsi="方正小标宋简体" w:eastAsia="方正小标宋简体" w:cs="方正小标宋简体"/>
          <w:sz w:val="28"/>
          <w:szCs w:val="28"/>
        </w:rPr>
        <w:t>：</w:t>
      </w:r>
    </w:p>
    <w:tbl>
      <w:tblPr>
        <w:tblStyle w:val="11"/>
        <w:tblpPr w:leftFromText="180" w:rightFromText="180" w:vertAnchor="text" w:horzAnchor="page" w:tblpX="1942" w:tblpY="549"/>
        <w:tblOverlap w:val="never"/>
        <w:tblW w:w="8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547"/>
        <w:gridCol w:w="674"/>
        <w:gridCol w:w="1518"/>
        <w:gridCol w:w="3984"/>
      </w:tblGrid>
      <w:tr w14:paraId="390F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36" w:type="dxa"/>
          </w:tcPr>
          <w:p w14:paraId="2649EC97">
            <w:pPr>
              <w:spacing w:line="360" w:lineRule="auto"/>
              <w:jc w:val="center"/>
              <w:rPr>
                <w:rFonts w:ascii="宋体" w:hAnsi="宋体" w:eastAsia="宋体" w:cs="宋体"/>
                <w:b/>
                <w:sz w:val="24"/>
              </w:rPr>
            </w:pPr>
            <w:r>
              <w:rPr>
                <w:rFonts w:hint="eastAsia" w:ascii="宋体" w:hAnsi="宋体" w:eastAsia="宋体" w:cs="宋体"/>
                <w:b/>
                <w:sz w:val="24"/>
              </w:rPr>
              <w:t>序号</w:t>
            </w:r>
          </w:p>
        </w:tc>
        <w:tc>
          <w:tcPr>
            <w:tcW w:w="1547" w:type="dxa"/>
            <w:vAlign w:val="center"/>
          </w:tcPr>
          <w:p w14:paraId="56D77CCF">
            <w:pPr>
              <w:spacing w:line="360" w:lineRule="auto"/>
              <w:jc w:val="center"/>
              <w:rPr>
                <w:rFonts w:ascii="宋体" w:hAnsi="宋体" w:eastAsia="宋体"/>
                <w:b/>
                <w:sz w:val="24"/>
              </w:rPr>
            </w:pPr>
            <w:r>
              <w:rPr>
                <w:rFonts w:hint="eastAsia" w:ascii="宋体" w:hAnsi="宋体" w:eastAsia="宋体"/>
                <w:b/>
                <w:sz w:val="24"/>
                <w:lang w:eastAsia="zh-CN"/>
              </w:rPr>
              <w:t>耗材</w:t>
            </w:r>
            <w:r>
              <w:rPr>
                <w:rFonts w:hint="eastAsia" w:ascii="宋体" w:hAnsi="宋体" w:eastAsia="宋体"/>
                <w:b/>
                <w:sz w:val="24"/>
              </w:rPr>
              <w:t>名称</w:t>
            </w:r>
          </w:p>
        </w:tc>
        <w:tc>
          <w:tcPr>
            <w:tcW w:w="674" w:type="dxa"/>
            <w:vAlign w:val="center"/>
          </w:tcPr>
          <w:p w14:paraId="71F31FA5">
            <w:pPr>
              <w:spacing w:line="360" w:lineRule="auto"/>
              <w:jc w:val="center"/>
              <w:rPr>
                <w:rFonts w:hint="default" w:ascii="宋体" w:hAnsi="宋体" w:eastAsia="宋体" w:cs="宋体"/>
                <w:b/>
                <w:sz w:val="24"/>
                <w:lang w:val="en-US" w:eastAsia="zh-CN"/>
              </w:rPr>
            </w:pPr>
            <w:r>
              <w:rPr>
                <w:rFonts w:hint="eastAsia" w:ascii="宋体" w:hAnsi="宋体" w:eastAsia="宋体" w:cs="宋体"/>
                <w:b/>
                <w:sz w:val="24"/>
                <w:lang w:val="en-US" w:eastAsia="zh-CN"/>
              </w:rPr>
              <w:t>单位</w:t>
            </w:r>
          </w:p>
        </w:tc>
        <w:tc>
          <w:tcPr>
            <w:tcW w:w="1518" w:type="dxa"/>
            <w:vAlign w:val="center"/>
          </w:tcPr>
          <w:p w14:paraId="26490383">
            <w:pPr>
              <w:spacing w:line="360" w:lineRule="auto"/>
              <w:jc w:val="center"/>
              <w:rPr>
                <w:rFonts w:hint="default" w:ascii="宋体" w:hAnsi="宋体" w:eastAsia="宋体" w:cs="宋体"/>
                <w:b/>
                <w:sz w:val="24"/>
                <w:lang w:val="en-US" w:eastAsia="zh-CN"/>
              </w:rPr>
            </w:pPr>
            <w:r>
              <w:rPr>
                <w:rFonts w:hint="eastAsia" w:ascii="宋体" w:hAnsi="宋体" w:eastAsia="宋体" w:cs="宋体"/>
                <w:b/>
                <w:sz w:val="24"/>
                <w:lang w:val="en-US" w:eastAsia="zh-CN"/>
              </w:rPr>
              <w:t>预计年使用数量</w:t>
            </w:r>
          </w:p>
        </w:tc>
        <w:tc>
          <w:tcPr>
            <w:tcW w:w="3984" w:type="dxa"/>
            <w:vAlign w:val="center"/>
          </w:tcPr>
          <w:p w14:paraId="2AF9BE7A">
            <w:pPr>
              <w:spacing w:line="360" w:lineRule="auto"/>
              <w:jc w:val="center"/>
              <w:rPr>
                <w:rFonts w:ascii="宋体" w:hAnsi="宋体" w:eastAsia="宋体" w:cs="宋体"/>
                <w:b/>
                <w:sz w:val="24"/>
              </w:rPr>
            </w:pPr>
            <w:r>
              <w:rPr>
                <w:rFonts w:hint="eastAsia" w:ascii="宋体" w:hAnsi="宋体" w:eastAsia="宋体" w:cs="宋体"/>
                <w:b/>
                <w:sz w:val="24"/>
                <w:lang w:eastAsia="zh-CN"/>
              </w:rPr>
              <w:t>基本需求参数</w:t>
            </w:r>
          </w:p>
        </w:tc>
      </w:tr>
      <w:tr w14:paraId="57E1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536" w:type="dxa"/>
            <w:vAlign w:val="center"/>
          </w:tcPr>
          <w:p w14:paraId="24F0C644">
            <w:pPr>
              <w:jc w:val="center"/>
              <w:rPr>
                <w:rFonts w:hint="default" w:ascii="宋体" w:hAnsi="宋体" w:eastAsia="宋体" w:cs="宋体"/>
                <w:sz w:val="24"/>
                <w:lang w:val="en-US" w:eastAsia="zh-CN"/>
              </w:rPr>
            </w:pPr>
            <w:r>
              <w:rPr>
                <w:rFonts w:hint="eastAsia" w:ascii="宋体" w:hAnsi="宋体" w:eastAsia="宋体" w:cs="宋体"/>
                <w:sz w:val="24"/>
                <w:lang w:val="en-US" w:eastAsia="zh-CN"/>
              </w:rPr>
              <w:t>1</w:t>
            </w:r>
          </w:p>
        </w:tc>
        <w:tc>
          <w:tcPr>
            <w:tcW w:w="1547" w:type="dxa"/>
            <w:vAlign w:val="center"/>
          </w:tcPr>
          <w:p w14:paraId="533BFB94">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lang w:val="en-US" w:eastAsia="zh-CN"/>
              </w:rPr>
              <w:t>巴斯德吸管</w:t>
            </w:r>
          </w:p>
        </w:tc>
        <w:tc>
          <w:tcPr>
            <w:tcW w:w="674" w:type="dxa"/>
            <w:vAlign w:val="center"/>
          </w:tcPr>
          <w:p w14:paraId="3DF3DD3D">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lang w:val="en-US" w:eastAsia="zh-CN"/>
              </w:rPr>
              <w:t>支</w:t>
            </w:r>
          </w:p>
        </w:tc>
        <w:tc>
          <w:tcPr>
            <w:tcW w:w="1518" w:type="dxa"/>
            <w:vAlign w:val="center"/>
          </w:tcPr>
          <w:p w14:paraId="07890ADC">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lang w:val="en-US" w:eastAsia="zh-CN"/>
              </w:rPr>
              <w:t>33000</w:t>
            </w:r>
          </w:p>
        </w:tc>
        <w:tc>
          <w:tcPr>
            <w:tcW w:w="3984" w:type="dxa"/>
            <w:vAlign w:val="center"/>
          </w:tcPr>
          <w:p w14:paraId="7A4B2613">
            <w:pPr>
              <w:keepNext w:val="0"/>
              <w:keepLines w:val="0"/>
              <w:widowControl/>
              <w:suppressLineNumbers w:val="0"/>
              <w:jc w:val="both"/>
              <w:textAlignment w:val="bottom"/>
              <w:rPr>
                <w:rFonts w:hint="eastAsia" w:ascii="宋体" w:hAnsi="宋体" w:eastAsia="宋体" w:cs="宋体"/>
                <w:lang w:val="en-US" w:eastAsia="zh-CN"/>
              </w:rPr>
            </w:pPr>
            <w:r>
              <w:rPr>
                <w:rFonts w:hint="eastAsia" w:ascii="宋体" w:hAnsi="宋体" w:eastAsia="宋体" w:cs="宋体"/>
                <w:lang w:val="en-US" w:eastAsia="zh-CN"/>
              </w:rPr>
              <w:t>用途：用于辅助生殖卵母细胞及胚胎、精子的转移</w:t>
            </w:r>
          </w:p>
          <w:p w14:paraId="0CB8A9F5">
            <w:pPr>
              <w:keepNext w:val="0"/>
              <w:keepLines w:val="0"/>
              <w:widowControl/>
              <w:suppressLineNumbers w:val="0"/>
              <w:jc w:val="both"/>
              <w:textAlignment w:val="bottom"/>
              <w:rPr>
                <w:rFonts w:hint="eastAsia" w:ascii="宋体" w:hAnsi="宋体" w:eastAsia="宋体" w:cs="宋体"/>
                <w:lang w:val="en-US" w:eastAsia="zh-CN"/>
              </w:rPr>
            </w:pPr>
            <w:r>
              <w:rPr>
                <w:rFonts w:hint="eastAsia" w:ascii="宋体" w:hAnsi="宋体" w:eastAsia="宋体" w:cs="宋体"/>
                <w:lang w:val="en-US" w:eastAsia="zh-CN"/>
              </w:rPr>
              <w:t>1.材质为硼硅或碱石灰玻璃；</w:t>
            </w:r>
          </w:p>
          <w:p w14:paraId="5A27395A">
            <w:pPr>
              <w:keepNext w:val="0"/>
              <w:keepLines w:val="0"/>
              <w:widowControl/>
              <w:suppressLineNumbers w:val="0"/>
              <w:jc w:val="both"/>
              <w:textAlignment w:val="bottom"/>
              <w:rPr>
                <w:rFonts w:hint="eastAsia" w:ascii="宋体" w:hAnsi="宋体" w:eastAsia="宋体" w:cs="宋体"/>
                <w:lang w:val="en-US" w:eastAsia="zh-CN"/>
              </w:rPr>
            </w:pPr>
            <w:r>
              <w:rPr>
                <w:rFonts w:hint="eastAsia" w:ascii="宋体" w:hAnsi="宋体" w:eastAsia="宋体" w:cs="宋体"/>
                <w:lang w:val="en-US" w:eastAsia="zh-CN"/>
              </w:rPr>
              <w:t>2.医用且一次性使用，经过灭菌处理；</w:t>
            </w:r>
          </w:p>
          <w:p w14:paraId="29F6A615">
            <w:pPr>
              <w:keepNext w:val="0"/>
              <w:keepLines w:val="0"/>
              <w:widowControl/>
              <w:suppressLineNumbers w:val="0"/>
              <w:jc w:val="both"/>
              <w:textAlignment w:val="bottom"/>
              <w:rPr>
                <w:rFonts w:hint="eastAsia" w:ascii="宋体" w:hAnsi="宋体" w:eastAsia="宋体" w:cs="宋体"/>
                <w:lang w:val="en-US" w:eastAsia="zh-CN"/>
              </w:rPr>
            </w:pPr>
            <w:r>
              <w:rPr>
                <w:rFonts w:hint="eastAsia" w:ascii="宋体" w:hAnsi="宋体" w:eastAsia="宋体" w:cs="宋体"/>
                <w:lang w:val="en-US" w:eastAsia="zh-CN"/>
              </w:rPr>
              <w:t>3.内表面清洁光滑，小于30支独立包装，窄颈型，顶端敞口，带棉塞，用于人胚胎操作，无胚胎毒性</w:t>
            </w:r>
          </w:p>
          <w:p w14:paraId="18DE5503">
            <w:pPr>
              <w:keepNext w:val="0"/>
              <w:keepLines w:val="0"/>
              <w:widowControl/>
              <w:suppressLineNumbers w:val="0"/>
              <w:jc w:val="both"/>
              <w:textAlignment w:val="bottom"/>
              <w:rPr>
                <w:rFonts w:hint="eastAsia" w:ascii="宋体" w:hAnsi="宋体" w:eastAsia="宋体" w:cs="宋体"/>
                <w:lang w:val="en-US" w:eastAsia="zh-CN"/>
              </w:rPr>
            </w:pPr>
            <w:r>
              <w:rPr>
                <w:rFonts w:hint="eastAsia" w:ascii="宋体" w:hAnsi="宋体" w:eastAsia="宋体" w:cs="宋体"/>
                <w:lang w:val="en-US" w:eastAsia="zh-CN"/>
              </w:rPr>
              <w:t>4.长度约23cm。</w:t>
            </w:r>
          </w:p>
        </w:tc>
      </w:tr>
      <w:tr w14:paraId="6B52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536" w:type="dxa"/>
            <w:vAlign w:val="center"/>
          </w:tcPr>
          <w:p w14:paraId="11F64BF6">
            <w:pPr>
              <w:jc w:val="center"/>
              <w:rPr>
                <w:rFonts w:hint="eastAsia" w:ascii="宋体" w:hAnsi="宋体" w:eastAsia="宋体" w:cs="宋体"/>
                <w:sz w:val="24"/>
                <w:lang w:val="en-US" w:eastAsia="zh-CN"/>
              </w:rPr>
            </w:pPr>
            <w:r>
              <w:rPr>
                <w:rFonts w:hint="eastAsia" w:ascii="宋体" w:hAnsi="宋体" w:eastAsia="宋体" w:cs="宋体"/>
                <w:sz w:val="24"/>
                <w:lang w:val="en-US" w:eastAsia="zh-CN"/>
              </w:rPr>
              <w:t>２</w:t>
            </w:r>
          </w:p>
        </w:tc>
        <w:tc>
          <w:tcPr>
            <w:tcW w:w="1547" w:type="dxa"/>
            <w:vAlign w:val="center"/>
          </w:tcPr>
          <w:p w14:paraId="08A1414E">
            <w:pPr>
              <w:keepNext w:val="0"/>
              <w:keepLines w:val="0"/>
              <w:widowControl/>
              <w:suppressLineNumbers w:val="0"/>
              <w:jc w:val="both"/>
              <w:textAlignment w:val="center"/>
              <w:rPr>
                <w:rFonts w:hint="default" w:ascii="宋体" w:hAnsi="宋体" w:eastAsia="宋体" w:cs="宋体"/>
                <w:lang w:val="en-US" w:eastAsia="zh-CN"/>
              </w:rPr>
            </w:pPr>
            <w:r>
              <w:rPr>
                <w:rFonts w:hint="eastAsia" w:ascii="宋体" w:hAnsi="宋体" w:eastAsia="宋体" w:cs="宋体"/>
                <w:lang w:val="en-US" w:eastAsia="zh-CN"/>
              </w:rPr>
              <w:t>玻璃管</w:t>
            </w:r>
          </w:p>
        </w:tc>
        <w:tc>
          <w:tcPr>
            <w:tcW w:w="674" w:type="dxa"/>
            <w:vAlign w:val="center"/>
          </w:tcPr>
          <w:p w14:paraId="29D85D0F">
            <w:pPr>
              <w:keepNext w:val="0"/>
              <w:keepLines w:val="0"/>
              <w:widowControl/>
              <w:suppressLineNumbers w:val="0"/>
              <w:jc w:val="center"/>
              <w:textAlignment w:val="center"/>
              <w:rPr>
                <w:rFonts w:hint="default" w:hAnsi="宋体" w:eastAsia="宋体" w:cs="宋体"/>
                <w:lang w:val="en-US" w:eastAsia="zh-CN"/>
              </w:rPr>
            </w:pPr>
            <w:r>
              <w:rPr>
                <w:rFonts w:hint="eastAsia" w:hAnsi="宋体" w:eastAsia="宋体" w:cs="宋体"/>
                <w:lang w:val="en-US" w:eastAsia="zh-CN"/>
              </w:rPr>
              <w:t>支</w:t>
            </w:r>
          </w:p>
        </w:tc>
        <w:tc>
          <w:tcPr>
            <w:tcW w:w="1518" w:type="dxa"/>
            <w:vAlign w:val="center"/>
          </w:tcPr>
          <w:p w14:paraId="6437EA58">
            <w:pPr>
              <w:keepNext w:val="0"/>
              <w:keepLines w:val="0"/>
              <w:widowControl/>
              <w:suppressLineNumbers w:val="0"/>
              <w:jc w:val="center"/>
              <w:textAlignment w:val="center"/>
              <w:rPr>
                <w:rFonts w:hint="default" w:hAnsi="宋体" w:eastAsia="宋体" w:cs="宋体"/>
                <w:lang w:val="en-US" w:eastAsia="zh-CN"/>
              </w:rPr>
            </w:pPr>
            <w:r>
              <w:rPr>
                <w:rFonts w:hint="eastAsia" w:hAnsi="宋体" w:eastAsia="宋体" w:cs="宋体"/>
                <w:lang w:val="en-US" w:eastAsia="zh-CN"/>
              </w:rPr>
              <w:t>12000</w:t>
            </w:r>
          </w:p>
        </w:tc>
        <w:tc>
          <w:tcPr>
            <w:tcW w:w="3984" w:type="dxa"/>
            <w:vAlign w:val="center"/>
          </w:tcPr>
          <w:p w14:paraId="276F8E01">
            <w:pPr>
              <w:keepNext w:val="0"/>
              <w:keepLines w:val="0"/>
              <w:widowControl/>
              <w:suppressLineNumbers w:val="0"/>
              <w:jc w:val="both"/>
              <w:textAlignment w:val="bottom"/>
              <w:rPr>
                <w:rFonts w:hint="eastAsia" w:ascii="宋体" w:hAnsi="宋体" w:eastAsia="宋体" w:cs="宋体"/>
                <w:lang w:val="en-US" w:eastAsia="zh-CN"/>
              </w:rPr>
            </w:pPr>
            <w:r>
              <w:rPr>
                <w:rFonts w:hint="eastAsia" w:ascii="宋体" w:hAnsi="宋体" w:eastAsia="宋体" w:cs="宋体"/>
                <w:lang w:val="en-US" w:eastAsia="zh-CN"/>
              </w:rPr>
              <w:t>用途：用于IVF实验室中各种取样、移液及捡卵操作。</w:t>
            </w:r>
          </w:p>
          <w:p w14:paraId="40113126">
            <w:pPr>
              <w:keepNext w:val="0"/>
              <w:keepLines w:val="0"/>
              <w:widowControl/>
              <w:suppressLineNumbers w:val="0"/>
              <w:jc w:val="both"/>
              <w:textAlignment w:val="bottom"/>
              <w:rPr>
                <w:rFonts w:hint="eastAsia" w:ascii="宋体" w:hAnsi="宋体" w:eastAsia="宋体" w:cs="宋体"/>
                <w:lang w:val="en-US" w:eastAsia="zh-CN"/>
              </w:rPr>
            </w:pPr>
            <w:r>
              <w:rPr>
                <w:rFonts w:hint="eastAsia" w:ascii="宋体" w:hAnsi="宋体" w:eastAsia="宋体" w:cs="宋体"/>
                <w:lang w:val="en-US" w:eastAsia="zh-CN"/>
              </w:rPr>
              <w:t>1、由透明无色硼酸盐玻璃制作而成，形状统一、管壁厚，强度高；</w:t>
            </w:r>
          </w:p>
          <w:p w14:paraId="7B8C6BE8">
            <w:pPr>
              <w:keepNext w:val="0"/>
              <w:keepLines w:val="0"/>
              <w:widowControl/>
              <w:suppressLineNumbers w:val="0"/>
              <w:jc w:val="both"/>
              <w:textAlignment w:val="bottom"/>
              <w:rPr>
                <w:rFonts w:hint="eastAsia" w:ascii="宋体" w:hAnsi="宋体" w:eastAsia="宋体" w:cs="宋体"/>
                <w:lang w:val="en-US" w:eastAsia="zh-CN"/>
              </w:rPr>
            </w:pPr>
            <w:r>
              <w:rPr>
                <w:rFonts w:hint="eastAsia" w:ascii="宋体" w:hAnsi="宋体" w:eastAsia="宋体" w:cs="宋体"/>
                <w:lang w:val="en-US" w:eastAsia="zh-CN"/>
              </w:rPr>
              <w:t>2、毛细管头端长，适合根据实验需要拉制不同规格的毛细管；</w:t>
            </w:r>
          </w:p>
          <w:p w14:paraId="11ACDFE9">
            <w:pPr>
              <w:keepNext w:val="0"/>
              <w:keepLines w:val="0"/>
              <w:widowControl/>
              <w:suppressLineNumbers w:val="0"/>
              <w:jc w:val="both"/>
              <w:textAlignment w:val="bottom"/>
              <w:rPr>
                <w:rFonts w:hint="eastAsia" w:ascii="宋体" w:hAnsi="宋体" w:eastAsia="宋体" w:cs="宋体"/>
                <w:lang w:val="en-US" w:eastAsia="zh-CN"/>
              </w:rPr>
            </w:pPr>
            <w:r>
              <w:rPr>
                <w:rFonts w:hint="eastAsia" w:ascii="宋体" w:hAnsi="宋体" w:eastAsia="宋体" w:cs="宋体"/>
                <w:lang w:val="en-US" w:eastAsia="zh-CN"/>
              </w:rPr>
              <w:t>3、吸头端长，适合放置棉塞；</w:t>
            </w:r>
          </w:p>
          <w:p w14:paraId="63247BA9">
            <w:pPr>
              <w:keepNext w:val="0"/>
              <w:keepLines w:val="0"/>
              <w:widowControl/>
              <w:suppressLineNumbers w:val="0"/>
              <w:jc w:val="both"/>
              <w:textAlignment w:val="bottom"/>
              <w:rPr>
                <w:rFonts w:hint="eastAsia" w:ascii="宋体" w:hAnsi="宋体" w:eastAsia="宋体" w:cs="宋体"/>
                <w:lang w:val="en-US" w:eastAsia="zh-CN"/>
              </w:rPr>
            </w:pPr>
            <w:r>
              <w:rPr>
                <w:rFonts w:hint="eastAsia" w:ascii="宋体" w:hAnsi="宋体" w:eastAsia="宋体" w:cs="宋体"/>
                <w:lang w:val="en-US" w:eastAsia="zh-CN"/>
              </w:rPr>
              <w:t>4、一次性无菌提供，产品安全可靠；</w:t>
            </w:r>
          </w:p>
          <w:p w14:paraId="54EFC98C">
            <w:pPr>
              <w:keepNext w:val="0"/>
              <w:keepLines w:val="0"/>
              <w:widowControl/>
              <w:suppressLineNumbers w:val="0"/>
              <w:jc w:val="both"/>
              <w:textAlignment w:val="bottom"/>
              <w:rPr>
                <w:rFonts w:hint="eastAsia" w:ascii="宋体" w:hAnsi="宋体" w:eastAsia="宋体" w:cs="宋体"/>
                <w:lang w:val="en-US" w:eastAsia="zh-CN"/>
              </w:rPr>
            </w:pPr>
            <w:r>
              <w:rPr>
                <w:rFonts w:hint="eastAsia" w:ascii="宋体" w:hAnsi="宋体" w:eastAsia="宋体" w:cs="宋体"/>
                <w:lang w:val="en-US" w:eastAsia="zh-CN"/>
              </w:rPr>
              <w:t>5、长度约22.5cm。</w:t>
            </w:r>
            <w:bookmarkStart w:id="0" w:name="_GoBack"/>
            <w:bookmarkEnd w:id="0"/>
          </w:p>
        </w:tc>
      </w:tr>
    </w:tbl>
    <w:p w14:paraId="47865B68">
      <w:pPr>
        <w:numPr>
          <w:ilvl w:val="0"/>
          <w:numId w:val="0"/>
        </w:numPr>
        <w:rPr>
          <w:rFonts w:hint="eastAsia"/>
          <w:b/>
          <w:color w:val="auto"/>
          <w:sz w:val="28"/>
          <w:szCs w:val="28"/>
          <w:lang w:eastAsia="zh-CN"/>
        </w:rPr>
      </w:pPr>
    </w:p>
    <w:p w14:paraId="05E42584">
      <w:pPr>
        <w:numPr>
          <w:ilvl w:val="0"/>
          <w:numId w:val="2"/>
        </w:numPr>
        <w:rPr>
          <w:rFonts w:hint="eastAsia"/>
          <w:lang w:eastAsia="zh-CN"/>
        </w:rPr>
      </w:pPr>
      <w:r>
        <w:rPr>
          <w:rFonts w:hint="eastAsia"/>
          <w:b/>
          <w:color w:val="auto"/>
          <w:sz w:val="28"/>
          <w:szCs w:val="28"/>
          <w:lang w:eastAsia="zh-CN"/>
        </w:rPr>
        <w:t>商务需求</w:t>
      </w:r>
    </w:p>
    <w:tbl>
      <w:tblPr>
        <w:tblStyle w:val="10"/>
        <w:tblpPr w:leftFromText="180" w:rightFromText="180" w:vertAnchor="text" w:horzAnchor="page" w:tblpX="1757" w:tblpY="585"/>
        <w:tblOverlap w:val="never"/>
        <w:tblW w:w="887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6"/>
        <w:gridCol w:w="6937"/>
      </w:tblGrid>
      <w:tr w14:paraId="27ED4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936" w:type="dxa"/>
            <w:tcBorders>
              <w:top w:val="single" w:color="auto" w:sz="4" w:space="0"/>
              <w:left w:val="single" w:color="auto" w:sz="4" w:space="0"/>
              <w:bottom w:val="single" w:color="auto" w:sz="4" w:space="0"/>
              <w:right w:val="single" w:color="auto" w:sz="4" w:space="0"/>
            </w:tcBorders>
            <w:vAlign w:val="center"/>
          </w:tcPr>
          <w:p w14:paraId="01DA93A9">
            <w:pPr>
              <w:spacing w:line="360" w:lineRule="exact"/>
              <w:ind w:right="97" w:rightChars="46"/>
              <w:jc w:val="center"/>
              <w:rPr>
                <w:bCs/>
                <w:highlight w:val="none"/>
              </w:rPr>
            </w:pPr>
            <w:r>
              <w:rPr>
                <w:rFonts w:hint="eastAsia"/>
                <w:bCs/>
                <w:highlight w:val="none"/>
              </w:rPr>
              <w:t>服务地点</w:t>
            </w:r>
          </w:p>
        </w:tc>
        <w:tc>
          <w:tcPr>
            <w:tcW w:w="6937" w:type="dxa"/>
            <w:tcBorders>
              <w:top w:val="single" w:color="auto" w:sz="4" w:space="0"/>
              <w:left w:val="single" w:color="auto" w:sz="4" w:space="0"/>
              <w:bottom w:val="single" w:color="auto" w:sz="4" w:space="0"/>
              <w:right w:val="single" w:color="auto" w:sz="4" w:space="0"/>
            </w:tcBorders>
            <w:vAlign w:val="center"/>
          </w:tcPr>
          <w:p w14:paraId="2C5F71F1">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01C2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936" w:type="dxa"/>
            <w:tcBorders>
              <w:top w:val="single" w:color="auto" w:sz="4" w:space="0"/>
              <w:left w:val="single" w:color="auto" w:sz="4" w:space="0"/>
              <w:bottom w:val="single" w:color="auto" w:sz="4" w:space="0"/>
              <w:right w:val="single" w:color="auto" w:sz="4" w:space="0"/>
            </w:tcBorders>
            <w:vAlign w:val="center"/>
          </w:tcPr>
          <w:p w14:paraId="5EEAFA56">
            <w:pPr>
              <w:snapToGrid w:val="0"/>
              <w:spacing w:line="420" w:lineRule="atLeast"/>
              <w:jc w:val="center"/>
              <w:rPr>
                <w:rFonts w:hint="eastAsia" w:ascii="宋体" w:hAnsi="宋体" w:eastAsia="宋体" w:cs="宋体"/>
                <w:b/>
                <w:color w:val="auto"/>
                <w:kern w:val="2"/>
                <w:sz w:val="21"/>
                <w:szCs w:val="21"/>
                <w:highlight w:val="none"/>
                <w:lang w:val="en-US" w:eastAsia="zh-CN" w:bidi="ar-SA"/>
              </w:rPr>
            </w:pPr>
            <w:r>
              <w:rPr>
                <w:rFonts w:hint="eastAsia"/>
                <w:bCs/>
                <w:highlight w:val="none"/>
              </w:rPr>
              <w:t>运送方式</w:t>
            </w:r>
          </w:p>
        </w:tc>
        <w:tc>
          <w:tcPr>
            <w:tcW w:w="6937" w:type="dxa"/>
            <w:tcBorders>
              <w:top w:val="single" w:color="auto" w:sz="4" w:space="0"/>
              <w:left w:val="single" w:color="auto" w:sz="4" w:space="0"/>
              <w:bottom w:val="single" w:color="auto" w:sz="4" w:space="0"/>
              <w:right w:val="single" w:color="auto" w:sz="4" w:space="0"/>
            </w:tcBorders>
            <w:vAlign w:val="center"/>
          </w:tcPr>
          <w:p w14:paraId="5984B451">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48323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936" w:type="dxa"/>
            <w:tcBorders>
              <w:top w:val="single" w:color="auto" w:sz="4" w:space="0"/>
              <w:left w:val="single" w:color="auto" w:sz="4" w:space="0"/>
              <w:bottom w:val="single" w:color="auto" w:sz="4" w:space="0"/>
              <w:right w:val="single" w:color="auto" w:sz="4" w:space="0"/>
            </w:tcBorders>
            <w:vAlign w:val="center"/>
          </w:tcPr>
          <w:p w14:paraId="11BD34EC">
            <w:pPr>
              <w:spacing w:line="360" w:lineRule="exact"/>
              <w:ind w:right="97" w:rightChars="46"/>
              <w:jc w:val="center"/>
              <w:rPr>
                <w:rFonts w:cs="Calibri"/>
                <w:highlight w:val="none"/>
              </w:rPr>
            </w:pPr>
            <w:r>
              <w:rPr>
                <w:rFonts w:hint="eastAsia" w:cs="Calibri"/>
                <w:highlight w:val="none"/>
              </w:rPr>
              <w:t>报价说明</w:t>
            </w:r>
          </w:p>
        </w:tc>
        <w:tc>
          <w:tcPr>
            <w:tcW w:w="6937" w:type="dxa"/>
            <w:tcBorders>
              <w:top w:val="single" w:color="auto" w:sz="4" w:space="0"/>
              <w:left w:val="single" w:color="auto" w:sz="4" w:space="0"/>
              <w:bottom w:val="single" w:color="auto" w:sz="4" w:space="0"/>
              <w:right w:val="single" w:color="auto" w:sz="4" w:space="0"/>
            </w:tcBorders>
            <w:vAlign w:val="center"/>
          </w:tcPr>
          <w:p w14:paraId="76FDD39A">
            <w:pPr>
              <w:numPr>
                <w:ilvl w:val="0"/>
                <w:numId w:val="0"/>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6A08216E">
            <w:pPr>
              <w:pStyle w:val="13"/>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p>
        </w:tc>
      </w:tr>
      <w:tr w14:paraId="62470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936" w:type="dxa"/>
            <w:tcBorders>
              <w:top w:val="single" w:color="auto" w:sz="4" w:space="0"/>
              <w:left w:val="single" w:color="auto" w:sz="4" w:space="0"/>
              <w:bottom w:val="single" w:color="auto" w:sz="4" w:space="0"/>
              <w:right w:val="single" w:color="auto" w:sz="4" w:space="0"/>
            </w:tcBorders>
            <w:vAlign w:val="center"/>
          </w:tcPr>
          <w:p w14:paraId="5E61DF42">
            <w:pPr>
              <w:widowControl/>
              <w:spacing w:line="360" w:lineRule="exact"/>
              <w:jc w:val="center"/>
              <w:rPr>
                <w:rFonts w:cs="Calibri"/>
                <w:highlight w:val="none"/>
              </w:rPr>
            </w:pPr>
            <w:r>
              <w:rPr>
                <w:rFonts w:hint="eastAsia" w:cs="Calibri"/>
                <w:highlight w:val="none"/>
              </w:rPr>
              <w:t>付款方式</w:t>
            </w:r>
          </w:p>
        </w:tc>
        <w:tc>
          <w:tcPr>
            <w:tcW w:w="6937" w:type="dxa"/>
            <w:tcBorders>
              <w:top w:val="single" w:color="auto" w:sz="4" w:space="0"/>
              <w:left w:val="single" w:color="auto" w:sz="4" w:space="0"/>
              <w:bottom w:val="single" w:color="auto" w:sz="4" w:space="0"/>
              <w:right w:val="single" w:color="auto" w:sz="4" w:space="0"/>
            </w:tcBorders>
            <w:vAlign w:val="center"/>
          </w:tcPr>
          <w:p w14:paraId="0402D03F">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462FD818">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bl>
    <w:p w14:paraId="656FA005">
      <w:pPr>
        <w:rPr>
          <w:bCs/>
          <w:sz w:val="24"/>
        </w:rPr>
      </w:pPr>
    </w:p>
    <w:p w14:paraId="2B24FFF6">
      <w:pPr>
        <w:numPr>
          <w:ilvl w:val="0"/>
          <w:numId w:val="0"/>
        </w:numPr>
        <w:rPr>
          <w:rFonts w:hint="eastAsia" w:ascii="宋体" w:hAnsi="宋体" w:eastAsia="宋体" w:cs="宋体"/>
          <w:b/>
          <w:bCs/>
          <w:color w:val="auto"/>
          <w:sz w:val="32"/>
          <w:szCs w:val="32"/>
          <w:lang w:eastAsia="zh-CN"/>
        </w:rPr>
      </w:pPr>
      <w:r>
        <w:rPr>
          <w:rFonts w:hint="eastAsia"/>
          <w:b/>
          <w:color w:val="000000"/>
          <w:sz w:val="28"/>
          <w:szCs w:val="28"/>
          <w:lang w:val="en-US" w:eastAsia="zh-CN"/>
        </w:rPr>
        <w:t>三、</w:t>
      </w:r>
      <w:r>
        <w:rPr>
          <w:rFonts w:hint="eastAsia" w:ascii="宋体" w:hAnsi="宋体" w:eastAsia="宋体" w:cs="宋体"/>
          <w:b/>
          <w:bCs/>
          <w:color w:val="auto"/>
          <w:sz w:val="32"/>
          <w:szCs w:val="32"/>
          <w:lang w:eastAsia="zh-CN"/>
        </w:rPr>
        <w:t>论证会要求：</w:t>
      </w:r>
    </w:p>
    <w:p w14:paraId="10A3ACD7">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lang w:eastAsia="zh-CN"/>
        </w:rPr>
        <w:t>参会单位以自愿为原则</w:t>
      </w:r>
      <w:r>
        <w:rPr>
          <w:rFonts w:hint="eastAsia" w:ascii="仿宋" w:hAnsi="仿宋" w:eastAsia="仿宋" w:cs="仿宋"/>
          <w:bCs/>
          <w:color w:val="auto"/>
          <w:kern w:val="0"/>
          <w:sz w:val="28"/>
          <w:szCs w:val="28"/>
          <w:highlight w:val="none"/>
        </w:rPr>
        <w:t>按照以下要求及顺序编制装订</w:t>
      </w:r>
      <w:r>
        <w:rPr>
          <w:rFonts w:hint="eastAsia" w:ascii="仿宋" w:hAnsi="仿宋" w:eastAsia="仿宋" w:cs="仿宋"/>
          <w:bCs/>
          <w:color w:val="auto"/>
          <w:kern w:val="0"/>
          <w:sz w:val="28"/>
          <w:szCs w:val="28"/>
          <w:highlight w:val="none"/>
          <w:lang w:eastAsia="zh-CN"/>
        </w:rPr>
        <w:t>《</w:t>
      </w:r>
      <w:r>
        <w:rPr>
          <w:rFonts w:hint="eastAsia" w:ascii="仿宋" w:hAnsi="仿宋" w:eastAsia="仿宋" w:cs="仿宋"/>
          <w:bCs/>
          <w:strike w:val="0"/>
          <w:dstrike w:val="0"/>
          <w:color w:val="auto"/>
          <w:kern w:val="0"/>
          <w:sz w:val="28"/>
          <w:szCs w:val="28"/>
          <w:highlight w:val="none"/>
          <w:lang w:eastAsia="zh-CN"/>
        </w:rPr>
        <w:t>论证会材料</w:t>
      </w:r>
      <w:r>
        <w:rPr>
          <w:rFonts w:hint="eastAsia" w:ascii="仿宋" w:hAnsi="仿宋" w:eastAsia="仿宋" w:cs="仿宋"/>
          <w:bCs/>
          <w:color w:val="auto"/>
          <w:kern w:val="0"/>
          <w:sz w:val="28"/>
          <w:szCs w:val="28"/>
          <w:highlight w:val="none"/>
          <w:lang w:eastAsia="zh-CN"/>
        </w:rPr>
        <w:t>》</w:t>
      </w:r>
      <w:r>
        <w:rPr>
          <w:rFonts w:hint="eastAsia" w:ascii="仿宋" w:hAnsi="仿宋" w:eastAsia="仿宋" w:cs="仿宋"/>
          <w:bCs/>
          <w:strike w:val="0"/>
          <w:dstrike w:val="0"/>
          <w:color w:val="FF0000"/>
          <w:kern w:val="0"/>
          <w:sz w:val="28"/>
          <w:szCs w:val="28"/>
          <w:highlight w:val="none"/>
          <w:lang w:eastAsia="zh-CN"/>
        </w:rPr>
        <w:t>（一式</w:t>
      </w:r>
      <w:r>
        <w:rPr>
          <w:rFonts w:hint="eastAsia" w:ascii="仿宋" w:hAnsi="仿宋" w:eastAsia="仿宋" w:cs="仿宋"/>
          <w:bCs/>
          <w:strike w:val="0"/>
          <w:dstrike w:val="0"/>
          <w:color w:val="FF0000"/>
          <w:kern w:val="0"/>
          <w:sz w:val="28"/>
          <w:szCs w:val="28"/>
          <w:highlight w:val="none"/>
          <w:lang w:val="en-US" w:eastAsia="zh-CN"/>
        </w:rPr>
        <w:t>六</w:t>
      </w:r>
      <w:r>
        <w:rPr>
          <w:rFonts w:hint="eastAsia" w:ascii="仿宋" w:hAnsi="仿宋" w:eastAsia="仿宋" w:cs="仿宋"/>
          <w:bCs/>
          <w:strike w:val="0"/>
          <w:dstrike w:val="0"/>
          <w:color w:val="FF0000"/>
          <w:kern w:val="0"/>
          <w:sz w:val="28"/>
          <w:szCs w:val="28"/>
          <w:highlight w:val="none"/>
          <w:lang w:eastAsia="zh-CN"/>
        </w:rPr>
        <w:t>份，一正</w:t>
      </w:r>
      <w:r>
        <w:rPr>
          <w:rFonts w:hint="eastAsia" w:ascii="仿宋" w:hAnsi="仿宋" w:eastAsia="仿宋" w:cs="仿宋"/>
          <w:bCs/>
          <w:strike w:val="0"/>
          <w:dstrike w:val="0"/>
          <w:color w:val="FF0000"/>
          <w:kern w:val="0"/>
          <w:sz w:val="28"/>
          <w:szCs w:val="28"/>
          <w:highlight w:val="none"/>
          <w:lang w:val="en-US" w:eastAsia="zh-CN"/>
        </w:rPr>
        <w:t>五</w:t>
      </w:r>
      <w:r>
        <w:rPr>
          <w:rFonts w:hint="eastAsia" w:ascii="仿宋" w:hAnsi="仿宋" w:eastAsia="仿宋" w:cs="仿宋"/>
          <w:bCs/>
          <w:strike w:val="0"/>
          <w:dstrike w:val="0"/>
          <w:color w:val="FF0000"/>
          <w:kern w:val="0"/>
          <w:sz w:val="28"/>
          <w:szCs w:val="28"/>
          <w:highlight w:val="none"/>
          <w:lang w:eastAsia="zh-CN"/>
        </w:rPr>
        <w:t>副）</w:t>
      </w:r>
      <w:r>
        <w:rPr>
          <w:rFonts w:hint="eastAsia" w:ascii="仿宋" w:hAnsi="仿宋" w:eastAsia="仿宋" w:cs="仿宋"/>
          <w:bCs/>
          <w:color w:val="FF0000"/>
          <w:kern w:val="0"/>
          <w:sz w:val="28"/>
          <w:szCs w:val="28"/>
          <w:highlight w:val="none"/>
        </w:rPr>
        <w:t>。</w:t>
      </w:r>
    </w:p>
    <w:p w14:paraId="5C7952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color w:val="FF0000"/>
          <w:sz w:val="28"/>
          <w:szCs w:val="28"/>
          <w:lang w:val="en-US" w:eastAsia="zh-CN"/>
        </w:rPr>
      </w:pPr>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lang w:eastAsia="zh-CN"/>
        </w:rPr>
        <w:t>论证价格估算表（见附件</w:t>
      </w:r>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lang w:eastAsia="zh-CN"/>
        </w:rPr>
        <w:t>）</w:t>
      </w:r>
    </w:p>
    <w:p w14:paraId="098ACCEC">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bCs/>
          <w:kern w:val="0"/>
          <w:sz w:val="28"/>
          <w:szCs w:val="28"/>
        </w:rPr>
      </w:pPr>
      <w:r>
        <w:rPr>
          <w:rFonts w:hint="eastAsia" w:ascii="仿宋" w:hAnsi="仿宋" w:eastAsia="仿宋" w:cs="仿宋"/>
          <w:bCs/>
          <w:color w:val="auto"/>
          <w:kern w:val="0"/>
          <w:sz w:val="28"/>
          <w:szCs w:val="28"/>
          <w:highlight w:val="none"/>
          <w:lang w:val="en-US" w:eastAsia="zh-CN"/>
        </w:rPr>
        <w:t>２．</w:t>
      </w:r>
      <w:r>
        <w:rPr>
          <w:rFonts w:hint="eastAsia" w:ascii="仿宋" w:hAnsi="仿宋" w:eastAsia="仿宋" w:cs="仿宋"/>
          <w:bCs/>
          <w:kern w:val="0"/>
          <w:sz w:val="28"/>
          <w:szCs w:val="28"/>
        </w:rPr>
        <w:t>公司简介</w:t>
      </w:r>
    </w:p>
    <w:p w14:paraId="7C534931">
      <w:pPr>
        <w:keepNext w:val="0"/>
        <w:keepLines w:val="0"/>
        <w:pageBreakBefore w:val="0"/>
        <w:widowControl w:val="0"/>
        <w:kinsoku/>
        <w:wordWrap/>
        <w:overflowPunct/>
        <w:topLinePunct w:val="0"/>
        <w:autoSpaceDE/>
        <w:autoSpaceDN/>
        <w:bidi w:val="0"/>
        <w:adjustRightInd/>
        <w:snapToGrid/>
        <w:spacing w:line="240" w:lineRule="auto"/>
        <w:contextualSpacing/>
        <w:jc w:val="lef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３.</w:t>
      </w:r>
      <w:r>
        <w:rPr>
          <w:rFonts w:hint="eastAsia" w:ascii="仿宋" w:hAnsi="仿宋" w:eastAsia="仿宋" w:cs="仿宋"/>
          <w:b w:val="0"/>
          <w:bCs w:val="0"/>
          <w:color w:val="auto"/>
          <w:sz w:val="28"/>
          <w:szCs w:val="28"/>
          <w:lang w:eastAsia="zh-CN"/>
        </w:rPr>
        <w:t>有效的营业执照复印件、经营许可证复印件、有效的组织机构代码证复印件、有效的税务登记证复印件，以上证件加盖公章。（注：报价人按“三证合一”登记制度已办理营业执照的，组织机构代码证和税务登记证可不提供，以报价人所提供的营业执照复印件为准。）</w:t>
      </w:r>
    </w:p>
    <w:p w14:paraId="1EB5F0B6">
      <w:pPr>
        <w:keepNext w:val="0"/>
        <w:keepLines w:val="0"/>
        <w:pageBreakBefore w:val="0"/>
        <w:widowControl w:val="0"/>
        <w:kinsoku/>
        <w:wordWrap/>
        <w:overflowPunct/>
        <w:topLinePunct w:val="0"/>
        <w:autoSpaceDE/>
        <w:autoSpaceDN/>
        <w:bidi w:val="0"/>
        <w:adjustRightInd/>
        <w:snapToGrid/>
        <w:spacing w:line="240" w:lineRule="auto"/>
        <w:contextualSpacing/>
        <w:jc w:val="lef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４．法定代表人身份证复印件（加盖公章）</w:t>
      </w:r>
    </w:p>
    <w:p w14:paraId="75A67347">
      <w:pPr>
        <w:keepNext w:val="0"/>
        <w:keepLines w:val="0"/>
        <w:pageBreakBefore w:val="0"/>
        <w:widowControl w:val="0"/>
        <w:kinsoku/>
        <w:wordWrap/>
        <w:overflowPunct/>
        <w:topLinePunct w:val="0"/>
        <w:autoSpaceDE/>
        <w:autoSpaceDN/>
        <w:bidi w:val="0"/>
        <w:adjustRightInd/>
        <w:snapToGrid/>
        <w:spacing w:line="240" w:lineRule="auto"/>
        <w:contextualSpacing/>
        <w:jc w:val="lef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５．授权委托书原件（非法人参与时必需提供）</w:t>
      </w:r>
    </w:p>
    <w:p w14:paraId="29083E12">
      <w:pPr>
        <w:keepNext w:val="0"/>
        <w:keepLines w:val="0"/>
        <w:pageBreakBefore w:val="0"/>
        <w:widowControl w:val="0"/>
        <w:kinsoku/>
        <w:wordWrap/>
        <w:overflowPunct/>
        <w:topLinePunct w:val="0"/>
        <w:autoSpaceDE/>
        <w:autoSpaceDN/>
        <w:bidi w:val="0"/>
        <w:adjustRightInd/>
        <w:snapToGrid/>
        <w:spacing w:line="240" w:lineRule="auto"/>
        <w:contextualSpacing/>
        <w:jc w:val="lef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６．被授权人身份证复印件（加盖公章）</w:t>
      </w:r>
    </w:p>
    <w:p w14:paraId="01553B1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Cs/>
          <w:sz w:val="28"/>
          <w:szCs w:val="28"/>
        </w:rPr>
      </w:pPr>
      <w:r>
        <w:rPr>
          <w:rFonts w:hint="eastAsia" w:ascii="仿宋" w:hAnsi="仿宋" w:eastAsia="仿宋" w:cs="仿宋"/>
          <w:bCs/>
          <w:sz w:val="28"/>
          <w:szCs w:val="28"/>
          <w:lang w:eastAsia="zh-CN"/>
        </w:rPr>
        <w:t>７．</w:t>
      </w:r>
      <w:r>
        <w:rPr>
          <w:rFonts w:hint="eastAsia" w:ascii="仿宋" w:hAnsi="仿宋" w:eastAsia="仿宋" w:cs="仿宋"/>
          <w:bCs/>
          <w:sz w:val="28"/>
          <w:szCs w:val="28"/>
        </w:rPr>
        <w:t>产品销售许可证、安全生产许可证等</w:t>
      </w:r>
    </w:p>
    <w:p w14:paraId="21AA21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８．</w:t>
      </w:r>
      <w:r>
        <w:rPr>
          <w:rFonts w:hint="eastAsia" w:ascii="仿宋" w:hAnsi="仿宋" w:eastAsia="仿宋" w:cs="仿宋"/>
          <w:color w:val="auto"/>
          <w:sz w:val="28"/>
          <w:szCs w:val="28"/>
        </w:rPr>
        <w:t>产品销售授权书或代理证书复印件、</w:t>
      </w:r>
      <w:r>
        <w:rPr>
          <w:rFonts w:hint="eastAsia" w:ascii="仿宋" w:hAnsi="仿宋" w:eastAsia="仿宋" w:cs="仿宋"/>
          <w:color w:val="auto"/>
          <w:sz w:val="28"/>
          <w:szCs w:val="28"/>
          <w:lang w:eastAsia="zh-CN"/>
        </w:rPr>
        <w:t>厂家证件、</w:t>
      </w:r>
      <w:r>
        <w:rPr>
          <w:rFonts w:hint="eastAsia" w:ascii="仿宋" w:hAnsi="仿宋" w:eastAsia="仿宋" w:cs="仿宋"/>
          <w:color w:val="auto"/>
          <w:sz w:val="28"/>
          <w:szCs w:val="28"/>
        </w:rPr>
        <w:t>医疗器械注册证</w:t>
      </w:r>
      <w:r>
        <w:rPr>
          <w:rFonts w:hint="eastAsia" w:ascii="仿宋" w:hAnsi="仿宋" w:eastAsia="仿宋" w:cs="仿宋"/>
          <w:color w:val="auto"/>
          <w:sz w:val="28"/>
          <w:szCs w:val="28"/>
          <w:lang w:val="en-US" w:eastAsia="zh-CN"/>
        </w:rPr>
        <w:t>,无需</w:t>
      </w:r>
      <w:r>
        <w:rPr>
          <w:rFonts w:hint="eastAsia" w:ascii="仿宋" w:hAnsi="仿宋" w:eastAsia="仿宋" w:cs="仿宋"/>
          <w:color w:val="auto"/>
          <w:sz w:val="28"/>
          <w:szCs w:val="28"/>
        </w:rPr>
        <w:t>医疗器械注册证</w:t>
      </w:r>
      <w:r>
        <w:rPr>
          <w:rFonts w:hint="eastAsia" w:ascii="仿宋" w:hAnsi="仿宋" w:eastAsia="仿宋" w:cs="仿宋"/>
          <w:color w:val="auto"/>
          <w:sz w:val="28"/>
          <w:szCs w:val="28"/>
          <w:lang w:eastAsia="zh-CN"/>
        </w:rPr>
        <w:t>的设备需提供相关证明文件和说明。</w:t>
      </w:r>
    </w:p>
    <w:p w14:paraId="2CAE07B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９．产品需求偏离表（见附件2）</w:t>
      </w:r>
    </w:p>
    <w:p w14:paraId="6848CCB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1０</w:t>
      </w:r>
      <w:r>
        <w:rPr>
          <w:rFonts w:hint="eastAsia" w:ascii="仿宋" w:hAnsi="仿宋" w:eastAsia="仿宋" w:cs="仿宋"/>
          <w:color w:val="auto"/>
          <w:sz w:val="28"/>
          <w:szCs w:val="28"/>
          <w:lang w:val="en-US" w:eastAsia="zh-CN"/>
        </w:rPr>
        <w:t>．</w:t>
      </w:r>
      <w:r>
        <w:rPr>
          <w:rFonts w:hint="eastAsia" w:ascii="仿宋" w:hAnsi="仿宋" w:eastAsia="仿宋" w:cs="仿宋"/>
          <w:b w:val="0"/>
          <w:bCs w:val="0"/>
          <w:color w:val="auto"/>
          <w:sz w:val="28"/>
          <w:szCs w:val="28"/>
        </w:rPr>
        <w:t>售后服务</w:t>
      </w:r>
      <w:r>
        <w:rPr>
          <w:rFonts w:hint="eastAsia" w:ascii="仿宋" w:hAnsi="仿宋" w:eastAsia="仿宋" w:cs="仿宋"/>
          <w:b w:val="0"/>
          <w:bCs w:val="0"/>
          <w:color w:val="auto"/>
          <w:sz w:val="28"/>
          <w:szCs w:val="28"/>
          <w:lang w:eastAsia="zh-CN"/>
        </w:rPr>
        <w:t>、产品彩页及业绩</w:t>
      </w:r>
      <w:r>
        <w:rPr>
          <w:rFonts w:hint="eastAsia" w:ascii="仿宋" w:hAnsi="仿宋" w:eastAsia="仿宋" w:cs="仿宋"/>
          <w:b w:val="0"/>
          <w:bCs w:val="0"/>
          <w:color w:val="auto"/>
          <w:sz w:val="28"/>
          <w:szCs w:val="28"/>
        </w:rPr>
        <w:t>等</w:t>
      </w:r>
    </w:p>
    <w:p w14:paraId="7BCE341E">
      <w:pPr>
        <w:keepNext w:val="0"/>
        <w:keepLines w:val="0"/>
        <w:pageBreakBefore w:val="0"/>
        <w:widowControl w:val="0"/>
        <w:kinsoku/>
        <w:wordWrap/>
        <w:overflowPunct/>
        <w:topLinePunct w:val="0"/>
        <w:autoSpaceDE/>
        <w:autoSpaceDN/>
        <w:bidi w:val="0"/>
        <w:adjustRightInd/>
        <w:snapToGrid/>
        <w:spacing w:line="240" w:lineRule="auto"/>
        <w:contextualSpacing/>
        <w:jc w:val="lef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11.</w:t>
      </w:r>
      <w:r>
        <w:rPr>
          <w:rFonts w:hint="eastAsia" w:ascii="仿宋" w:hAnsi="仿宋" w:eastAsia="仿宋" w:cs="仿宋"/>
          <w:b w:val="0"/>
          <w:bCs w:val="0"/>
          <w:color w:val="auto"/>
          <w:sz w:val="28"/>
          <w:szCs w:val="28"/>
          <w:lang w:eastAsia="zh-CN"/>
        </w:rPr>
        <w:t>其他认为有必要提供的材料</w:t>
      </w:r>
    </w:p>
    <w:p w14:paraId="342F04E2">
      <w:pPr>
        <w:pStyle w:val="2"/>
        <w:rPr>
          <w:rFonts w:hint="eastAsia"/>
          <w:lang w:eastAsia="zh-CN"/>
        </w:rPr>
      </w:pPr>
      <w:r>
        <w:rPr>
          <w:rFonts w:hint="eastAsia" w:ascii="仿宋" w:hAnsi="仿宋" w:eastAsia="仿宋" w:cs="仿宋"/>
          <w:b w:val="0"/>
          <w:bCs w:val="0"/>
          <w:color w:val="auto"/>
          <w:sz w:val="28"/>
          <w:szCs w:val="28"/>
          <w:lang w:val="en-US" w:eastAsia="zh-CN"/>
        </w:rPr>
        <w:t xml:space="preserve"> 1２.论证会现场同时提交产品样品</w:t>
      </w:r>
    </w:p>
    <w:p w14:paraId="0167B414">
      <w:pPr>
        <w:rPr>
          <w:rFonts w:hint="eastAsia"/>
          <w:lang w:eastAsia="zh-CN"/>
        </w:rPr>
      </w:pPr>
      <w:r>
        <w:rPr>
          <w:rFonts w:hint="eastAsia" w:ascii="仿宋" w:hAnsi="仿宋" w:eastAsia="仿宋" w:cs="仿宋"/>
          <w:b w:val="0"/>
          <w:bCs w:val="0"/>
          <w:color w:val="auto"/>
          <w:sz w:val="28"/>
          <w:szCs w:val="28"/>
          <w:lang w:val="en-US" w:eastAsia="zh-CN"/>
        </w:rPr>
        <w:t>１３．广西招采子系统截图等证明等资料（如有，请提供）</w:t>
      </w:r>
    </w:p>
    <w:p w14:paraId="1C6EF0BC">
      <w:pPr>
        <w:pStyle w:val="13"/>
        <w:rPr>
          <w:rFonts w:hint="eastAsia"/>
          <w:lang w:val="en-US" w:eastAsia="zh-CN"/>
        </w:rPr>
      </w:pPr>
    </w:p>
    <w:p w14:paraId="37AAF368">
      <w:pPr>
        <w:pStyle w:val="3"/>
        <w:rPr>
          <w:rFonts w:hint="eastAsia"/>
          <w:lang w:val="en-US" w:eastAsia="zh-CN"/>
        </w:rPr>
      </w:pPr>
    </w:p>
    <w:p w14:paraId="159D15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contextualSpacing/>
        <w:jc w:val="left"/>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广西壮族自治区生殖医院</w:t>
      </w:r>
    </w:p>
    <w:p w14:paraId="33738F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contextualSpacing/>
        <w:jc w:val="lef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2024年11月15日</w:t>
      </w:r>
    </w:p>
    <w:p w14:paraId="5402EED5">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hint="default" w:ascii="仿宋" w:hAnsi="仿宋" w:eastAsia="仿宋" w:cs="仿宋"/>
          <w:bCs/>
          <w:color w:val="auto"/>
          <w:kern w:val="0"/>
          <w:sz w:val="28"/>
          <w:szCs w:val="28"/>
          <w:highlight w:val="none"/>
          <w:lang w:val="en-US" w:eastAsia="zh-CN"/>
        </w:rPr>
      </w:pPr>
    </w:p>
    <w:p w14:paraId="3F0DCE03">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hint="eastAsia" w:ascii="仿宋" w:hAnsi="仿宋" w:eastAsia="仿宋" w:cs="仿宋"/>
          <w:bCs/>
          <w:color w:val="auto"/>
          <w:kern w:val="0"/>
          <w:sz w:val="28"/>
          <w:szCs w:val="28"/>
          <w:highlight w:val="none"/>
          <w:lang w:eastAsia="zh-CN"/>
        </w:rPr>
      </w:pPr>
      <w:r>
        <w:rPr>
          <w:rFonts w:hint="eastAsia" w:ascii="仿宋" w:hAnsi="仿宋" w:eastAsia="仿宋" w:cs="仿宋"/>
          <w:bCs/>
          <w:color w:val="auto"/>
          <w:kern w:val="0"/>
          <w:sz w:val="28"/>
          <w:szCs w:val="28"/>
          <w:highlight w:val="none"/>
          <w:lang w:eastAsia="zh-CN"/>
        </w:rPr>
        <w:t>▲注意：本次论证会是对项目的市场询价论证，会后确定购买需求并达到院外招标限额条件的项目进行对外招标，对未达到条件的项目根据本次论证结果按医院相关采购制度执行采购，如该项目对外招标请各单位会后留意相关招标网站或医院官网“招标采购”栏发布的招标公告，不另行通知。</w:t>
      </w:r>
    </w:p>
    <w:p w14:paraId="78291084">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hint="eastAsia" w:ascii="仿宋" w:hAnsi="仿宋" w:eastAsia="仿宋" w:cs="仿宋"/>
          <w:bCs/>
          <w:color w:val="auto"/>
          <w:kern w:val="0"/>
          <w:sz w:val="28"/>
          <w:szCs w:val="28"/>
          <w:highlight w:val="none"/>
          <w:lang w:eastAsia="zh-CN"/>
        </w:rPr>
      </w:pPr>
    </w:p>
    <w:p w14:paraId="6253F4AA">
      <w:pPr>
        <w:pStyle w:val="13"/>
        <w:rPr>
          <w:rFonts w:hint="eastAsia" w:ascii="宋体" w:hAnsi="宋体" w:eastAsia="宋体"/>
          <w:sz w:val="44"/>
          <w:szCs w:val="44"/>
          <w:lang w:eastAsia="zh-CN"/>
        </w:rPr>
      </w:pPr>
    </w:p>
    <w:p w14:paraId="73DD4E3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b w:val="0"/>
          <w:bCs w:val="0"/>
          <w:i w:val="0"/>
          <w:caps w:val="0"/>
          <w:color w:val="auto"/>
          <w:spacing w:val="0"/>
          <w:sz w:val="28"/>
          <w:szCs w:val="28"/>
          <w:shd w:val="clear" w:fill="FFFFFF"/>
          <w:lang w:val="en-US" w:eastAsia="zh-CN"/>
        </w:rPr>
      </w:pPr>
    </w:p>
    <w:p w14:paraId="16A443FD">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仿宋_GB2312" w:hAnsi="宋体" w:eastAsia="仿宋_GB2312"/>
          <w:b/>
          <w:color w:val="auto"/>
          <w:sz w:val="28"/>
          <w:szCs w:val="28"/>
          <w:lang w:val="en-US" w:eastAsia="zh-CN"/>
        </w:rPr>
      </w:pPr>
    </w:p>
    <w:p w14:paraId="788D6F82">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仿宋_GB2312" w:hAnsi="宋体" w:eastAsia="仿宋_GB2312"/>
          <w:b/>
          <w:color w:val="auto"/>
          <w:sz w:val="28"/>
          <w:szCs w:val="28"/>
          <w:lang w:val="en-US" w:eastAsia="zh-CN"/>
        </w:rPr>
      </w:pPr>
    </w:p>
    <w:p w14:paraId="33B843A4">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仿宋_GB2312" w:hAnsi="宋体" w:eastAsia="仿宋_GB2312"/>
          <w:b/>
          <w:color w:val="auto"/>
          <w:sz w:val="28"/>
          <w:szCs w:val="28"/>
          <w:lang w:val="en-US" w:eastAsia="zh-CN"/>
        </w:rPr>
      </w:pPr>
    </w:p>
    <w:p w14:paraId="0F123F11">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仿宋_GB2312" w:hAnsi="宋体" w:eastAsia="仿宋_GB2312"/>
          <w:b/>
          <w:color w:val="auto"/>
          <w:sz w:val="28"/>
          <w:szCs w:val="28"/>
          <w:lang w:val="en-US" w:eastAsia="zh-CN"/>
        </w:rPr>
      </w:pPr>
    </w:p>
    <w:p w14:paraId="390D89C0">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仿宋_GB2312" w:hAnsi="宋体" w:eastAsia="仿宋_GB2312"/>
          <w:b/>
          <w:color w:val="auto"/>
          <w:sz w:val="28"/>
          <w:szCs w:val="28"/>
          <w:lang w:val="en-US" w:eastAsia="zh-CN"/>
        </w:rPr>
      </w:pPr>
    </w:p>
    <w:p w14:paraId="2A3F957F">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仿宋_GB2312" w:hAnsi="宋体" w:eastAsia="仿宋_GB2312"/>
          <w:b/>
          <w:color w:val="auto"/>
          <w:sz w:val="28"/>
          <w:szCs w:val="28"/>
          <w:lang w:val="en-US" w:eastAsia="zh-CN"/>
        </w:rPr>
      </w:pPr>
    </w:p>
    <w:p w14:paraId="685F7391">
      <w:pPr>
        <w:keepNext w:val="0"/>
        <w:keepLines w:val="0"/>
        <w:pageBreakBefore w:val="0"/>
        <w:widowControl w:val="0"/>
        <w:numPr>
          <w:ilvl w:val="0"/>
          <w:numId w:val="0"/>
        </w:numPr>
        <w:kinsoku/>
        <w:wordWrap/>
        <w:overflowPunct/>
        <w:topLinePunct w:val="0"/>
        <w:autoSpaceDE/>
        <w:autoSpaceDN/>
        <w:bidi w:val="0"/>
        <w:adjustRightInd/>
        <w:snapToGrid/>
        <w:spacing w:line="240" w:lineRule="auto"/>
        <w:contextualSpacing/>
        <w:jc w:val="left"/>
        <w:textAlignment w:val="auto"/>
        <w:rPr>
          <w:rFonts w:hint="eastAsia" w:ascii="仿宋_GB2312" w:hAnsi="宋体" w:eastAsia="仿宋_GB2312"/>
          <w:b/>
          <w:color w:val="auto"/>
          <w:sz w:val="28"/>
          <w:szCs w:val="28"/>
          <w:lang w:val="en-US" w:eastAsia="zh-CN"/>
        </w:rPr>
      </w:pPr>
    </w:p>
    <w:p w14:paraId="2C9985D9">
      <w:pPr>
        <w:pStyle w:val="13"/>
        <w:rPr>
          <w:rFonts w:hint="eastAsia" w:ascii="仿宋_GB2312" w:hAnsi="宋体" w:eastAsia="仿宋_GB2312"/>
          <w:b/>
          <w:color w:val="auto"/>
          <w:sz w:val="28"/>
          <w:szCs w:val="28"/>
          <w:lang w:val="en-US" w:eastAsia="zh-CN"/>
        </w:rPr>
      </w:pPr>
    </w:p>
    <w:p w14:paraId="7E42EE15">
      <w:pPr>
        <w:pStyle w:val="13"/>
        <w:rPr>
          <w:rFonts w:hint="eastAsia" w:ascii="仿宋_GB2312" w:hAnsi="宋体" w:eastAsia="仿宋_GB2312"/>
          <w:b/>
          <w:color w:val="auto"/>
          <w:sz w:val="28"/>
          <w:szCs w:val="28"/>
          <w:lang w:val="en-US" w:eastAsia="zh-CN"/>
        </w:rPr>
      </w:pPr>
    </w:p>
    <w:p w14:paraId="1A13EAA2">
      <w:pPr>
        <w:pStyle w:val="13"/>
        <w:rPr>
          <w:rFonts w:hint="eastAsia" w:ascii="仿宋_GB2312" w:hAnsi="宋体" w:eastAsia="仿宋_GB2312"/>
          <w:b/>
          <w:color w:val="auto"/>
          <w:sz w:val="28"/>
          <w:szCs w:val="28"/>
          <w:lang w:val="en-US" w:eastAsia="zh-CN"/>
        </w:rPr>
      </w:pPr>
    </w:p>
    <w:p w14:paraId="231664B5">
      <w:pPr>
        <w:spacing w:line="400" w:lineRule="exact"/>
        <w:rPr>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18B82B4-F6C0-4806-BE43-FE584B82B637}"/>
  </w:font>
  <w:font w:name="仿宋_GB2312">
    <w:panose1 w:val="02010609030101010101"/>
    <w:charset w:val="86"/>
    <w:family w:val="modern"/>
    <w:pitch w:val="default"/>
    <w:sig w:usb0="00000001" w:usb1="080E0000" w:usb2="00000000" w:usb3="00000000" w:csb0="00040000" w:csb1="00000000"/>
    <w:embedRegular r:id="rId2" w:fontKey="{488B070A-1A34-428F-A81C-56804B9B81B2}"/>
  </w:font>
  <w:font w:name="方正小标宋简体">
    <w:panose1 w:val="02000000000000000000"/>
    <w:charset w:val="86"/>
    <w:family w:val="script"/>
    <w:pitch w:val="default"/>
    <w:sig w:usb0="00000001" w:usb1="08000000" w:usb2="00000000" w:usb3="00000000" w:csb0="00040000" w:csb1="00000000"/>
    <w:embedRegular r:id="rId3" w:fontKey="{037ACAE8-056F-4C44-8094-C27F64CDB04E}"/>
  </w:font>
  <w:font w:name="仿宋">
    <w:panose1 w:val="02010609060101010101"/>
    <w:charset w:val="86"/>
    <w:family w:val="modern"/>
    <w:pitch w:val="default"/>
    <w:sig w:usb0="800002BF" w:usb1="38CF7CFA" w:usb2="00000016" w:usb3="00000000" w:csb0="00040001" w:csb1="00000000"/>
    <w:embedRegular r:id="rId4" w:fontKey="{6D70B437-9A05-4979-9209-DC10877C0D3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8BD4A2"/>
    <w:multiLevelType w:val="singleLevel"/>
    <w:tmpl w:val="DE8BD4A2"/>
    <w:lvl w:ilvl="0" w:tentative="0">
      <w:start w:val="2"/>
      <w:numFmt w:val="chineseCounting"/>
      <w:suff w:val="nothing"/>
      <w:lvlText w:val="%1、"/>
      <w:lvlJc w:val="left"/>
      <w:rPr>
        <w:rFonts w:hint="eastAsia"/>
      </w:rPr>
    </w:lvl>
  </w:abstractNum>
  <w:abstractNum w:abstractNumId="1">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MGU0MWQ3ZjFiNTA0MDY5NjUzNTQyMjYyOTBjYTYifQ=="/>
  </w:docVars>
  <w:rsids>
    <w:rsidRoot w:val="6E082979"/>
    <w:rsid w:val="001367F3"/>
    <w:rsid w:val="001700CE"/>
    <w:rsid w:val="00286BFF"/>
    <w:rsid w:val="00403BB9"/>
    <w:rsid w:val="004E7FBF"/>
    <w:rsid w:val="00562FFA"/>
    <w:rsid w:val="00566847"/>
    <w:rsid w:val="005A0CAC"/>
    <w:rsid w:val="00641361"/>
    <w:rsid w:val="006C3A74"/>
    <w:rsid w:val="006C762B"/>
    <w:rsid w:val="007217F7"/>
    <w:rsid w:val="00762F54"/>
    <w:rsid w:val="007A3963"/>
    <w:rsid w:val="008F273A"/>
    <w:rsid w:val="008F464A"/>
    <w:rsid w:val="008F4697"/>
    <w:rsid w:val="00902862"/>
    <w:rsid w:val="009869FB"/>
    <w:rsid w:val="009A74F5"/>
    <w:rsid w:val="00A13E47"/>
    <w:rsid w:val="00A615C6"/>
    <w:rsid w:val="00AD6093"/>
    <w:rsid w:val="00AD78DF"/>
    <w:rsid w:val="00B048E0"/>
    <w:rsid w:val="00BB7F86"/>
    <w:rsid w:val="00C04BC1"/>
    <w:rsid w:val="00C7534C"/>
    <w:rsid w:val="00D04639"/>
    <w:rsid w:val="00F04F78"/>
    <w:rsid w:val="00F57941"/>
    <w:rsid w:val="03821A46"/>
    <w:rsid w:val="03C60645"/>
    <w:rsid w:val="04034DA9"/>
    <w:rsid w:val="04967F1F"/>
    <w:rsid w:val="06B84ACC"/>
    <w:rsid w:val="07D67E57"/>
    <w:rsid w:val="0B190ACB"/>
    <w:rsid w:val="0CCE7F59"/>
    <w:rsid w:val="0D3C4437"/>
    <w:rsid w:val="0D872F84"/>
    <w:rsid w:val="0EA01884"/>
    <w:rsid w:val="0F16596B"/>
    <w:rsid w:val="106D71C8"/>
    <w:rsid w:val="11E46B60"/>
    <w:rsid w:val="129511B0"/>
    <w:rsid w:val="12F83472"/>
    <w:rsid w:val="138D522B"/>
    <w:rsid w:val="155016BC"/>
    <w:rsid w:val="16694FD5"/>
    <w:rsid w:val="16CC50B6"/>
    <w:rsid w:val="17ED59E8"/>
    <w:rsid w:val="191827BD"/>
    <w:rsid w:val="192153F7"/>
    <w:rsid w:val="1B1C28F9"/>
    <w:rsid w:val="1BE05660"/>
    <w:rsid w:val="1F1E3B6B"/>
    <w:rsid w:val="1F691352"/>
    <w:rsid w:val="212E4FD6"/>
    <w:rsid w:val="21452912"/>
    <w:rsid w:val="223631D9"/>
    <w:rsid w:val="23B74818"/>
    <w:rsid w:val="26545909"/>
    <w:rsid w:val="26723ED8"/>
    <w:rsid w:val="270C633E"/>
    <w:rsid w:val="2A200B41"/>
    <w:rsid w:val="2A581813"/>
    <w:rsid w:val="2AB56C65"/>
    <w:rsid w:val="2AF5224A"/>
    <w:rsid w:val="2BEB1C0A"/>
    <w:rsid w:val="2D1E2C82"/>
    <w:rsid w:val="2D9713A0"/>
    <w:rsid w:val="3202490D"/>
    <w:rsid w:val="321E3342"/>
    <w:rsid w:val="342431B4"/>
    <w:rsid w:val="34820283"/>
    <w:rsid w:val="35331C2E"/>
    <w:rsid w:val="36E1421B"/>
    <w:rsid w:val="3A1E42C8"/>
    <w:rsid w:val="3A9F1346"/>
    <w:rsid w:val="3CE77152"/>
    <w:rsid w:val="3D927849"/>
    <w:rsid w:val="41BA6428"/>
    <w:rsid w:val="44144222"/>
    <w:rsid w:val="451A5BEB"/>
    <w:rsid w:val="45FF60EE"/>
    <w:rsid w:val="472E2DC2"/>
    <w:rsid w:val="49AD34D2"/>
    <w:rsid w:val="4D7F6DC0"/>
    <w:rsid w:val="4ECF3536"/>
    <w:rsid w:val="50C07C84"/>
    <w:rsid w:val="55943774"/>
    <w:rsid w:val="578B1C47"/>
    <w:rsid w:val="57983CDA"/>
    <w:rsid w:val="59031315"/>
    <w:rsid w:val="5A8B0172"/>
    <w:rsid w:val="5ABC38C5"/>
    <w:rsid w:val="5CD468AE"/>
    <w:rsid w:val="5D902621"/>
    <w:rsid w:val="5F9852CF"/>
    <w:rsid w:val="61723D2E"/>
    <w:rsid w:val="62B031BC"/>
    <w:rsid w:val="653D2528"/>
    <w:rsid w:val="65D33D86"/>
    <w:rsid w:val="67101EFA"/>
    <w:rsid w:val="67A0379B"/>
    <w:rsid w:val="68DD69A4"/>
    <w:rsid w:val="697B5E8F"/>
    <w:rsid w:val="6E082979"/>
    <w:rsid w:val="716D3EB2"/>
    <w:rsid w:val="726572D6"/>
    <w:rsid w:val="73D63B03"/>
    <w:rsid w:val="73FD15B5"/>
    <w:rsid w:val="755D2D35"/>
    <w:rsid w:val="76455DBD"/>
    <w:rsid w:val="76906F96"/>
    <w:rsid w:val="778523B6"/>
    <w:rsid w:val="7A410578"/>
    <w:rsid w:val="7B902D74"/>
    <w:rsid w:val="7CDE22A8"/>
    <w:rsid w:val="7D5C3F1F"/>
    <w:rsid w:val="7E1F3A98"/>
    <w:rsid w:val="7E615C6D"/>
    <w:rsid w:val="7EBB576E"/>
    <w:rsid w:val="7FBA3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line="380" w:lineRule="exact"/>
    </w:pPr>
    <w:rPr>
      <w:sz w:val="24"/>
    </w:rPr>
  </w:style>
  <w:style w:type="paragraph" w:customStyle="1" w:styleId="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5">
    <w:name w:val="Body Text Indent"/>
    <w:basedOn w:val="1"/>
    <w:qFormat/>
    <w:uiPriority w:val="0"/>
    <w:pPr>
      <w:ind w:firstLine="830" w:firstLineChars="352"/>
    </w:pPr>
    <w:rPr>
      <w:rFonts w:ascii="仿宋_GB2312" w:eastAsia="仿宋_GB2312"/>
      <w:sz w:val="32"/>
      <w:szCs w:val="20"/>
    </w:rPr>
  </w:style>
  <w:style w:type="paragraph" w:styleId="6">
    <w:name w:val="Plain Text"/>
    <w:basedOn w:val="1"/>
    <w:next w:val="1"/>
    <w:qFormat/>
    <w:uiPriority w:val="0"/>
    <w:rPr>
      <w:rFonts w:ascii="宋体" w:hAnsi="Courier New" w:cs="Courier New"/>
      <w:szCs w:val="21"/>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5"/>
    <w:next w:val="3"/>
    <w:qFormat/>
    <w:uiPriority w:val="99"/>
    <w:pPr>
      <w:spacing w:before="25" w:after="25"/>
      <w:jc w:val="left"/>
    </w:pPr>
    <w:rPr>
      <w:bCs/>
      <w:spacing w:val="10"/>
      <w:kern w:val="0"/>
      <w:sz w:val="24"/>
    </w:rPr>
  </w:style>
  <w:style w:type="paragraph" w:customStyle="1" w:styleId="14">
    <w:name w:val="正文1"/>
    <w:basedOn w:val="1"/>
    <w:qFormat/>
    <w:uiPriority w:val="0"/>
    <w:pPr>
      <w:spacing w:line="318" w:lineRule="atLeast"/>
      <w:ind w:left="369" w:firstLine="369"/>
    </w:pPr>
    <w:rPr>
      <w:rFonts w:ascii="宋体"/>
    </w:rPr>
  </w:style>
  <w:style w:type="character" w:customStyle="1" w:styleId="15">
    <w:name w:val="页眉 Char"/>
    <w:basedOn w:val="12"/>
    <w:link w:val="8"/>
    <w:qFormat/>
    <w:uiPriority w:val="0"/>
    <w:rPr>
      <w:kern w:val="2"/>
      <w:sz w:val="18"/>
      <w:szCs w:val="18"/>
    </w:rPr>
  </w:style>
  <w:style w:type="character" w:customStyle="1" w:styleId="16">
    <w:name w:val="页脚 Char"/>
    <w:basedOn w:val="12"/>
    <w:link w:val="7"/>
    <w:qFormat/>
    <w:uiPriority w:val="0"/>
    <w:rPr>
      <w:kern w:val="2"/>
      <w:sz w:val="18"/>
      <w:szCs w:val="18"/>
    </w:rPr>
  </w:style>
  <w:style w:type="paragraph" w:styleId="17">
    <w:name w:val="List Paragraph"/>
    <w:basedOn w:val="1"/>
    <w:qFormat/>
    <w:uiPriority w:val="34"/>
    <w:pPr>
      <w:ind w:firstLine="420" w:firstLineChars="200"/>
    </w:pPr>
  </w:style>
  <w:style w:type="character" w:customStyle="1" w:styleId="18">
    <w:name w:val="font1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91A7D-A4E0-4E66-A25C-AA57A10D256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1026</Words>
  <Characters>1075</Characters>
  <Lines>53</Lines>
  <Paragraphs>15</Paragraphs>
  <TotalTime>34</TotalTime>
  <ScaleCrop>false</ScaleCrop>
  <LinksUpToDate>false</LinksUpToDate>
  <CharactersWithSpaces>1141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2021-09-17T03:03:00Z</dcterms:created>
  <dc:creator>蘑菇</dc:creator>
  <cp:lastModifiedBy>静待花开</cp:lastModifiedBy>
  <dcterms:modified xsi:type="dcterms:W3CDTF">2024-11-18T07:28:33Z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5A66F22D89AE401AB672FE35AE0A3943_13</vt:lpwstr>
  </property>
</Properties>
</file>