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电生理耗材（第一批）</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电生理耗材（第一批）院内议价采购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电生理耗材（第一批）</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最高采购单价（元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超声治疗固定贴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FA5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理疗体表电</w:t>
            </w:r>
            <w:bookmarkStart w:id="21" w:name="_GoBack"/>
            <w:bookmarkEnd w:id="21"/>
            <w:r>
              <w:rPr>
                <w:rFonts w:hint="eastAsia" w:ascii="宋体" w:hAnsi="宋体" w:eastAsia="宋体" w:cs="宋体"/>
                <w:i w:val="0"/>
                <w:iCs w:val="0"/>
                <w:color w:val="000000"/>
                <w:kern w:val="0"/>
                <w:sz w:val="20"/>
                <w:szCs w:val="20"/>
                <w:u w:val="none"/>
                <w:lang w:val="en-US" w:eastAsia="zh-CN" w:bidi="ar"/>
              </w:rPr>
              <w:t>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847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理疗体表电极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B4C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A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理疗用体表电极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5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6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387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1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一次性阴道电极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44B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阴道宫颈电极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9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43AD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DAC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367B48C8">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2024年12月5日-11日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于2024年12月12日下午2点30分参加议价采购会（具体时间另行通知）。纸质版响应文件一式六份，一正五副。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超声治疗固定贴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1.用于超声探头固定于皮肤的辅助治疗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2.▲型号规格：圆型，60mm*40mm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3.▲粘贴性能：贴于不锈钢板上固定贴的顶端下滑应不超过2.5mm。剥离强度：固定贴每1cm宽度的平均力应不小于1.0N。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外观：超声治疗固定贴的包装整齐，不准许破裂；平整光洁，修边整齐；颜色均匀。</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理疗体表电极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1.组成：导电电极片、保护膜、连接线组成；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2.▲电极片表面与皮肤接触处由水凝胶组成，不含药物成分；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3.▲电极片自带2.0插针接口连接线；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4.作用：将刺激器输出的电刺激信号通过导电材料传导到皮肤；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5.规格尺寸：约70mm*120mm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6.与麦澜德生物刺激反馈仪器配套使用。</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理疗体表电极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1.组成：导电电极片、保护膜、连接线组成；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2.▲电极片表面与皮肤接触处由水凝胶组成，不含药物成分；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3.▲电极片自带2.0插针接口连接线；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4.作用：将刺激器输出的电刺激信号通过导电材料传导到皮肤；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5.规格尺寸：乳型 约72mm*15mm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6.与麦澜德生物刺激反馈仪器配套使用。</w:t>
            </w:r>
          </w:p>
        </w:tc>
      </w:tr>
      <w:tr w14:paraId="11EC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理疗用体表电极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1.组成：导电电极片、保护膜、连接线组成；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2.▲电极片表面与皮肤接触处由水凝胶组成，不含药物成分；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3.▲电极片自带2.0插针接口连接线；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4.作用：将刺激器输出的电刺激信号通过导电材料传导到皮肤；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5.尺寸：约50mm*50mm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6.与麦澜德生物刺激反馈仪器配套使用。</w:t>
            </w:r>
          </w:p>
        </w:tc>
      </w:tr>
      <w:tr w14:paraId="7C5B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一次性阴道电极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F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8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1.用于采集盆底肌电信号，用于盆底功能检查仪筛查、评估。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2.▲与麦澜德生物刺激反馈仪器配套使用。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3.电极插孔与对应不锈钢片间导通电阻＜2Ω。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4.两导电不锈钢电极片间绝缘电阻＞10MΩ。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5.两导电不锈钢电极片间施加交流50Hz、1500V电压历时1min无闪络和击穿。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6.▲导电部分电极片长度：53.0mm。</w:t>
            </w:r>
          </w:p>
        </w:tc>
      </w:tr>
      <w:tr w14:paraId="69E6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2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阴道宫颈电极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0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0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1.用于对循环不畅导致的生殖功能低下进行辅助治疗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2.电极由电极线、塑料基体（采用聚丙烯PP材料制成）和不锈钢金属片制成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3.▲接口为直径10.1mm插孔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4.电极连线间的界面必须不小于0.05平米毫米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5.▲通道数：3个，独立控制，分别调节参数。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6.导通电阻：电极插孔与对应不锈钢环、不锈钢片间导通电阻应小于0.5Ω。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7.隔离电阻：两不锈钢环间绝缘电阻应大于10MΩ。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8.电介质强度：两不锈钢环间施加交流1500V电压历时1min无闪络和击穿。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9.▲适宜用麦澜德电超声治疗仪C7000</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2228"/>
        <w:gridCol w:w="6647"/>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792"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4、《医疗器械经营/生产许可证》复印件。</w:t>
      </w:r>
    </w:p>
    <w:p w14:paraId="052AD4AE">
      <w:pPr>
        <w:tabs>
          <w:tab w:val="left" w:pos="4860"/>
          <w:tab w:val="left" w:pos="5400"/>
          <w:tab w:val="left" w:pos="5580"/>
        </w:tabs>
        <w:spacing w:line="480" w:lineRule="auto"/>
        <w:ind w:left="0" w:firstLine="420" w:firstLineChars="200"/>
        <w:rPr>
          <w:rFonts w:hint="eastAsia"/>
          <w:bCs/>
        </w:rPr>
      </w:pPr>
    </w:p>
    <w:p w14:paraId="74276E16">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bCs/>
          <w:lang w:val="en-US" w:eastAsia="zh-CN"/>
        </w:rPr>
      </w:pPr>
    </w:p>
    <w:p w14:paraId="3235225A">
      <w:pPr>
        <w:tabs>
          <w:tab w:val="left" w:pos="4860"/>
          <w:tab w:val="left" w:pos="5400"/>
          <w:tab w:val="left" w:pos="5580"/>
        </w:tabs>
        <w:spacing w:line="480" w:lineRule="auto"/>
        <w:ind w:left="0" w:firstLine="420" w:firstLineChars="200"/>
        <w:rPr>
          <w:rFonts w:hint="eastAsia"/>
          <w:bCs/>
        </w:rPr>
      </w:pPr>
      <w:r>
        <w:rPr>
          <w:rFonts w:hint="eastAsia"/>
          <w:bCs/>
          <w:lang w:val="en-US" w:eastAsia="zh-CN"/>
        </w:rPr>
        <w:t>6</w:t>
      </w:r>
      <w:r>
        <w:rPr>
          <w:rFonts w:hint="eastAsia"/>
          <w:bCs/>
        </w:rPr>
        <w:t>：</w:t>
      </w:r>
      <w:r>
        <w:rPr>
          <w:rFonts w:hint="eastAsia"/>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bCs/>
        </w:rPr>
      </w:pPr>
    </w:p>
    <w:p w14:paraId="2952561D">
      <w:pPr>
        <w:tabs>
          <w:tab w:val="left" w:pos="4860"/>
          <w:tab w:val="left" w:pos="5400"/>
          <w:tab w:val="left" w:pos="5580"/>
        </w:tabs>
        <w:spacing w:line="480" w:lineRule="auto"/>
        <w:ind w:left="0" w:firstLine="420" w:firstLineChars="200"/>
        <w:rPr>
          <w:rFonts w:hint="eastAsia"/>
          <w:bCs/>
        </w:rPr>
      </w:pPr>
      <w:r>
        <w:rPr>
          <w:rFonts w:hint="eastAsia"/>
          <w:bCs/>
          <w:lang w:val="en-US" w:eastAsia="zh-CN"/>
        </w:rPr>
        <w:t>7</w:t>
      </w:r>
      <w:r>
        <w:rPr>
          <w:rFonts w:hint="eastAsia"/>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732"/>
            <w:bookmarkStart w:id="1" w:name="_Toc295404984"/>
            <w:bookmarkStart w:id="2" w:name="_Toc383699909"/>
            <w:bookmarkStart w:id="3" w:name="_Toc301781614"/>
            <w:bookmarkStart w:id="4" w:name="_Toc499576940"/>
            <w:bookmarkStart w:id="5" w:name="_Toc373333692"/>
            <w:bookmarkStart w:id="6" w:name="_Toc173211903"/>
            <w:bookmarkStart w:id="7" w:name="_Toc297193188"/>
            <w:bookmarkStart w:id="8" w:name="_Toc173066404"/>
            <w:bookmarkStart w:id="9" w:name="_Toc254970591"/>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83699910"/>
            <w:bookmarkStart w:id="11" w:name="_Toc254970592"/>
            <w:bookmarkStart w:id="12" w:name="_Toc173066405"/>
            <w:bookmarkStart w:id="13" w:name="_Toc297193189"/>
            <w:bookmarkStart w:id="14" w:name="_Toc295404985"/>
            <w:bookmarkStart w:id="15" w:name="_Toc373333693"/>
            <w:bookmarkStart w:id="16" w:name="_Toc173211904"/>
            <w:bookmarkStart w:id="17" w:name="_Toc301781615"/>
            <w:bookmarkStart w:id="18" w:name="_Toc254970733"/>
            <w:bookmarkStart w:id="19" w:name="_Toc499576941"/>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2AEB6392">
      <w:pPr>
        <w:numPr>
          <w:ilvl w:val="0"/>
          <w:numId w:val="0"/>
        </w:numPr>
        <w:ind w:leftChars="0"/>
        <w:rPr>
          <w:rFonts w:hint="default" w:ascii="宋体" w:hAnsi="宋体"/>
          <w:kern w:val="0"/>
          <w:szCs w:val="21"/>
          <w:lang w:val="en-US" w:eastAsia="zh-CN"/>
        </w:rPr>
      </w:pPr>
      <w:r>
        <w:rPr>
          <w:rFonts w:hint="eastAsia" w:ascii="宋体" w:hAnsi="宋体"/>
          <w:kern w:val="0"/>
          <w:szCs w:val="21"/>
          <w:lang w:val="en-US" w:eastAsia="zh-CN"/>
        </w:rPr>
        <w:t>评审方法：最低评标价法</w:t>
      </w: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320AA"/>
    <w:rsid w:val="153558A9"/>
    <w:rsid w:val="17DC7524"/>
    <w:rsid w:val="187D706F"/>
    <w:rsid w:val="1B8850B1"/>
    <w:rsid w:val="2831053B"/>
    <w:rsid w:val="2C277F22"/>
    <w:rsid w:val="2D471155"/>
    <w:rsid w:val="2DFB7239"/>
    <w:rsid w:val="30405223"/>
    <w:rsid w:val="31F2600B"/>
    <w:rsid w:val="34630C21"/>
    <w:rsid w:val="36511F38"/>
    <w:rsid w:val="388D7A9A"/>
    <w:rsid w:val="3D45031D"/>
    <w:rsid w:val="41626E2E"/>
    <w:rsid w:val="442C2DC6"/>
    <w:rsid w:val="45667082"/>
    <w:rsid w:val="46633EB2"/>
    <w:rsid w:val="46A56191"/>
    <w:rsid w:val="4E1F4272"/>
    <w:rsid w:val="5A3F7144"/>
    <w:rsid w:val="5A552FF8"/>
    <w:rsid w:val="5AFF287E"/>
    <w:rsid w:val="5C76637A"/>
    <w:rsid w:val="5EE25574"/>
    <w:rsid w:val="5FF506FB"/>
    <w:rsid w:val="639A5A00"/>
    <w:rsid w:val="6505684A"/>
    <w:rsid w:val="68B61ABE"/>
    <w:rsid w:val="69615509"/>
    <w:rsid w:val="6A7774B8"/>
    <w:rsid w:val="6CF555DB"/>
    <w:rsid w:val="70966801"/>
    <w:rsid w:val="717C53B4"/>
    <w:rsid w:val="71A6769D"/>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879</Words>
  <Characters>933</Characters>
  <Lines>1</Lines>
  <Paragraphs>1</Paragraphs>
  <TotalTime>1</TotalTime>
  <ScaleCrop>false</ScaleCrop>
  <LinksUpToDate>false</LinksUpToDate>
  <CharactersWithSpaces>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2024-12-05T03:33:10Z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