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509038D2">
      <w:pPr>
        <w:spacing w:before="312" w:beforeLines="100" w:after="156" w:afterLines="50" w:line="600" w:lineRule="exact"/>
        <w:jc w:val="center"/>
        <w:rPr>
          <w:rFonts w:hint="eastAsia" w:ascii="宋体" w:hAnsi="宋体" w:cs="宋体"/>
          <w:b/>
          <w:color w:val="000000"/>
          <w:kern w:val="0"/>
          <w:sz w:val="52"/>
          <w:szCs w:val="52"/>
          <w:lang w:val="en-US" w:eastAsia="zh-CN"/>
        </w:rPr>
      </w:pPr>
      <w:r>
        <w:rPr>
          <w:rFonts w:hint="eastAsia" w:ascii="宋体" w:hAnsi="宋体" w:cs="宋体"/>
          <w:b/>
          <w:color w:val="000000"/>
          <w:kern w:val="0"/>
          <w:sz w:val="52"/>
          <w:szCs w:val="52"/>
          <w:lang w:val="en-US" w:eastAsia="zh-CN"/>
        </w:rPr>
        <w:t>体外受精显微操作管</w:t>
      </w: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项目（重）</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eastAsia="宋体" w:cs="宋体"/>
          <w:b/>
          <w:color w:val="000000"/>
          <w:kern w:val="0"/>
          <w:sz w:val="32"/>
          <w:szCs w:val="32"/>
          <w:lang w:eastAsia="zh-CN"/>
        </w:rPr>
      </w:pPr>
      <w:r>
        <w:rPr>
          <w:rFonts w:hint="eastAsia" w:ascii="宋体" w:hAnsi="宋体" w:cs="宋体"/>
          <w:b/>
          <w:color w:val="000000"/>
          <w:kern w:val="0"/>
          <w:sz w:val="32"/>
          <w:szCs w:val="32"/>
          <w:lang w:val="en-US" w:eastAsia="zh-CN"/>
        </w:rPr>
        <w:t>第一章  体外受精显微操作管院内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r>
        <w:rPr>
          <w:rFonts w:hint="eastAsia" w:ascii="宋体" w:hAnsi="宋体" w:cs="宋体"/>
          <w:b/>
          <w:color w:val="000000"/>
          <w:kern w:val="0"/>
          <w:sz w:val="32"/>
          <w:szCs w:val="32"/>
          <w:lang w:eastAsia="zh-CN"/>
        </w:rPr>
        <w:t>（</w:t>
      </w:r>
      <w:r>
        <w:rPr>
          <w:rFonts w:hint="eastAsia" w:ascii="宋体" w:hAnsi="宋体" w:cs="宋体"/>
          <w:b/>
          <w:color w:val="000000"/>
          <w:kern w:val="0"/>
          <w:sz w:val="32"/>
          <w:szCs w:val="32"/>
          <w:lang w:val="en-US" w:eastAsia="zh-CN"/>
        </w:rPr>
        <w:t>重</w:t>
      </w:r>
      <w:r>
        <w:rPr>
          <w:rFonts w:hint="eastAsia" w:ascii="宋体" w:hAnsi="宋体" w:cs="宋体"/>
          <w:b/>
          <w:color w:val="000000"/>
          <w:kern w:val="0"/>
          <w:sz w:val="32"/>
          <w:szCs w:val="32"/>
          <w:lang w:eastAsia="zh-CN"/>
        </w:rPr>
        <w:t>）</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cs="Times New Roman"/>
          <w:color w:val="auto"/>
          <w:kern w:val="2"/>
          <w:sz w:val="24"/>
          <w:szCs w:val="22"/>
          <w:lang w:val="en-US" w:eastAsia="zh-CN" w:bidi="ar-SA"/>
        </w:rPr>
        <w:t>、</w:t>
      </w:r>
      <w:r>
        <w:rPr>
          <w:rFonts w:hint="eastAsia"/>
          <w:sz w:val="24"/>
          <w:lang w:eastAsia="zh-CN"/>
        </w:rPr>
        <w:t>项目名称</w:t>
      </w:r>
      <w:r>
        <w:rPr>
          <w:sz w:val="24"/>
        </w:rPr>
        <w:t>：</w:t>
      </w:r>
      <w:r>
        <w:rPr>
          <w:rFonts w:hint="eastAsia" w:ascii="Times New Roman" w:hAnsi="Times New Roman" w:eastAsia="宋体" w:cs="Times New Roman"/>
          <w:kern w:val="2"/>
          <w:sz w:val="24"/>
          <w:szCs w:val="24"/>
          <w:lang w:val="en-US" w:eastAsia="zh-CN" w:bidi="ar-SA"/>
        </w:rPr>
        <w:t>体外受精显微操作管</w:t>
      </w:r>
      <w:r>
        <w:rPr>
          <w:rFonts w:hint="eastAsia"/>
          <w:sz w:val="24"/>
        </w:rPr>
        <w:t>院内遴选</w:t>
      </w:r>
      <w:r>
        <w:rPr>
          <w:rFonts w:hint="eastAsia"/>
          <w:sz w:val="24"/>
          <w:lang w:val="en-US" w:eastAsia="zh-CN"/>
        </w:rPr>
        <w:t>项目（重）</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eastAsia="zh-CN"/>
        </w:rPr>
        <w:t>遴选</w:t>
      </w:r>
      <w:r>
        <w:rPr>
          <w:rFonts w:hint="eastAsia"/>
          <w:color w:val="auto"/>
          <w:sz w:val="24"/>
        </w:rPr>
        <w:t>项目</w:t>
      </w:r>
      <w:r>
        <w:rPr>
          <w:rFonts w:hint="eastAsia"/>
          <w:color w:val="auto"/>
          <w:sz w:val="24"/>
          <w:lang w:eastAsia="zh-CN"/>
        </w:rPr>
        <w:t>：</w:t>
      </w:r>
    </w:p>
    <w:p w14:paraId="51DAA9EC">
      <w:pPr>
        <w:numPr>
          <w:ilvl w:val="0"/>
          <w:numId w:val="0"/>
        </w:numPr>
        <w:ind w:leftChars="200"/>
        <w:rPr>
          <w:rFonts w:hint="eastAsia"/>
          <w:lang w:eastAsia="zh-CN"/>
        </w:rPr>
      </w:pPr>
    </w:p>
    <w:tbl>
      <w:tblPr>
        <w:tblStyle w:val="13"/>
        <w:tblW w:w="9444"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912"/>
        <w:gridCol w:w="1691"/>
        <w:gridCol w:w="1664"/>
        <w:gridCol w:w="873"/>
        <w:gridCol w:w="1831"/>
        <w:gridCol w:w="1694"/>
      </w:tblGrid>
      <w:tr w14:paraId="3E97F4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wAfter w:w="0" w:type="auto"/>
          <w:trHeight w:val="100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91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4D145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分标</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183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支</w:t>
            </w:r>
            <w:r>
              <w:rPr>
                <w:rFonts w:hint="eastAsia" w:ascii="Times New Roman" w:hAnsi="Times New Roman" w:eastAsia="宋体" w:cs="Times New Roman"/>
                <w:kern w:val="2"/>
                <w:sz w:val="24"/>
                <w:szCs w:val="24"/>
                <w:lang w:val="en-US" w:eastAsia="zh-CN" w:bidi="ar-SA"/>
              </w:rPr>
              <w:t>）</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2C3535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wAfter w:w="0" w:type="auto"/>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91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7103A29">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a</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体外受精显微操作管-精细胞注射针(显微操作针 LISR)</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1270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183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129.5</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w:t>
            </w:r>
            <w:r>
              <w:rPr>
                <w:rFonts w:hint="eastAsia" w:ascii="Times New Roman" w:cs="Times New Roman"/>
                <w:kern w:val="2"/>
                <w:sz w:val="24"/>
                <w:szCs w:val="24"/>
                <w:lang w:val="en-US" w:eastAsia="zh-CN" w:bidi="ar-SA"/>
              </w:rPr>
              <w:t>第二章</w:t>
            </w:r>
          </w:p>
        </w:tc>
      </w:tr>
      <w:tr w14:paraId="74F0E8E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wAfter w:w="0" w:type="auto"/>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A87FF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p>
        </w:tc>
        <w:tc>
          <w:tcPr>
            <w:tcW w:w="91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DE06895">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a</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3EBE09">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体外受精显微操作管-持卵管(显微持卵针 LHS)</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24657C2">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1270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8D0FB00">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183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289CD4">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119.5</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BF9DD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w:t>
            </w:r>
            <w:r>
              <w:rPr>
                <w:rFonts w:hint="eastAsia" w:ascii="Times New Roman" w:cs="Times New Roman"/>
                <w:kern w:val="2"/>
                <w:sz w:val="24"/>
                <w:szCs w:val="24"/>
                <w:lang w:val="en-US" w:eastAsia="zh-CN" w:bidi="ar-SA"/>
              </w:rPr>
              <w:t>第二章</w:t>
            </w:r>
          </w:p>
        </w:tc>
      </w:tr>
      <w:tr w14:paraId="6DA87EE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wAfter w:w="0" w:type="auto"/>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67920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bookmarkStart w:id="21" w:name="_GoBack"/>
            <w:bookmarkEnd w:id="21"/>
          </w:p>
        </w:tc>
        <w:tc>
          <w:tcPr>
            <w:tcW w:w="912"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D796A2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b</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66065CD">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体外受精显微操作管-剥离管</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1F12F4F">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5000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7A3953F">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183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9C86D7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60.2</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B712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w:t>
            </w:r>
            <w:r>
              <w:rPr>
                <w:rFonts w:hint="eastAsia" w:ascii="Times New Roman" w:cs="Times New Roman"/>
                <w:kern w:val="2"/>
                <w:sz w:val="24"/>
                <w:szCs w:val="24"/>
                <w:lang w:val="en-US" w:eastAsia="zh-CN" w:bidi="ar-SA"/>
              </w:rPr>
              <w:t>第二章</w:t>
            </w:r>
          </w:p>
        </w:tc>
      </w:tr>
      <w:tr w14:paraId="6F3CC9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9444" w:type="dxa"/>
            <w:gridSpan w:val="7"/>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440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0"/>
        </w:numPr>
        <w:ind w:left="0" w:leftChars="0" w:firstLine="480" w:firstLineChars="200"/>
        <w:rPr>
          <w:rFonts w:hint="eastAsia"/>
          <w:color w:val="auto"/>
          <w:sz w:val="24"/>
        </w:rPr>
      </w:pPr>
      <w:r>
        <w:rPr>
          <w:rFonts w:hint="eastAsia" w:ascii="Calibri" w:hAnsi="Calibri" w:eastAsia="宋体" w:cs="Times New Roman"/>
          <w:color w:val="auto"/>
          <w:kern w:val="2"/>
          <w:sz w:val="24"/>
          <w:szCs w:val="22"/>
          <w:lang w:val="en-US" w:eastAsia="zh-CN" w:bidi="ar-SA"/>
        </w:rPr>
        <w:t>三、</w:t>
      </w: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2024年12月13日-19日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参加遴选采购会（具体时间另行通知）。纸质版响应文件一式六份，一正五副。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74290B9A">
      <w:pPr>
        <w:numPr>
          <w:ilvl w:val="0"/>
          <w:numId w:val="0"/>
        </w:numPr>
        <w:ind w:firstLine="5040" w:firstLineChars="2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广西壮族自治区生殖医院</w:t>
      </w: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178E4E79">
      <w:pPr>
        <w:pStyle w:val="5"/>
        <w:rPr>
          <w:rFonts w:hint="eastAsia"/>
          <w:lang w:val="en-US" w:eastAsia="zh-CN"/>
        </w:rPr>
      </w:pPr>
    </w:p>
    <w:p w14:paraId="203CD381">
      <w:pPr>
        <w:pStyle w:val="5"/>
        <w:rPr>
          <w:rFonts w:hint="eastAsia"/>
          <w:lang w:val="en-US" w:eastAsia="zh-CN"/>
        </w:rPr>
      </w:pPr>
    </w:p>
    <w:p w14:paraId="095D1599">
      <w:pPr>
        <w:pStyle w:val="5"/>
        <w:rPr>
          <w:rFonts w:hint="eastAsia"/>
          <w:lang w:val="en-US" w:eastAsia="zh-CN"/>
        </w:rPr>
      </w:pPr>
    </w:p>
    <w:p w14:paraId="73D1702D">
      <w:pPr>
        <w:pStyle w:val="5"/>
        <w:rPr>
          <w:rFonts w:hint="eastAsia"/>
          <w:lang w:val="en-US" w:eastAsia="zh-CN"/>
        </w:rPr>
      </w:pPr>
    </w:p>
    <w:p w14:paraId="1EC853FF">
      <w:pPr>
        <w:pStyle w:val="5"/>
        <w:rPr>
          <w:rFonts w:hint="eastAsia"/>
          <w:lang w:val="en-US" w:eastAsia="zh-CN"/>
        </w:rPr>
      </w:pPr>
    </w:p>
    <w:p w14:paraId="5E6F4D0D">
      <w:pPr>
        <w:pStyle w:val="5"/>
        <w:rPr>
          <w:rFonts w:hint="eastAsia"/>
          <w:lang w:val="en-US" w:eastAsia="zh-CN"/>
        </w:rPr>
      </w:pPr>
    </w:p>
    <w:p w14:paraId="7B81F3E9">
      <w:pPr>
        <w:pStyle w:val="5"/>
        <w:rPr>
          <w:rFonts w:hint="eastAsia"/>
          <w:lang w:val="en-US" w:eastAsia="zh-CN"/>
        </w:rPr>
      </w:pPr>
    </w:p>
    <w:p w14:paraId="1A7C8C2C">
      <w:pPr>
        <w:pStyle w:val="5"/>
        <w:rPr>
          <w:rFonts w:hint="eastAsia"/>
          <w:lang w:val="en-US" w:eastAsia="zh-CN"/>
        </w:rPr>
      </w:pPr>
    </w:p>
    <w:p w14:paraId="4C47FA53">
      <w:pPr>
        <w:pStyle w:val="5"/>
        <w:rPr>
          <w:rFonts w:hint="eastAsia"/>
          <w:lang w:val="en-US" w:eastAsia="zh-CN"/>
        </w:rPr>
      </w:pPr>
    </w:p>
    <w:p w14:paraId="49EE895A">
      <w:pPr>
        <w:pStyle w:val="5"/>
        <w:rPr>
          <w:rFonts w:hint="eastAsia"/>
          <w:lang w:val="en-US" w:eastAsia="zh-CN"/>
        </w:rPr>
      </w:pPr>
    </w:p>
    <w:p w14:paraId="50ACB24A">
      <w:pPr>
        <w:pStyle w:val="5"/>
        <w:rPr>
          <w:rFonts w:hint="eastAsia"/>
          <w:lang w:val="en-US" w:eastAsia="zh-CN"/>
        </w:rPr>
      </w:pPr>
    </w:p>
    <w:p w14:paraId="2C1C564F">
      <w:pPr>
        <w:numPr>
          <w:ilvl w:val="0"/>
          <w:numId w:val="2"/>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5599FCD7">
      <w:pPr>
        <w:numPr>
          <w:numId w:val="0"/>
        </w:numPr>
        <w:spacing w:line="440" w:lineRule="exact"/>
        <w:jc w:val="both"/>
        <w:rPr>
          <w:rFonts w:hint="eastAsia" w:ascii="宋体" w:hAnsi="宋体" w:eastAsia="宋体" w:cs="宋体"/>
          <w:b/>
          <w:color w:val="000000" w:themeColor="text1"/>
          <w:sz w:val="36"/>
          <w:szCs w:val="36"/>
          <w14:textFill>
            <w14:solidFill>
              <w14:schemeClr w14:val="tx1"/>
            </w14:solidFill>
          </w14:textFill>
        </w:rPr>
      </w:pPr>
    </w:p>
    <w:p w14:paraId="4EDC8579">
      <w:pPr>
        <w:numPr>
          <w:numId w:val="0"/>
        </w:numPr>
        <w:spacing w:line="440" w:lineRule="exact"/>
        <w:jc w:val="both"/>
        <w:rPr>
          <w:rFonts w:hint="default"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a分标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最高采购单价（元/支）</w:t>
            </w:r>
          </w:p>
        </w:tc>
        <w:tc>
          <w:tcPr>
            <w:tcW w:w="6647"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3" w:hRule="atLeast"/>
        </w:trPr>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3A23C7B">
            <w:pPr>
              <w:keepNext w:val="0"/>
              <w:keepLines w:val="0"/>
              <w:widowControl/>
              <w:suppressLineNumbers w:val="0"/>
              <w:jc w:val="center"/>
              <w:textAlignment w:val="center"/>
              <w:rPr>
                <w:rFonts w:hint="default" w:ascii="宋体" w:hAnsi="宋体" w:eastAsia="宋体" w:cs="宋体"/>
                <w:i w:val="0"/>
                <w:iCs w:val="0"/>
                <w:color w:val="7030A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体外受精显微操作管-精细胞注射针(显微操作针 LISR)</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eastAsia"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129.5</w:t>
            </w:r>
          </w:p>
        </w:tc>
        <w:tc>
          <w:tcPr>
            <w:tcW w:w="6647" w:type="dxa"/>
            <w:tcBorders>
              <w:top w:val="single" w:color="auto" w:sz="4" w:space="0"/>
              <w:left w:val="single" w:color="auto" w:sz="4" w:space="0"/>
              <w:bottom w:val="single" w:color="auto" w:sz="4" w:space="0"/>
              <w:right w:val="single" w:color="auto" w:sz="4" w:space="0"/>
            </w:tcBorders>
            <w:shd w:val="clear" w:color="auto" w:fill="auto"/>
            <w:vAlign w:val="center"/>
          </w:tcPr>
          <w:p w14:paraId="388F2ED8">
            <w:pPr>
              <w:pStyle w:val="2"/>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 xml:space="preserve">    用途：用于在显微操作过程中固定卵母细胞或胚胎</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1.独立包装，一次性使用；</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2.非玻璃材质；</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3.无菌，无热原，无细胞毒副作用，用于人胚胎操作；</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4.内径20-30微米；</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5.针杆弯曲角度30度；</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6.拐角至针尖距离0.6-0.75mm。</w:t>
            </w:r>
          </w:p>
          <w:p w14:paraId="5850B9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olor w:val="FF0000"/>
                <w:highlight w:val="none"/>
                <w:lang w:val="en-US" w:eastAsia="zh-CN"/>
              </w:rPr>
              <w:t xml:space="preserve">    ▲</w:t>
            </w:r>
            <w:r>
              <w:rPr>
                <w:rFonts w:hint="eastAsia" w:asciiTheme="minorEastAsia" w:hAnsiTheme="minorEastAsia" w:eastAsiaTheme="minorEastAsia" w:cstheme="minorEastAsia"/>
                <w:b w:val="0"/>
                <w:bCs/>
                <w:color w:val="FF0000"/>
                <w:sz w:val="21"/>
                <w:szCs w:val="21"/>
                <w:highlight w:val="none"/>
                <w:lang w:val="en-US" w:eastAsia="zh-CN"/>
              </w:rPr>
              <w:t>7.</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06DF2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4" w:hRule="atLeast"/>
        </w:trPr>
        <w:tc>
          <w:tcPr>
            <w:tcW w:w="564" w:type="dxa"/>
            <w:tcBorders>
              <w:top w:val="single" w:color="auto" w:sz="4" w:space="0"/>
              <w:left w:val="single" w:color="auto" w:sz="4" w:space="0"/>
              <w:bottom w:val="single" w:color="auto" w:sz="4" w:space="0"/>
              <w:right w:val="single" w:color="auto" w:sz="4" w:space="0"/>
            </w:tcBorders>
            <w:vAlign w:val="center"/>
          </w:tcPr>
          <w:p w14:paraId="3D71CD32">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708EB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体外受精显微操作管-持卵管(显微持卵针 LHS)</w:t>
            </w:r>
          </w:p>
        </w:tc>
        <w:tc>
          <w:tcPr>
            <w:tcW w:w="1268" w:type="dxa"/>
            <w:tcBorders>
              <w:top w:val="single" w:color="auto" w:sz="4" w:space="0"/>
              <w:left w:val="single" w:color="auto" w:sz="4" w:space="0"/>
              <w:bottom w:val="single" w:color="auto" w:sz="4" w:space="0"/>
              <w:right w:val="single" w:color="auto" w:sz="4" w:space="0"/>
            </w:tcBorders>
            <w:vAlign w:val="center"/>
          </w:tcPr>
          <w:p w14:paraId="2DF1E5D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119.5</w:t>
            </w:r>
          </w:p>
        </w:tc>
        <w:tc>
          <w:tcPr>
            <w:tcW w:w="6647" w:type="dxa"/>
            <w:tcBorders>
              <w:top w:val="single" w:color="auto" w:sz="4" w:space="0"/>
              <w:left w:val="single" w:color="auto" w:sz="4" w:space="0"/>
              <w:bottom w:val="single" w:color="auto" w:sz="4" w:space="0"/>
              <w:right w:val="single" w:color="auto" w:sz="4" w:space="0"/>
            </w:tcBorders>
            <w:shd w:val="clear" w:color="auto" w:fill="auto"/>
            <w:vAlign w:val="center"/>
          </w:tcPr>
          <w:p w14:paraId="5E99153E">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用途：用于在显微操作过程中固定卵母细胞或胚胎</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1.材质：硼硅玻璃</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2.内径20-30微米；</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3.针杆弯曲角度30度；</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4..拐角至针尖距离0.6-0.75mm。</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5.无菌，无热原，无细胞毒副作用，用于人胚胎操作；</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6.独立包装，一次性使用；</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7.提供产品图片</w:t>
            </w:r>
          </w:p>
          <w:p w14:paraId="2F23FFB0">
            <w:pPr>
              <w:keepNext w:val="0"/>
              <w:keepLines w:val="0"/>
              <w:pageBreakBefore w:val="0"/>
              <w:widowControl/>
              <w:suppressLineNumbers w:val="0"/>
              <w:kinsoku/>
              <w:wordWrap/>
              <w:overflowPunct/>
              <w:topLinePunct w:val="0"/>
              <w:autoSpaceDE/>
              <w:autoSpaceDN/>
              <w:bidi w:val="0"/>
              <w:adjustRightInd/>
              <w:snapToGrid/>
              <w:spacing w:line="377"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olor w:val="FF0000"/>
                <w:highlight w:val="none"/>
                <w:lang w:val="en-US" w:eastAsia="zh-CN"/>
              </w:rPr>
              <w:t xml:space="preserve">    ▲</w:t>
            </w:r>
            <w:r>
              <w:rPr>
                <w:rFonts w:hint="eastAsia" w:asciiTheme="minorEastAsia" w:hAnsiTheme="minorEastAsia" w:eastAsiaTheme="minorEastAsia" w:cstheme="minorEastAsia"/>
                <w:b w:val="0"/>
                <w:bCs/>
                <w:color w:val="FF0000"/>
                <w:sz w:val="21"/>
                <w:szCs w:val="21"/>
                <w:highlight w:val="none"/>
                <w:lang w:val="en-US" w:eastAsia="zh-CN"/>
              </w:rPr>
              <w:t>8.</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66EFE67E">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39FE233B">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D048A9A">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20172AA">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60AF379">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25FD7">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3"/>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70FE8123">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46C2E508">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Times New Roman"/>
                <w:color w:val="auto"/>
                <w:kern w:val="2"/>
                <w:sz w:val="21"/>
                <w:szCs w:val="22"/>
                <w:lang w:val="en-US" w:eastAsia="zh-CN" w:bidi="ar-SA"/>
              </w:rPr>
              <w:t>2</w:t>
            </w:r>
            <w:r>
              <w:rPr>
                <w:rFonts w:hint="eastAsia" w:ascii="Calibri" w:hAnsi="Calibri" w:eastAsia="宋体" w:cs="Times New Roman"/>
                <w:color w:val="auto"/>
                <w:kern w:val="2"/>
                <w:sz w:val="21"/>
                <w:szCs w:val="22"/>
                <w:lang w:val="en-US" w:eastAsia="zh-CN" w:bidi="ar-SA"/>
              </w:rPr>
              <w:t>、</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1BDF78F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4、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ascii="宋体" w:hAnsi="宋体" w:cs="宋体"/>
                <w:color w:val="auto"/>
                <w:szCs w:val="21"/>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ascii="宋体" w:hAnsi="宋体" w:cs="宋体"/>
                <w:color w:val="auto"/>
                <w:szCs w:val="21"/>
                <w:highlight w:val="none"/>
                <w:lang w:val="en-US" w:eastAsia="zh-CN"/>
              </w:rPr>
              <w:t>8、</w:t>
            </w:r>
            <w:r>
              <w:rPr>
                <w:rFonts w:hint="eastAsia" w:eastAsia="宋体" w:cs="Times New Roman"/>
                <w:color w:val="auto"/>
                <w:highlight w:val="none"/>
                <w:lang w:val="en-US" w:eastAsia="zh-CN"/>
              </w:rPr>
              <w:t>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CCFC22A">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4E7A462B">
      <w:pPr>
        <w:rPr>
          <w:rFonts w:hint="default" w:ascii="宋体" w:hAnsi="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b分标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72A6A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74284B0F">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58D54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1D1402A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563013C5">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3F52ACC9">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最高采购单价（元/支）</w:t>
            </w:r>
          </w:p>
        </w:tc>
        <w:tc>
          <w:tcPr>
            <w:tcW w:w="6647" w:type="dxa"/>
            <w:tcBorders>
              <w:top w:val="single" w:color="auto" w:sz="4" w:space="0"/>
              <w:left w:val="single" w:color="auto" w:sz="4" w:space="0"/>
              <w:bottom w:val="single" w:color="auto" w:sz="4" w:space="0"/>
              <w:right w:val="single" w:color="auto" w:sz="4" w:space="0"/>
            </w:tcBorders>
            <w:vAlign w:val="center"/>
          </w:tcPr>
          <w:p w14:paraId="3408D0A8">
            <w:pPr>
              <w:snapToGrid w:val="0"/>
              <w:spacing w:line="360" w:lineRule="exact"/>
              <w:jc w:val="center"/>
              <w:rPr>
                <w:rFonts w:cs="Times New Roman"/>
                <w:highlight w:val="none"/>
              </w:rPr>
            </w:pPr>
            <w:r>
              <w:rPr>
                <w:rFonts w:cs="Times New Roman"/>
                <w:highlight w:val="none"/>
              </w:rPr>
              <w:t>项目要求及技术需求</w:t>
            </w:r>
          </w:p>
        </w:tc>
      </w:tr>
      <w:tr w14:paraId="118E0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64" w:type="dxa"/>
            <w:tcBorders>
              <w:top w:val="single" w:color="auto" w:sz="4" w:space="0"/>
              <w:left w:val="single" w:color="auto" w:sz="4" w:space="0"/>
              <w:bottom w:val="single" w:color="auto" w:sz="4" w:space="0"/>
              <w:right w:val="single" w:color="auto" w:sz="4" w:space="0"/>
            </w:tcBorders>
            <w:vAlign w:val="center"/>
          </w:tcPr>
          <w:p w14:paraId="392833F3">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4309C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体外受精显微操作管-剥离管</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40378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60.2</w:t>
            </w:r>
          </w:p>
        </w:tc>
        <w:tc>
          <w:tcPr>
            <w:tcW w:w="6647" w:type="dxa"/>
            <w:tcBorders>
              <w:top w:val="single" w:color="auto" w:sz="4" w:space="0"/>
              <w:left w:val="single" w:color="auto" w:sz="4" w:space="0"/>
              <w:bottom w:val="single" w:color="auto" w:sz="4" w:space="0"/>
              <w:right w:val="single" w:color="auto" w:sz="4" w:space="0"/>
            </w:tcBorders>
            <w:shd w:val="clear" w:color="auto" w:fill="auto"/>
            <w:vAlign w:val="center"/>
          </w:tcPr>
          <w:p w14:paraId="4EE6EDFE">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用途：用于辅助生殖去除颗粒细胞。</w:t>
            </w:r>
          </w:p>
          <w:p w14:paraId="28814CB4">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1.无菌，无热原，无细胞毒性；</w:t>
            </w:r>
          </w:p>
          <w:p w14:paraId="285AA252">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2.非玻璃材质；</w:t>
            </w:r>
          </w:p>
          <w:p w14:paraId="226E3C7C">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2.口径140um-180um多种规格；</w:t>
            </w:r>
          </w:p>
          <w:p w14:paraId="049EDB0A">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3.可兼容RI操作手柄使用。</w:t>
            </w:r>
          </w:p>
          <w:p w14:paraId="5580DC86">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color w:val="FF0000"/>
                <w:highlight w:val="none"/>
                <w:lang w:val="en-US" w:eastAsia="zh-CN"/>
              </w:rPr>
              <w:t>▲4</w:t>
            </w:r>
            <w:r>
              <w:rPr>
                <w:rFonts w:hint="eastAsia" w:asciiTheme="minorEastAsia" w:hAnsiTheme="minorEastAsia" w:eastAsiaTheme="minorEastAsia" w:cstheme="minorEastAsia"/>
                <w:b w:val="0"/>
                <w:bCs/>
                <w:color w:val="FF0000"/>
                <w:sz w:val="21"/>
                <w:szCs w:val="21"/>
                <w:highlight w:val="none"/>
                <w:lang w:val="en-US" w:eastAsia="zh-CN"/>
              </w:rPr>
              <w:t>.</w:t>
            </w:r>
            <w:r>
              <w:rPr>
                <w:rFonts w:hint="eastAsia" w:eastAsia="宋体" w:cs="Times New Roman"/>
                <w:b w:val="0"/>
                <w:bCs/>
                <w:color w:val="FF0000"/>
                <w:sz w:val="21"/>
                <w:szCs w:val="21"/>
                <w:highlight w:val="none"/>
                <w:lang w:val="en-US" w:eastAsia="zh-CN"/>
              </w:rPr>
              <w:t>产品须具备医疗器械注册证或医疗器械备案证明。</w:t>
            </w:r>
          </w:p>
        </w:tc>
      </w:tr>
      <w:tr w14:paraId="03149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6C36A7AE">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389B8518">
            <w:pPr>
              <w:snapToGrid w:val="0"/>
              <w:spacing w:line="360" w:lineRule="exact"/>
              <w:rPr>
                <w:highlight w:val="none"/>
              </w:rPr>
            </w:pPr>
            <w:r>
              <w:rPr>
                <w:rFonts w:hint="eastAsia"/>
                <w:b/>
                <w:bCs/>
                <w:highlight w:val="none"/>
              </w:rPr>
              <w:t>二、商务要求表</w:t>
            </w:r>
          </w:p>
        </w:tc>
      </w:tr>
      <w:tr w14:paraId="216CE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760978A2">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B53A991">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1A65E844">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41023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350A0FF9">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68986A7">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37DD7BE4">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C96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F5A11">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1A7DD4F">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150DF959">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F0FD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419264E2">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7B56BDC5">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66D1FE2B">
            <w:pPr>
              <w:numPr>
                <w:ilvl w:val="0"/>
                <w:numId w:val="3"/>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14568C75">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052CC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67FD3F38">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7CD79FFF">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48FC2AE7">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0CEDF6BA">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69047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6116C56D">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7075FC7B">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51B350CE">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3FA52459">
            <w:pPr>
              <w:numPr>
                <w:ilvl w:val="0"/>
                <w:numId w:val="0"/>
              </w:numPr>
              <w:spacing w:line="360" w:lineRule="exact"/>
              <w:ind w:right="97" w:rightChars="46"/>
              <w:jc w:val="left"/>
              <w:rPr>
                <w:rFonts w:hint="eastAsia"/>
                <w:color w:val="auto"/>
                <w:highlight w:val="none"/>
              </w:rPr>
            </w:pPr>
            <w:r>
              <w:rPr>
                <w:rFonts w:hint="eastAsia" w:cs="Times New Roman"/>
                <w:color w:val="auto"/>
                <w:kern w:val="2"/>
                <w:sz w:val="21"/>
                <w:szCs w:val="22"/>
                <w:lang w:val="en-US" w:eastAsia="zh-CN" w:bidi="ar-SA"/>
              </w:rPr>
              <w:t>2</w:t>
            </w:r>
            <w:r>
              <w:rPr>
                <w:rFonts w:hint="eastAsia" w:ascii="Calibri" w:hAnsi="Calibri" w:eastAsia="宋体" w:cs="Times New Roman"/>
                <w:color w:val="auto"/>
                <w:kern w:val="2"/>
                <w:sz w:val="21"/>
                <w:szCs w:val="22"/>
                <w:lang w:val="en-US" w:eastAsia="zh-CN" w:bidi="ar-SA"/>
              </w:rPr>
              <w:t>、</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259AE194">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350EE52A">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580328CE">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4B4F38A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343363E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1A744E1A">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65B89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7BF8041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7AE7C18F">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39ACB82A">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19A18833">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5F77397">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6D3DD7E4">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4、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512155B0">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7683010A">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55AF018D">
            <w:pPr>
              <w:spacing w:line="400" w:lineRule="exact"/>
              <w:ind w:right="97" w:rightChars="46"/>
              <w:rPr>
                <w:rFonts w:hint="eastAsia" w:eastAsia="宋体" w:cs="Times New Roman"/>
                <w:color w:val="auto"/>
                <w:highlight w:val="none"/>
              </w:rPr>
            </w:pPr>
            <w:r>
              <w:rPr>
                <w:rFonts w:hint="eastAsia" w:ascii="宋体" w:hAnsi="宋体" w:cs="宋体"/>
                <w:color w:val="auto"/>
                <w:szCs w:val="21"/>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71816BE9">
            <w:pPr>
              <w:spacing w:line="400" w:lineRule="exact"/>
              <w:ind w:right="97" w:rightChars="46"/>
              <w:rPr>
                <w:rFonts w:hint="eastAsia"/>
                <w:highlight w:val="none"/>
                <w:lang w:val="en-US" w:eastAsia="zh-CN"/>
              </w:rPr>
            </w:pPr>
            <w:r>
              <w:rPr>
                <w:rFonts w:hint="eastAsia" w:ascii="宋体" w:hAnsi="宋体" w:cs="宋体"/>
                <w:color w:val="auto"/>
                <w:szCs w:val="21"/>
                <w:highlight w:val="none"/>
                <w:lang w:val="en-US" w:eastAsia="zh-CN"/>
              </w:rPr>
              <w:t>8、</w:t>
            </w:r>
            <w:r>
              <w:rPr>
                <w:rFonts w:hint="eastAsia" w:eastAsia="宋体" w:cs="Times New Roman"/>
                <w:color w:val="auto"/>
                <w:highlight w:val="none"/>
                <w:lang w:val="en-US" w:eastAsia="zh-CN"/>
              </w:rPr>
              <w:t>目录内产品名称和规格仅作参考，欢迎各供应商提供能实现同等功能的产品。</w:t>
            </w:r>
          </w:p>
        </w:tc>
      </w:tr>
    </w:tbl>
    <w:p w14:paraId="51D519A1">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4"/>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0"/>
        </w:numPr>
        <w:ind w:left="0" w:leftChars="0" w:firstLine="0" w:firstLineChars="0"/>
        <w:rPr>
          <w:rFonts w:hint="default"/>
          <w:lang w:val="en-US" w:eastAsia="zh-CN"/>
        </w:rPr>
      </w:pPr>
      <w:r>
        <w:rPr>
          <w:rFonts w:hint="default" w:ascii="Calibri" w:hAnsi="Calibri" w:eastAsia="宋体" w:cs="Times New Roman"/>
          <w:kern w:val="2"/>
          <w:sz w:val="21"/>
          <w:szCs w:val="22"/>
          <w:lang w:val="en-US" w:eastAsia="zh-CN" w:bidi="ar-SA"/>
        </w:rPr>
        <w:t>2、</w:t>
      </w: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5"/>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5"/>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499576940"/>
            <w:bookmarkStart w:id="1" w:name="_Toc173211903"/>
            <w:bookmarkStart w:id="2" w:name="_Toc254970591"/>
            <w:bookmarkStart w:id="3" w:name="_Toc254970732"/>
            <w:bookmarkStart w:id="4" w:name="_Toc301781614"/>
            <w:bookmarkStart w:id="5" w:name="_Toc295404984"/>
            <w:bookmarkStart w:id="6" w:name="_Toc173066404"/>
            <w:bookmarkStart w:id="7" w:name="_Toc297193188"/>
            <w:bookmarkStart w:id="8" w:name="_Toc383699909"/>
            <w:bookmarkStart w:id="9" w:name="_Toc373333692"/>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54970733"/>
            <w:bookmarkStart w:id="11" w:name="_Toc173211904"/>
            <w:bookmarkStart w:id="12" w:name="_Toc254970592"/>
            <w:bookmarkStart w:id="13" w:name="_Toc373333693"/>
            <w:bookmarkStart w:id="14" w:name="_Toc173066405"/>
            <w:bookmarkStart w:id="15" w:name="_Toc297193189"/>
            <w:bookmarkStart w:id="16" w:name="_Toc499576941"/>
            <w:bookmarkStart w:id="17" w:name="_Toc301781615"/>
            <w:bookmarkStart w:id="18" w:name="_Toc295404985"/>
            <w:bookmarkStart w:id="19" w:name="_Toc383699910"/>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42B6A051">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40CFD794">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5095E"/>
    <w:multiLevelType w:val="singleLevel"/>
    <w:tmpl w:val="BF25095E"/>
    <w:lvl w:ilvl="0" w:tentative="0">
      <w:start w:val="1"/>
      <w:numFmt w:val="decimal"/>
      <w:suff w:val="nothing"/>
      <w:lvlText w:val="%1、"/>
      <w:lvlJc w:val="left"/>
    </w:lvl>
  </w:abstractNum>
  <w:abstractNum w:abstractNumId="1">
    <w:nsid w:val="D32C5B2C"/>
    <w:multiLevelType w:val="singleLevel"/>
    <w:tmpl w:val="D32C5B2C"/>
    <w:lvl w:ilvl="0" w:tentative="0">
      <w:start w:val="2"/>
      <w:numFmt w:val="chineseCounting"/>
      <w:suff w:val="space"/>
      <w:lvlText w:val="第%1章"/>
      <w:lvlJc w:val="left"/>
      <w:rPr>
        <w:rFonts w:hint="eastAsia"/>
      </w:rPr>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11989F1A"/>
    <w:multiLevelType w:val="singleLevel"/>
    <w:tmpl w:val="11989F1A"/>
    <w:lvl w:ilvl="0" w:tentative="0">
      <w:start w:val="2"/>
      <w:numFmt w:val="decimal"/>
      <w:suff w:val="nothing"/>
      <w:lvlText w:val="%1、"/>
      <w:lvlJc w:val="left"/>
    </w:lvl>
  </w:abstractNum>
  <w:abstractNum w:abstractNumId="4">
    <w:nsid w:val="3B5814A7"/>
    <w:multiLevelType w:val="singleLevel"/>
    <w:tmpl w:val="3B5814A7"/>
    <w:lvl w:ilvl="0" w:tentative="0">
      <w:start w:val="1"/>
      <w:numFmt w:val="decimal"/>
      <w:suff w:val="nothing"/>
      <w:lvlText w:val="%1、"/>
      <w:lvlJc w:val="left"/>
    </w:lvl>
  </w:abstractNum>
  <w:abstractNum w:abstractNumId="5">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274245F"/>
    <w:rsid w:val="038825C3"/>
    <w:rsid w:val="06CE3F4F"/>
    <w:rsid w:val="09956A01"/>
    <w:rsid w:val="09FC6C3A"/>
    <w:rsid w:val="0F90726D"/>
    <w:rsid w:val="10B96575"/>
    <w:rsid w:val="10C45D0D"/>
    <w:rsid w:val="153558A9"/>
    <w:rsid w:val="17DC7524"/>
    <w:rsid w:val="187D706F"/>
    <w:rsid w:val="1B8850B1"/>
    <w:rsid w:val="212E3725"/>
    <w:rsid w:val="26F66678"/>
    <w:rsid w:val="2831053B"/>
    <w:rsid w:val="2C277F22"/>
    <w:rsid w:val="2D471155"/>
    <w:rsid w:val="2DFB7239"/>
    <w:rsid w:val="30405223"/>
    <w:rsid w:val="31F2600B"/>
    <w:rsid w:val="34630C21"/>
    <w:rsid w:val="38DA0D20"/>
    <w:rsid w:val="405A5E8D"/>
    <w:rsid w:val="41626E2E"/>
    <w:rsid w:val="4413621A"/>
    <w:rsid w:val="442C2DC6"/>
    <w:rsid w:val="4568626D"/>
    <w:rsid w:val="46633EB2"/>
    <w:rsid w:val="46A56191"/>
    <w:rsid w:val="493A583E"/>
    <w:rsid w:val="5A3F7144"/>
    <w:rsid w:val="5AFF287E"/>
    <w:rsid w:val="5C752DED"/>
    <w:rsid w:val="5C76637A"/>
    <w:rsid w:val="5DF47CB1"/>
    <w:rsid w:val="5F6C70B7"/>
    <w:rsid w:val="639A5A00"/>
    <w:rsid w:val="6505684A"/>
    <w:rsid w:val="651B12F1"/>
    <w:rsid w:val="665705F5"/>
    <w:rsid w:val="70966801"/>
    <w:rsid w:val="76A531ED"/>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21"/>
    <w:basedOn w:val="15"/>
    <w:qFormat/>
    <w:uiPriority w:val="0"/>
    <w:rPr>
      <w:rFonts w:hint="eastAsia" w:ascii="宋体" w:hAnsi="宋体" w:eastAsia="宋体" w:cs="宋体"/>
      <w:color w:val="000000"/>
      <w:sz w:val="22"/>
      <w:szCs w:val="22"/>
      <w:u w:val="none"/>
    </w:rPr>
  </w:style>
  <w:style w:type="character" w:customStyle="1" w:styleId="21">
    <w:name w:val="font31"/>
    <w:basedOn w:val="15"/>
    <w:qFormat/>
    <w:uiPriority w:val="0"/>
    <w:rPr>
      <w:rFonts w:hint="eastAsia" w:ascii="宋体" w:hAnsi="宋体" w:eastAsia="宋体" w:cs="宋体"/>
      <w:color w:val="FF0000"/>
      <w:sz w:val="22"/>
      <w:szCs w:val="22"/>
      <w:u w:val="none"/>
    </w:rPr>
  </w:style>
  <w:style w:type="character" w:customStyle="1" w:styleId="22">
    <w:name w:val="font41"/>
    <w:basedOn w:val="15"/>
    <w:qFormat/>
    <w:uiPriority w:val="0"/>
    <w:rPr>
      <w:rFonts w:hint="eastAsia" w:ascii="宋体" w:hAnsi="宋体" w:eastAsia="宋体" w:cs="宋体"/>
      <w:color w:val="FFC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4299</Words>
  <Characters>4608</Characters>
  <Lines>1</Lines>
  <Paragraphs>1</Paragraphs>
  <TotalTime>2</TotalTime>
  <ScaleCrop>false</ScaleCrop>
  <LinksUpToDate>false</LinksUpToDate>
  <CharactersWithSpaces>5086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2024-12-13T01:25:41Z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C5ED41739BBB40418F1FB54D4C00E4E0_13</vt:lpwstr>
  </property>
</Properties>
</file>