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广西壮族自治区生殖医院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医疗设备管理系统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简易需求</w:t>
      </w:r>
    </w:p>
    <w:tbl>
      <w:tblPr>
        <w:tblStyle w:val="16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5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名称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1、系统基础设置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系统架构要求以医疗设备质量管理为基础，实现对医疗设备的采购、供应商、证照、合同、档案、验收、入库、建卡、领用、保养、维修、巡检、质控、调拨、计量、折旧、报废等各个环节形成全生命周期的精细化动态管理。</w:t>
            </w: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Style w:val="33"/>
                <w:rFonts w:hint="eastAsia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：医疗器械分类管理、医疗设备基础档案管理、多仓库分权限管理、人员权限管理等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2、医疗设备采购管理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包括不限于：采购管理、合同管理、预算关联、票据（发票）管理、应付款管理</w:t>
            </w:r>
            <w:r>
              <w:rPr>
                <w:rStyle w:val="34"/>
                <w:lang w:val="en-US" w:eastAsia="zh-CN" w:bidi="ar"/>
              </w:rPr>
              <w:t>、</w:t>
            </w:r>
            <w:r>
              <w:rPr>
                <w:rStyle w:val="33"/>
                <w:lang w:val="en-US" w:eastAsia="zh-CN" w:bidi="ar"/>
              </w:rPr>
              <w:t>验收入库、科室领用出库、退库管理、入账审核登记</w:t>
            </w:r>
            <w:r>
              <w:rPr>
                <w:rStyle w:val="34"/>
                <w:lang w:val="en-US" w:eastAsia="zh-CN" w:bidi="ar"/>
              </w:rPr>
              <w:t>、库存查询等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3、医疗设备资产管理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：设备资产新增、分类标识、</w:t>
            </w:r>
            <w:r>
              <w:rPr>
                <w:rStyle w:val="33"/>
                <w:rFonts w:hint="eastAsia"/>
                <w:lang w:val="en-US" w:eastAsia="zh-CN" w:bidi="ar"/>
              </w:rPr>
              <w:t>设备</w:t>
            </w:r>
            <w:r>
              <w:rPr>
                <w:rStyle w:val="33"/>
                <w:lang w:val="en-US" w:eastAsia="zh-CN" w:bidi="ar"/>
              </w:rPr>
              <w:t>档案管理、转移、报废、盘点、外调、台账查询、状态查询、使用率分析等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4、医疗设备维修管理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：维修问题知识库、维修配件管理、科室故障报修、维修接单、转单、维修处理、维修审核、维修进程查询、维修验收、维修查询、工作量统计、维修费用统计分析、单机设备故障率分析等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5、计量管理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;计量设备管理、计量强检日程、记录查询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6、PM保养管理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：保养模板个性化定制；保养计划制定、实施、验收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7、质量控制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：自定义预防性维护模板、质控计划制定、计划实施、收、质控到期检测提醒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8、不良事件管理和PDCA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：不良事件上报、PDCA录入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9、供应商合同证照管理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：生产厂家和供应商维护、证照管理、合同管理、</w:t>
            </w: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证照到期前提醒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10、工作提醒平台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3"/>
                <w:rFonts w:hint="eastAsia"/>
                <w:lang w:val="en-US" w:eastAsia="zh-CN" w:bidi="ar"/>
              </w:rPr>
              <w:t>包括不限于合同到期、</w:t>
            </w: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巡检保养到期、设备报修待处理、维修待验收、质控检查到期、计量周期检定到期等</w:t>
            </w:r>
            <w:r>
              <w:rPr>
                <w:rStyle w:val="33"/>
                <w:lang w:val="en-US" w:eastAsia="zh-CN" w:bidi="ar"/>
              </w:rPr>
              <w:t>工作提醒，</w:t>
            </w: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可自定义工作提醒周期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</w:t>
            </w:r>
            <w:r>
              <w:rPr>
                <w:rStyle w:val="33"/>
                <w:rFonts w:hint="eastAsia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、文档培训管理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Style w:val="33"/>
                <w:rFonts w:hint="eastAsia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：公用文档、培训文档，</w:t>
            </w: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可实时预览、下载。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</w:t>
            </w:r>
            <w:r>
              <w:rPr>
                <w:rStyle w:val="33"/>
                <w:rFonts w:hint="eastAsia"/>
                <w:lang w:val="en-US" w:eastAsia="zh-CN" w:bidi="ar"/>
              </w:rPr>
              <w:t>2</w:t>
            </w:r>
            <w:r>
              <w:rPr>
                <w:rStyle w:val="33"/>
                <w:lang w:val="en-US" w:eastAsia="zh-CN" w:bidi="ar"/>
              </w:rPr>
              <w:t>、数据报表管理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数据类报表支持多条件检索查询，可导出或在线打印。分析类报表支持以图表、明细形式展现，支持导出或在线打印。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</w:t>
            </w:r>
            <w:r>
              <w:rPr>
                <w:rStyle w:val="33"/>
                <w:rFonts w:hint="eastAsia"/>
                <w:lang w:val="en-US" w:eastAsia="zh-CN" w:bidi="ar"/>
              </w:rPr>
              <w:t>3</w:t>
            </w:r>
            <w:r>
              <w:rPr>
                <w:rStyle w:val="33"/>
                <w:lang w:val="en-US" w:eastAsia="zh-CN" w:bidi="ar"/>
              </w:rPr>
              <w:t>、移动端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Style w:val="33"/>
                <w:rFonts w:hint="eastAsia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：移动端扫码报修及查询、维修派工及接单、处理、审批、验收、维修进程查询、</w:t>
            </w:r>
            <w:r>
              <w:rPr>
                <w:rStyle w:val="33"/>
                <w:rFonts w:hint="eastAsia"/>
                <w:lang w:val="en-US" w:eastAsia="zh-CN" w:bidi="ar"/>
              </w:rPr>
              <w:t>资产盘点、</w:t>
            </w:r>
            <w:r>
              <w:rPr>
                <w:rStyle w:val="33"/>
                <w:lang w:val="en-US" w:eastAsia="zh-CN" w:bidi="ar"/>
              </w:rPr>
              <w:t>资产转科、资产报废、资产档案管理、预防性维护管理、</w:t>
            </w:r>
            <w:r>
              <w:rPr>
                <w:rStyle w:val="33"/>
                <w:rFonts w:hint="eastAsia"/>
                <w:lang w:val="en-US" w:eastAsia="zh-CN" w:bidi="ar"/>
              </w:rPr>
              <w:t>耗材扫描出入库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</w:t>
            </w:r>
            <w:r>
              <w:rPr>
                <w:rStyle w:val="33"/>
                <w:rFonts w:hint="eastAsia"/>
                <w:lang w:val="en-US" w:eastAsia="zh-CN" w:bidi="ar"/>
              </w:rPr>
              <w:t>4</w:t>
            </w:r>
            <w:r>
              <w:rPr>
                <w:rStyle w:val="33"/>
                <w:lang w:val="en-US" w:eastAsia="zh-CN" w:bidi="ar"/>
              </w:rPr>
              <w:t>、临床科室一级管理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Style w:val="33"/>
                <w:rFonts w:hint="eastAsia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：科室设备日常监测、记录、设备清查设置、清查记录、POCT设备管理及记录、设备质控记录，POCT设备管理记录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</w:t>
            </w:r>
            <w:r>
              <w:rPr>
                <w:rStyle w:val="33"/>
                <w:rFonts w:hint="eastAsia"/>
                <w:lang w:val="en-US" w:eastAsia="zh-CN" w:bidi="ar"/>
              </w:rPr>
              <w:t>5</w:t>
            </w:r>
            <w:r>
              <w:rPr>
                <w:rStyle w:val="33"/>
                <w:lang w:val="en-US" w:eastAsia="zh-CN" w:bidi="ar"/>
              </w:rPr>
              <w:t>、普通耗材管理/高值耗材管理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33"/>
                <w:lang w:val="en-US" w:eastAsia="zh-CN" w:bidi="ar"/>
              </w:rPr>
              <w:t>包括</w:t>
            </w:r>
            <w:r>
              <w:rPr>
                <w:rStyle w:val="33"/>
                <w:rFonts w:hint="eastAsia"/>
                <w:lang w:val="en-US" w:eastAsia="zh-CN" w:bidi="ar"/>
              </w:rPr>
              <w:t>不限于</w:t>
            </w:r>
            <w:r>
              <w:rPr>
                <w:rStyle w:val="33"/>
                <w:lang w:val="en-US" w:eastAsia="zh-CN" w:bidi="ar"/>
              </w:rPr>
              <w:t>：</w:t>
            </w:r>
            <w:r>
              <w:rPr>
                <w:rStyle w:val="33"/>
                <w:rFonts w:hint="eastAsia"/>
                <w:lang w:val="en-US" w:eastAsia="zh-CN" w:bidi="ar"/>
              </w:rPr>
              <w:t>物资</w:t>
            </w:r>
            <w:r>
              <w:rPr>
                <w:rStyle w:val="33"/>
                <w:lang w:val="en-US" w:eastAsia="zh-CN" w:bidi="ar"/>
              </w:rPr>
              <w:t>字典维护、室申请采购计划、物资入出入库、退货退库、</w:t>
            </w:r>
            <w:r>
              <w:rPr>
                <w:rStyle w:val="33"/>
                <w:rFonts w:hint="eastAsia"/>
                <w:color w:val="0000FF"/>
                <w:lang w:val="en-US" w:eastAsia="zh-CN" w:bidi="ar"/>
              </w:rPr>
              <w:t>物资盘点及处置、库存查询、耗材低值库存提醒、临床科室二级库管理、物资转科、第三类医用物资及高值耗材管理、物资报表、</w:t>
            </w:r>
            <w:r>
              <w:rPr>
                <w:rFonts w:hint="eastAsia"/>
                <w:lang w:val="en-US" w:eastAsia="zh-CN"/>
              </w:rPr>
              <w:t>物资效期管理功能、证照管理功能。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3"/>
                <w:lang w:val="en-US" w:eastAsia="zh-CN" w:bidi="ar"/>
              </w:rPr>
              <w:t>1</w:t>
            </w:r>
            <w:r>
              <w:rPr>
                <w:rStyle w:val="33"/>
                <w:rFonts w:hint="eastAsia"/>
                <w:lang w:val="en-US" w:eastAsia="zh-CN" w:bidi="ar"/>
              </w:rPr>
              <w:t>6</w:t>
            </w:r>
            <w:r>
              <w:rPr>
                <w:rStyle w:val="33"/>
                <w:lang w:val="en-US" w:eastAsia="zh-CN" w:bidi="ar"/>
              </w:rPr>
              <w:t>、软件对接服务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-1"/>
                <w:numId w:val="0"/>
              </w:numPr>
              <w:spacing w:line="360" w:lineRule="auto"/>
              <w:ind w:left="0" w:leftChars="0" w:right="420" w:firstLine="0" w:firstLineChars="0"/>
              <w:rPr>
                <w:rFonts w:ascii="仿宋" w:hAnsi="仿宋" w:eastAsia="仿宋"/>
                <w:sz w:val="24"/>
                <w:shd w:val="clear" w:color="auto" w:fill="FFFFFF"/>
              </w:rPr>
            </w:pPr>
            <w:r>
              <w:rPr>
                <w:rStyle w:val="33"/>
                <w:lang w:val="en-US" w:eastAsia="zh-CN" w:bidi="ar"/>
              </w:rPr>
              <w:t>设备管理软件使用对接服务，</w:t>
            </w: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免费</w:t>
            </w:r>
            <w:r>
              <w:rPr>
                <w:rFonts w:hint="eastAsia" w:ascii="仿宋" w:hAnsi="仿宋" w:eastAsia="仿宋"/>
                <w:sz w:val="24"/>
                <w:shd w:val="clear" w:color="auto" w:fill="FFFFFF"/>
                <w:lang w:val="en-US" w:eastAsia="zh-CN"/>
              </w:rPr>
              <w:t>开放</w:t>
            </w: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接口供其它系统使用及认证并承担与本软件相关的用友HRP物资管理系统、财务系统、数字认证等医院信息系统接口费用。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3"/>
                <w:rFonts w:hint="default"/>
                <w:lang w:val="en-US" w:eastAsia="zh-CN" w:bidi="ar"/>
              </w:rPr>
            </w:pPr>
            <w:r>
              <w:rPr>
                <w:rStyle w:val="33"/>
                <w:rFonts w:hint="eastAsia"/>
                <w:lang w:val="en-US" w:eastAsia="zh-CN" w:bidi="ar"/>
              </w:rPr>
              <w:t>17.质保期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质保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期三年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质保期内各类接口开发、测试服务免费。</w:t>
            </w:r>
          </w:p>
        </w:tc>
      </w:tr>
    </w:tbl>
    <w:p>
      <w:pPr>
        <w:pStyle w:val="13"/>
        <w:shd w:val="clear" w:color="auto" w:fill="FFFFFF"/>
        <w:spacing w:before="210" w:beforeAutospacing="0" w:after="210" w:afterAutospacing="0" w:line="315" w:lineRule="atLeast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24"/>
          <w:szCs w:val="24"/>
        </w:rPr>
        <w:t>系统配套硬件：</w:t>
      </w:r>
      <w:r>
        <w:rPr>
          <w:rFonts w:ascii="仿宋" w:hAnsi="仿宋" w:eastAsia="仿宋" w:cs="仿宋"/>
          <w:kern w:val="2"/>
          <w:sz w:val="24"/>
          <w:szCs w:val="24"/>
        </w:rPr>
        <w:t xml:space="preserve"> </w:t>
      </w:r>
    </w:p>
    <w:tbl>
      <w:tblPr>
        <w:tblStyle w:val="16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33"/>
        <w:gridCol w:w="1985"/>
        <w:gridCol w:w="992"/>
        <w:gridCol w:w="99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名  称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硬件参数要求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数量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覆膜标签打印机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覆膜标签打印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台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覆膜标签纸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30X40mm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张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2000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显示屏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≥65英寸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台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1台固定挂墙上，1台配支架可移动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台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用于管理系统、控制显示屏信息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PDA手持终端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台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扫码枪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台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其他硬件</w:t>
            </w:r>
          </w:p>
        </w:tc>
        <w:tc>
          <w:tcPr>
            <w:tcW w:w="198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\</w:t>
            </w: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pStyle w:val="13"/>
              <w:spacing w:before="210" w:beforeAutospacing="0" w:after="210" w:afterAutospacing="0" w:line="315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根据本软件系统需要配置</w:t>
            </w:r>
          </w:p>
        </w:tc>
      </w:tr>
    </w:tbl>
    <w:p>
      <w:pPr>
        <w:pStyle w:val="13"/>
        <w:shd w:val="clear" w:color="auto" w:fill="FFFFFF"/>
        <w:spacing w:before="210" w:beforeAutospacing="0" w:after="210" w:afterAutospacing="0" w:line="31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注：采购价含安装及相关配件费用。</w:t>
      </w:r>
    </w:p>
    <w:p>
      <w:pPr>
        <w:pStyle w:val="13"/>
        <w:shd w:val="clear" w:color="auto" w:fill="FFFFFF"/>
        <w:spacing w:before="210" w:beforeAutospacing="0" w:after="210" w:afterAutospacing="0" w:line="315" w:lineRule="atLeast"/>
        <w:rPr>
          <w:rFonts w:hint="eastAsia" w:ascii="仿宋" w:hAnsi="仿宋" w:eastAsia="仿宋" w:cs="仿宋"/>
          <w:kern w:val="2"/>
          <w:sz w:val="24"/>
          <w:szCs w:val="24"/>
        </w:rPr>
      </w:pPr>
    </w:p>
    <w:p>
      <w:pPr>
        <w:pStyle w:val="13"/>
        <w:shd w:val="clear" w:color="auto" w:fill="FFFFFF"/>
        <w:spacing w:before="210" w:beforeAutospacing="0" w:after="210" w:afterAutospacing="0" w:line="315" w:lineRule="atLeast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24"/>
          <w:szCs w:val="24"/>
        </w:rPr>
        <w:t>驻点工程师：</w:t>
      </w:r>
    </w:p>
    <w:p>
      <w:pPr>
        <w:pStyle w:val="13"/>
        <w:shd w:val="clear" w:color="auto" w:fill="FFFFFF"/>
        <w:spacing w:before="210" w:beforeAutospacing="0" w:after="210" w:afterAutospacing="0"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/>
        </w:rPr>
        <w:t>除项目实施工程师外，中标方需派驻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驻点</w:t>
      </w:r>
      <w:r>
        <w:rPr>
          <w:rFonts w:hint="eastAsia" w:ascii="仿宋" w:hAnsi="仿宋" w:eastAsia="仿宋" w:cs="仿宋"/>
          <w:kern w:val="2"/>
          <w:sz w:val="24"/>
          <w:szCs w:val="24"/>
        </w:rPr>
        <w:t>工程师1人，时间一年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负责</w:t>
      </w:r>
      <w:r>
        <w:rPr>
          <w:rFonts w:hint="eastAsia" w:ascii="仿宋" w:hAnsi="仿宋" w:eastAsia="仿宋" w:cs="仿宋"/>
          <w:kern w:val="2"/>
          <w:sz w:val="24"/>
          <w:szCs w:val="24"/>
        </w:rPr>
        <w:t>处理医疗设备管理系统方面的事务，并根据采购人设备归口管理部门的安排，按照国家三甲医院标准规范完成历年医疗器械档案建档工作，培训相关人员熟练操作设备管理系统各个模块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。</w:t>
      </w:r>
    </w:p>
    <w:p>
      <w:pPr>
        <w:pStyle w:val="2"/>
        <w:ind w:left="160" w:leftChars="23" w:hanging="112" w:hangingChars="47"/>
        <w:rPr>
          <w:rFonts w:ascii="仿宋" w:hAnsi="仿宋" w:eastAsia="仿宋"/>
          <w:sz w:val="24"/>
        </w:rPr>
      </w:pPr>
    </w:p>
    <w:p>
      <w:pPr>
        <w:pStyle w:val="2"/>
        <w:ind w:left="160" w:leftChars="23" w:hanging="112" w:hangingChars="47"/>
        <w:rPr>
          <w:rFonts w:ascii="仿宋" w:hAnsi="仿宋" w:eastAsia="仿宋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mM5NjY1MWZkOTA1NmVjYjc1MzYyZWUwZTY2NTgifQ=="/>
  </w:docVars>
  <w:rsids>
    <w:rsidRoot w:val="00DC5125"/>
    <w:rsid w:val="00007518"/>
    <w:rsid w:val="00023935"/>
    <w:rsid w:val="00032350"/>
    <w:rsid w:val="000445F6"/>
    <w:rsid w:val="000548C4"/>
    <w:rsid w:val="000649D5"/>
    <w:rsid w:val="00067926"/>
    <w:rsid w:val="00072C4A"/>
    <w:rsid w:val="00076C46"/>
    <w:rsid w:val="000B478C"/>
    <w:rsid w:val="000E421B"/>
    <w:rsid w:val="000E704B"/>
    <w:rsid w:val="000E7438"/>
    <w:rsid w:val="000F667A"/>
    <w:rsid w:val="00101094"/>
    <w:rsid w:val="0011412F"/>
    <w:rsid w:val="00122450"/>
    <w:rsid w:val="0012604D"/>
    <w:rsid w:val="00144433"/>
    <w:rsid w:val="001502F3"/>
    <w:rsid w:val="00150E91"/>
    <w:rsid w:val="00155143"/>
    <w:rsid w:val="0017162F"/>
    <w:rsid w:val="00182416"/>
    <w:rsid w:val="001B15EE"/>
    <w:rsid w:val="001B7AAA"/>
    <w:rsid w:val="001C5226"/>
    <w:rsid w:val="001D066C"/>
    <w:rsid w:val="001E5A77"/>
    <w:rsid w:val="001E5ECF"/>
    <w:rsid w:val="00205EFA"/>
    <w:rsid w:val="00214F62"/>
    <w:rsid w:val="00220E63"/>
    <w:rsid w:val="00227E96"/>
    <w:rsid w:val="00257635"/>
    <w:rsid w:val="00257ED7"/>
    <w:rsid w:val="00277E23"/>
    <w:rsid w:val="0028701F"/>
    <w:rsid w:val="002A5EC5"/>
    <w:rsid w:val="002B47C3"/>
    <w:rsid w:val="00310820"/>
    <w:rsid w:val="003158D5"/>
    <w:rsid w:val="00317C8D"/>
    <w:rsid w:val="003611D3"/>
    <w:rsid w:val="00362085"/>
    <w:rsid w:val="0037030B"/>
    <w:rsid w:val="00376F0B"/>
    <w:rsid w:val="0038337C"/>
    <w:rsid w:val="00392179"/>
    <w:rsid w:val="003970DC"/>
    <w:rsid w:val="003977B0"/>
    <w:rsid w:val="003F0115"/>
    <w:rsid w:val="00404C34"/>
    <w:rsid w:val="004078F4"/>
    <w:rsid w:val="00410DE4"/>
    <w:rsid w:val="00427231"/>
    <w:rsid w:val="00432E0E"/>
    <w:rsid w:val="00455676"/>
    <w:rsid w:val="00456239"/>
    <w:rsid w:val="00463A61"/>
    <w:rsid w:val="00491DA9"/>
    <w:rsid w:val="0049725A"/>
    <w:rsid w:val="004C4511"/>
    <w:rsid w:val="004C686D"/>
    <w:rsid w:val="004D0014"/>
    <w:rsid w:val="004E256C"/>
    <w:rsid w:val="004F62CA"/>
    <w:rsid w:val="0050320F"/>
    <w:rsid w:val="00515E92"/>
    <w:rsid w:val="00517621"/>
    <w:rsid w:val="00546626"/>
    <w:rsid w:val="00550288"/>
    <w:rsid w:val="00572C8A"/>
    <w:rsid w:val="0057376C"/>
    <w:rsid w:val="00586CA6"/>
    <w:rsid w:val="005905C3"/>
    <w:rsid w:val="00590653"/>
    <w:rsid w:val="00590877"/>
    <w:rsid w:val="0059314B"/>
    <w:rsid w:val="005A3669"/>
    <w:rsid w:val="005C6676"/>
    <w:rsid w:val="005E615F"/>
    <w:rsid w:val="005F008F"/>
    <w:rsid w:val="005F6240"/>
    <w:rsid w:val="0061249A"/>
    <w:rsid w:val="00622A10"/>
    <w:rsid w:val="00625E04"/>
    <w:rsid w:val="00637F28"/>
    <w:rsid w:val="00681461"/>
    <w:rsid w:val="00694622"/>
    <w:rsid w:val="006B1C65"/>
    <w:rsid w:val="006D1E58"/>
    <w:rsid w:val="006D6743"/>
    <w:rsid w:val="006E76F4"/>
    <w:rsid w:val="006F3F38"/>
    <w:rsid w:val="006F6D02"/>
    <w:rsid w:val="00700C81"/>
    <w:rsid w:val="00724A29"/>
    <w:rsid w:val="00730789"/>
    <w:rsid w:val="00747AAB"/>
    <w:rsid w:val="00765FD5"/>
    <w:rsid w:val="007677B2"/>
    <w:rsid w:val="00776933"/>
    <w:rsid w:val="007E5DD4"/>
    <w:rsid w:val="007F22D5"/>
    <w:rsid w:val="007F48B0"/>
    <w:rsid w:val="0081562E"/>
    <w:rsid w:val="00817273"/>
    <w:rsid w:val="00830CEC"/>
    <w:rsid w:val="008430F5"/>
    <w:rsid w:val="00846367"/>
    <w:rsid w:val="008502C9"/>
    <w:rsid w:val="00852FB0"/>
    <w:rsid w:val="00862A99"/>
    <w:rsid w:val="00875FA2"/>
    <w:rsid w:val="008A5096"/>
    <w:rsid w:val="008A6942"/>
    <w:rsid w:val="008B31E4"/>
    <w:rsid w:val="008B4358"/>
    <w:rsid w:val="008B65BD"/>
    <w:rsid w:val="008C2243"/>
    <w:rsid w:val="008E267F"/>
    <w:rsid w:val="008E5351"/>
    <w:rsid w:val="008E6198"/>
    <w:rsid w:val="009059E0"/>
    <w:rsid w:val="00916757"/>
    <w:rsid w:val="00946FF1"/>
    <w:rsid w:val="00950A97"/>
    <w:rsid w:val="00965486"/>
    <w:rsid w:val="009756F8"/>
    <w:rsid w:val="00982B47"/>
    <w:rsid w:val="00984613"/>
    <w:rsid w:val="00985FA7"/>
    <w:rsid w:val="00991F5B"/>
    <w:rsid w:val="009D35A9"/>
    <w:rsid w:val="00A14D45"/>
    <w:rsid w:val="00A2657A"/>
    <w:rsid w:val="00A309C2"/>
    <w:rsid w:val="00A525F4"/>
    <w:rsid w:val="00A82C83"/>
    <w:rsid w:val="00AD05EC"/>
    <w:rsid w:val="00AF4152"/>
    <w:rsid w:val="00B0293C"/>
    <w:rsid w:val="00B11F6A"/>
    <w:rsid w:val="00B33D36"/>
    <w:rsid w:val="00B43658"/>
    <w:rsid w:val="00B607AE"/>
    <w:rsid w:val="00BF4688"/>
    <w:rsid w:val="00C0513E"/>
    <w:rsid w:val="00C20240"/>
    <w:rsid w:val="00C34855"/>
    <w:rsid w:val="00C432CE"/>
    <w:rsid w:val="00C66147"/>
    <w:rsid w:val="00CB245B"/>
    <w:rsid w:val="00CC35DF"/>
    <w:rsid w:val="00CD269B"/>
    <w:rsid w:val="00CD2DF6"/>
    <w:rsid w:val="00CD7517"/>
    <w:rsid w:val="00D01ABB"/>
    <w:rsid w:val="00D04C3D"/>
    <w:rsid w:val="00D13E1A"/>
    <w:rsid w:val="00D13E9A"/>
    <w:rsid w:val="00D1452E"/>
    <w:rsid w:val="00D22A58"/>
    <w:rsid w:val="00D2414A"/>
    <w:rsid w:val="00D2622E"/>
    <w:rsid w:val="00D31D82"/>
    <w:rsid w:val="00D46715"/>
    <w:rsid w:val="00D46C82"/>
    <w:rsid w:val="00D72227"/>
    <w:rsid w:val="00DA0D05"/>
    <w:rsid w:val="00DB3B38"/>
    <w:rsid w:val="00DC5125"/>
    <w:rsid w:val="00DD742C"/>
    <w:rsid w:val="00DF6C08"/>
    <w:rsid w:val="00E009C6"/>
    <w:rsid w:val="00E01BDB"/>
    <w:rsid w:val="00E24BAD"/>
    <w:rsid w:val="00E366DC"/>
    <w:rsid w:val="00E52E6F"/>
    <w:rsid w:val="00E5466B"/>
    <w:rsid w:val="00E75976"/>
    <w:rsid w:val="00E8030D"/>
    <w:rsid w:val="00E84E90"/>
    <w:rsid w:val="00E96AD3"/>
    <w:rsid w:val="00E96BCD"/>
    <w:rsid w:val="00EB528D"/>
    <w:rsid w:val="00EB75C8"/>
    <w:rsid w:val="00EC1B1D"/>
    <w:rsid w:val="00EC38D6"/>
    <w:rsid w:val="00ED1B04"/>
    <w:rsid w:val="00F046ED"/>
    <w:rsid w:val="00F156D9"/>
    <w:rsid w:val="00F2031A"/>
    <w:rsid w:val="00F25EE4"/>
    <w:rsid w:val="00F27FF0"/>
    <w:rsid w:val="00F4459C"/>
    <w:rsid w:val="00F846CB"/>
    <w:rsid w:val="00FA7BBF"/>
    <w:rsid w:val="00FB1B76"/>
    <w:rsid w:val="00FB29D6"/>
    <w:rsid w:val="00FC481C"/>
    <w:rsid w:val="00FF29BC"/>
    <w:rsid w:val="0BFC3121"/>
    <w:rsid w:val="144A60B5"/>
    <w:rsid w:val="178F7340"/>
    <w:rsid w:val="1D02184D"/>
    <w:rsid w:val="22AB0ECC"/>
    <w:rsid w:val="399F74A1"/>
    <w:rsid w:val="52894A0E"/>
    <w:rsid w:val="55AA7418"/>
    <w:rsid w:val="56F14CAB"/>
    <w:rsid w:val="583354EA"/>
    <w:rsid w:val="5E2A48CA"/>
    <w:rsid w:val="6F2C3968"/>
    <w:rsid w:val="766A2DD4"/>
    <w:rsid w:val="79225615"/>
    <w:rsid w:val="7F6845A2"/>
    <w:rsid w:val="7F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22"/>
    <w:autoRedefine/>
    <w:qFormat/>
    <w:uiPriority w:val="0"/>
    <w:pPr>
      <w:keepNext/>
      <w:keepLines/>
      <w:numPr>
        <w:ilvl w:val="0"/>
        <w:numId w:val="1"/>
      </w:numPr>
      <w:tabs>
        <w:tab w:val="left" w:pos="1145"/>
        <w:tab w:val="clear" w:pos="360"/>
      </w:tabs>
      <w:spacing w:before="260" w:after="260" w:line="416" w:lineRule="auto"/>
      <w:ind w:left="992" w:hanging="567" w:firstLineChars="0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unhideWhenUsed/>
    <w:qFormat/>
    <w:uiPriority w:val="0"/>
    <w:pPr>
      <w:ind w:left="100" w:leftChars="200" w:hanging="200" w:hangingChars="200"/>
      <w:contextualSpacing/>
    </w:pPr>
  </w:style>
  <w:style w:type="paragraph" w:styleId="5">
    <w:name w:val="Normal Indent"/>
    <w:basedOn w:val="1"/>
    <w:link w:val="26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27"/>
    <w:autoRedefine/>
    <w:qFormat/>
    <w:uiPriority w:val="0"/>
    <w:pPr>
      <w:spacing w:line="360" w:lineRule="auto"/>
    </w:pPr>
    <w:rPr>
      <w:rFonts w:eastAsia="仿宋_GB2312"/>
      <w:sz w:val="28"/>
    </w:rPr>
  </w:style>
  <w:style w:type="paragraph" w:styleId="9">
    <w:name w:val="Body Text Indent"/>
    <w:basedOn w:val="1"/>
    <w:link w:val="24"/>
    <w:autoRedefine/>
    <w:semiHidden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4">
    <w:name w:val="annotation subject"/>
    <w:basedOn w:val="7"/>
    <w:next w:val="7"/>
    <w:link w:val="31"/>
    <w:autoRedefine/>
    <w:semiHidden/>
    <w:unhideWhenUsed/>
    <w:qFormat/>
    <w:uiPriority w:val="99"/>
    <w:rPr>
      <w:b/>
      <w:bCs/>
    </w:rPr>
  </w:style>
  <w:style w:type="paragraph" w:styleId="15">
    <w:name w:val="Body Text First Indent 2"/>
    <w:basedOn w:val="9"/>
    <w:link w:val="25"/>
    <w:autoRedefine/>
    <w:qFormat/>
    <w:uiPriority w:val="0"/>
    <w:pPr>
      <w:ind w:firstLine="420" w:firstLineChars="2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8"/>
    <w:link w:val="12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18"/>
    <w:link w:val="4"/>
    <w:autoRedefine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23">
    <w:name w:val="正文文本 Char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正文文本缩进 Char"/>
    <w:basedOn w:val="18"/>
    <w:link w:val="9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正文首行缩进 2 Char"/>
    <w:basedOn w:val="24"/>
    <w:link w:val="15"/>
    <w:autoRedefine/>
    <w:qFormat/>
    <w:uiPriority w:val="0"/>
  </w:style>
  <w:style w:type="character" w:customStyle="1" w:styleId="26">
    <w:name w:val="正文缩进 Char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正文文本 Char1"/>
    <w:link w:val="8"/>
    <w:autoRedefine/>
    <w:qFormat/>
    <w:locked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28">
    <w:name w:val="标题 3 Char"/>
    <w:basedOn w:val="18"/>
    <w:link w:val="6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1 Char"/>
    <w:basedOn w:val="18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批注文字 Char"/>
    <w:basedOn w:val="18"/>
    <w:link w:val="7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批注主题 Char"/>
    <w:basedOn w:val="30"/>
    <w:link w:val="14"/>
    <w:autoRedefine/>
    <w:semiHidden/>
    <w:qFormat/>
    <w:uiPriority w:val="99"/>
    <w:rPr>
      <w:b/>
      <w:bCs/>
    </w:rPr>
  </w:style>
  <w:style w:type="character" w:customStyle="1" w:styleId="32">
    <w:name w:val="批注框文本 Char"/>
    <w:basedOn w:val="18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font11"/>
    <w:basedOn w:val="1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21"/>
    <w:basedOn w:val="1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1450</Words>
  <Characters>8266</Characters>
  <Lines>68</Lines>
  <Paragraphs>19</Paragraphs>
  <TotalTime>255</TotalTime>
  <ScaleCrop>false</ScaleCrop>
  <LinksUpToDate>false</LinksUpToDate>
  <CharactersWithSpaces>9697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2023-08-30T00:47:00Z</dcterms:created>
  <dc:creator>李守正</dc:creator>
  <cp:lastModifiedBy>小峥峥</cp:lastModifiedBy>
  <dcterms:modified xsi:type="dcterms:W3CDTF">2024-03-14T06:17:15Z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78BBC3ECD684406AB988CD57FF8E86EB_13</vt:lpwstr>
  </property>
</Properties>
</file>