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项目需求</w:t>
      </w:r>
    </w:p>
    <w:p>
      <w:pPr>
        <w:ind w:left="0" w:leftChars="0" w:firstLine="0"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设备性能需求（购置参数）：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激光类型：封离式直流激励二氧化碳激光器。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激光波长：10600nm。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激光模式：TEMOO模式。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同时具有C</w:t>
      </w:r>
      <w:r>
        <w:rPr>
          <w:rFonts w:asciiTheme="minorEastAsia" w:hAnsiTheme="minorEastAsia" w:eastAsiaTheme="minorEastAsia" w:cstheme="minorEastAsia"/>
        </w:rPr>
        <w:t>W(</w:t>
      </w:r>
      <w:r>
        <w:rPr>
          <w:rFonts w:hint="eastAsia" w:asciiTheme="minorEastAsia" w:hAnsiTheme="minorEastAsia" w:eastAsiaTheme="minorEastAsia" w:cstheme="minorEastAsia"/>
        </w:rPr>
        <w:t>连续)、Pulser（脉冲）及Super Pulser（超脉冲）模式。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▲</w:t>
      </w:r>
      <w:r>
        <w:rPr>
          <w:rFonts w:hint="eastAsia" w:asciiTheme="minorEastAsia" w:hAnsiTheme="minorEastAsia" w:eastAsiaTheme="minorEastAsia" w:cstheme="minorEastAsia"/>
        </w:rPr>
        <w:t>导光系统：导光臂与光纤输出均为激光波长为10600nm的CO2激光。</w:t>
      </w:r>
    </w:p>
    <w:p>
      <w:pPr>
        <w:numPr>
          <w:ilvl w:val="0"/>
          <w:numId w:val="1"/>
        </w:numPr>
        <w:ind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▲</w:t>
      </w:r>
      <w:r>
        <w:rPr>
          <w:rFonts w:hint="eastAsia" w:asciiTheme="minorEastAsia" w:hAnsiTheme="minorEastAsia" w:eastAsiaTheme="minorEastAsia" w:cstheme="minorEastAsia"/>
          <w:bCs/>
        </w:rPr>
        <w:t>冷却系统：氟化物冷却系统,风冷辅助系统。</w:t>
      </w:r>
    </w:p>
    <w:p>
      <w:pPr>
        <w:numPr>
          <w:ilvl w:val="0"/>
          <w:numId w:val="1"/>
        </w:numPr>
        <w:ind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指示激光：5mw半导体激光。指引激光可调性：亮度六级可调，具备闪烁指示方式。</w:t>
      </w:r>
    </w:p>
    <w:p>
      <w:pPr>
        <w:numPr>
          <w:ilvl w:val="0"/>
          <w:numId w:val="1"/>
        </w:numPr>
        <w:ind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激光输出控制：单脚闸光电开关输出控制。反应时间小于等于0</w:t>
      </w:r>
      <w:r>
        <w:rPr>
          <w:rFonts w:asciiTheme="minorEastAsia" w:hAnsiTheme="minorEastAsia" w:eastAsiaTheme="minorEastAsia" w:cstheme="minorEastAsia"/>
        </w:rPr>
        <w:t>.1</w:t>
      </w:r>
      <w:r>
        <w:rPr>
          <w:rFonts w:hint="eastAsia" w:asciiTheme="minorEastAsia" w:hAnsiTheme="minorEastAsia" w:eastAsiaTheme="minorEastAsia" w:cstheme="minorEastAsia"/>
        </w:rPr>
        <w:t>秒。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手术激光同轴性：半导体指引激光线与10600nm手术激光线同轴。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▲</w:t>
      </w:r>
      <w:r>
        <w:rPr>
          <w:rFonts w:hint="eastAsia" w:asciiTheme="minorEastAsia" w:hAnsiTheme="minorEastAsia" w:eastAsiaTheme="minorEastAsia" w:cstheme="minorEastAsia"/>
        </w:rPr>
        <w:t>光纤末端输出光斑尺寸：≤295微米。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光纤长度：≥2米；光纤外径≤1.04毫米，内径≤0.5毫米。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光纤头端具有术中更新能力，随时保证激光输出的质与量。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光纤外径≤1.04毫米，内径≤0.5毫米。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操作界面</w:t>
      </w:r>
      <w:r>
        <w:rPr>
          <w:rFonts w:hint="eastAsia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</w:rPr>
        <w:t>10.4英寸的触摸液晶屏,液晶屏分辨率</w:t>
      </w:r>
      <w:r>
        <w:rPr>
          <w:rFonts w:hint="eastAsia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</w:rPr>
        <w:t>1064*768，液晶屏视角可调。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内置设备实时自检系统：可实时检测设备状态，具备分项检测，保证设备任何时候都处于稳定的运行状态。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内置系统报错功能，工程师可远程指导处理。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▲</w:t>
      </w:r>
      <w:r>
        <w:rPr>
          <w:rFonts w:hint="eastAsia" w:asciiTheme="minorEastAsia" w:hAnsiTheme="minorEastAsia" w:eastAsiaTheme="minorEastAsia" w:cstheme="minorEastAsia"/>
        </w:rPr>
        <w:t>制造商原厂售后维修承诺，配备原厂工程师。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专用光纤可与机器人手术匹配,且经过中国 CFDA 认证。</w:t>
      </w:r>
    </w:p>
    <w:p>
      <w:pPr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配置清单：</w:t>
      </w:r>
    </w:p>
    <w:tbl>
      <w:tblPr>
        <w:tblStyle w:val="8"/>
        <w:tblW w:w="909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00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二氧化碳激光治疗系统配置单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激光器主机系统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脚踏开关：控制激光发射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激光防护镜 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激光警告牌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中文操作手册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二氧化碳激光光纤妇科手具（R型）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CO2激光光纤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光纤更新组件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光纤专用灭菌托盘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清洁刷套件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rPr>
          <w:rFonts w:hint="eastAsia" w:ascii="宋体" w:hAnsi="宋体"/>
          <w:color w:val="auto"/>
          <w:kern w:val="0"/>
          <w:szCs w:val="21"/>
        </w:rPr>
      </w:pPr>
    </w:p>
    <w:p>
      <w:pPr>
        <w:ind w:firstLine="1280" w:firstLineChars="400"/>
        <w:jc w:val="center"/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</w:pPr>
    </w:p>
    <w:p>
      <w:pPr>
        <w:ind w:firstLine="1280" w:firstLineChars="400"/>
        <w:jc w:val="center"/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询价论证文件目录及装订顺序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一、项目论证报价表(附件 1)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二、设备技术偏离表附件 2)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三、设备性能配置清单《附件 3)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四、提供响应本项目技术及服务要求的实施方案及售后服务承诺函等: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五、详细介绍公司情况及相应产品性能或服务等特点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及优势;</w:t>
      </w:r>
    </w:p>
    <w:p>
      <w:pPr>
        <w:numPr>
          <w:ilvl w:val="0"/>
          <w:numId w:val="2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提供同型号产品市场销售业绩和用户一览表</w:t>
      </w:r>
    </w:p>
    <w:p>
      <w:pPr>
        <w:numPr>
          <w:ilvl w:val="0"/>
          <w:numId w:val="2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公司的相关资质证书;</w:t>
      </w:r>
    </w:p>
    <w:p>
      <w:pPr>
        <w:numPr>
          <w:ilvl w:val="0"/>
          <w:numId w:val="0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八、业绩证明材料(近 3 年区内三甲医院或其他大型单位采购合同或中标通知书复印件)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九、经销商《营业执照》和《税务登记证》、《组织机构代码证》或(三合一) 的复印件(加盖公章) ;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十、法定代表人证明书及法定代表人授权委托书:</w:t>
      </w:r>
    </w:p>
    <w:p>
      <w:pPr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产品彩页、说明书、厂家设备技术参数(厂家盖章 )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注: 以上目录是编制供应商响应文件的基本格式要求</w:t>
      </w: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各供应商可根据自身情况进一步细化。</w:t>
      </w: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注意:设备技术偏离表(附件 2) 必须如实填写产品偏离情况，不可直接复制本项目要求,如直接复制且未提供产品彩页说明书或厂家设备技术参数进行证明，按照不符合项目需求处理。</w:t>
      </w: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宋体" w:hAnsi="宋体"/>
          <w:color w:val="FF0000"/>
          <w:kern w:val="0"/>
          <w:szCs w:val="21"/>
          <w:lang w:val="en-US" w:eastAsia="zh-CN"/>
        </w:rPr>
      </w:pPr>
    </w:p>
    <w:p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bCs w:val="0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1：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论证价格估算表</w:t>
      </w:r>
    </w:p>
    <w:p>
      <w:pPr>
        <w:jc w:val="both"/>
        <w:rPr>
          <w:rFonts w:hint="eastAsia" w:ascii="仿宋_GB2312" w:hAnsi="宋体" w:eastAsia="仿宋_GB2312"/>
          <w:b/>
          <w:color w:val="auto"/>
          <w:sz w:val="21"/>
          <w:szCs w:val="21"/>
        </w:rPr>
      </w:pPr>
    </w:p>
    <w:tbl>
      <w:tblPr>
        <w:tblStyle w:val="9"/>
        <w:tblpPr w:leftFromText="180" w:rightFromText="180" w:vertAnchor="text" w:horzAnchor="page" w:tblpX="1225" w:tblpY="355"/>
        <w:tblOverlap w:val="never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46"/>
        <w:gridCol w:w="1194"/>
        <w:gridCol w:w="1194"/>
        <w:gridCol w:w="1194"/>
        <w:gridCol w:w="764"/>
        <w:gridCol w:w="914"/>
        <w:gridCol w:w="128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4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生产厂家（品牌）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进口/国产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估算价（单价）</w:t>
            </w:r>
          </w:p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估算价（总金额）</w:t>
            </w:r>
          </w:p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备注（质保期）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75" w:type="dxa"/>
            <w:gridSpan w:val="5"/>
            <w:noWrap w:val="0"/>
            <w:vAlign w:val="top"/>
          </w:tcPr>
          <w:p>
            <w:pPr>
              <w:widowControl/>
              <w:ind w:firstLine="840" w:firstLineChars="40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before="50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ind w:firstLine="3780" w:firstLineChars="18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参会单位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：</w:t>
      </w:r>
    </w:p>
    <w:p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法定代表人或授权代表（签字或盖章）：</w:t>
      </w:r>
    </w:p>
    <w:p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日期：年月日</w:t>
      </w: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120" w:beforeLines="50" w:after="5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2：</w:t>
      </w:r>
    </w:p>
    <w:p>
      <w:pPr>
        <w:snapToGrid w:val="0"/>
        <w:spacing w:before="120" w:beforeLines="50" w:after="50"/>
        <w:ind w:left="142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技术偏离表</w:t>
      </w: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8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43"/>
        <w:gridCol w:w="1834"/>
        <w:gridCol w:w="2181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标的的名称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响应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pStyle w:val="6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6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</w:t>
      </w:r>
    </w:p>
    <w:p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1.说明：应对照文件“采购需求”中的“技术要求”逐条作明确的响应，并作出偏离说明。</w:t>
      </w:r>
    </w:p>
    <w:p>
      <w:pPr>
        <w:pStyle w:val="4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根据货物的性能指标，对照文件技术要求，在“偏离说明”中注明“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”、“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”或者“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”。既不属于“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”也不属于“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”即为“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</w:t>
      </w:r>
    </w:p>
    <w:p>
      <w:pPr>
        <w:pStyle w:val="5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3.如果文件需求为小于或大于某个数值标准时，文件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不得直接复制文件需求，文件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内容应当写明货物具体参数或商务响应的具体数值，否则按无效处理。</w:t>
      </w:r>
    </w:p>
    <w:p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</w:pPr>
    </w:p>
    <w:p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>
      <w:pPr>
        <w:pStyle w:val="11"/>
        <w:ind w:firstLine="3640" w:firstLineChars="13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>
      <w:pPr>
        <w:pStyle w:val="11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>
      <w:pPr>
        <w:pStyle w:val="11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>
      <w:pPr>
        <w:pStyle w:val="11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pStyle w:val="11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pStyle w:val="11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>
      <w:pPr>
        <w:pStyle w:val="1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3：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设备性能配置清单</w:t>
      </w: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86"/>
        <w:gridCol w:w="765"/>
        <w:gridCol w:w="852"/>
        <w:gridCol w:w="1701"/>
        <w:gridCol w:w="1186"/>
        <w:gridCol w:w="70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数量及单位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品牌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制造商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原产地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参数性能、指标及配置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备注：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以上设备性能配置清单中“货物名称、数量及单位、品牌、规格型号、制造商、原产地、参数性能、指标及配置”必须如实填写完整，品牌、规格型号没有则填无，填写有缺漏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的，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作无效处理。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货物名称、数量及单位、品牌必须与“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览表”一致，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否则按无效处理。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>
      <w:pPr>
        <w:pStyle w:val="11"/>
        <w:ind w:firstLine="42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>
      <w:pPr>
        <w:rPr>
          <w:rFonts w:hint="eastAsia"/>
          <w:lang w:val="en-US" w:eastAsia="zh-CN"/>
        </w:rPr>
      </w:pPr>
    </w:p>
    <w:p>
      <w:pPr>
        <w:pStyle w:val="11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5A11C"/>
    <w:multiLevelType w:val="singleLevel"/>
    <w:tmpl w:val="CB15A1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C4186B"/>
    <w:multiLevelType w:val="multilevel"/>
    <w:tmpl w:val="58C4186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zI3YTMwMzM0ZjhiNjNjNWI0NDEyZmU0NTA4M2IifQ=="/>
  </w:docVars>
  <w:rsids>
    <w:rsidRoot w:val="56B15D3C"/>
    <w:rsid w:val="135C3DD3"/>
    <w:rsid w:val="1D2E53FB"/>
    <w:rsid w:val="56B15D3C"/>
    <w:rsid w:val="71567DF1"/>
    <w:rsid w:val="71D92806"/>
    <w:rsid w:val="78E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unhideWhenUsed/>
    <w:qFormat/>
    <w:uiPriority w:val="0"/>
    <w:pPr>
      <w:widowControl/>
      <w:ind w:left="1400" w:leftChars="1400"/>
    </w:pPr>
    <w:rPr>
      <w:rFonts w:ascii="宋体"/>
      <w:kern w:val="0"/>
      <w:sz w:val="34"/>
      <w:szCs w:val="22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3"/>
    <w:basedOn w:val="1"/>
    <w:autoRedefine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5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6">
    <w:name w:val="Plain Text"/>
    <w:basedOn w:val="1"/>
    <w:next w:val="2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12">
    <w:name w:val="List Paragraph"/>
    <w:basedOn w:val="1"/>
    <w:autoRedefine/>
    <w:qFormat/>
    <w:uiPriority w:val="34"/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2024-04-09T01:08:00Z</dcterms:created>
  <dc:creator>○</dc:creator>
  <cp:lastModifiedBy>  　　胭脂。</cp:lastModifiedBy>
  <dcterms:modified xsi:type="dcterms:W3CDTF">2024-04-10T11:59:48Z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55BD4D0B1C8E43F6880CCC958B6C0E78_13</vt:lpwstr>
  </property>
</Properties>
</file>