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F0EC">
      <w:pPr>
        <w:pStyle w:val="2"/>
        <w:spacing w:after="0"/>
        <w:ind w:firstLine="3080" w:firstLineChars="700"/>
        <w:jc w:val="both"/>
      </w:pPr>
      <w:r>
        <w:rPr>
          <w:rFonts w:hint="eastAsia" w:ascii="方正小标宋简体" w:hAnsi="方正小标宋简体" w:eastAsia="方正小标宋简体"/>
          <w:sz w:val="44"/>
          <w:szCs w:val="44"/>
        </w:rPr>
        <w:t>需求书</w:t>
      </w:r>
    </w:p>
    <w:p w14:paraId="299D9798">
      <w:pPr>
        <w:pStyle w:val="2"/>
        <w:spacing w:after="0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项目要求和说明</w:t>
      </w:r>
    </w:p>
    <w:p w14:paraId="2C906BEB">
      <w:pPr>
        <w:pStyle w:val="2"/>
        <w:spacing w:after="0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（一）采购内容</w:t>
      </w:r>
    </w:p>
    <w:p w14:paraId="0DA7FE04">
      <w:pPr>
        <w:pStyle w:val="2"/>
        <w:spacing w:after="0"/>
        <w:ind w:firstLine="640"/>
      </w:pPr>
      <w:r>
        <w:rPr>
          <w:rFonts w:hint="eastAsia"/>
        </w:rPr>
        <w:t>为医院设计、制作、安装院史长廊。</w:t>
      </w:r>
    </w:p>
    <w:p w14:paraId="4657FC4F">
      <w:pPr>
        <w:pStyle w:val="2"/>
        <w:spacing w:after="0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（二）位置尺寸</w:t>
      </w:r>
    </w:p>
    <w:p w14:paraId="61A28B35">
      <w:pPr>
        <w:pStyle w:val="2"/>
        <w:spacing w:after="0"/>
        <w:ind w:firstLine="640"/>
      </w:pPr>
      <w:r>
        <w:rPr>
          <w:rFonts w:hint="eastAsia"/>
        </w:rPr>
        <w:t>医院医技保障综合楼一楼生殖健康管理科东侧玻璃墙外，现场长约18m，</w:t>
      </w:r>
      <w:r>
        <w:rPr>
          <w:rFonts w:hint="eastAsia"/>
          <w:lang w:val="en-US" w:eastAsia="zh-CN"/>
        </w:rPr>
        <w:t>宽1.5米，</w:t>
      </w:r>
      <w:r>
        <w:rPr>
          <w:rFonts w:hint="eastAsia"/>
        </w:rPr>
        <w:t>高约2.8m，</w:t>
      </w:r>
      <w:r>
        <w:rPr>
          <w:rFonts w:hint="eastAsia"/>
          <w:lang w:val="en-US" w:eastAsia="zh-CN"/>
        </w:rPr>
        <w:t>场地</w:t>
      </w:r>
      <w:r>
        <w:rPr>
          <w:rFonts w:hint="eastAsia"/>
        </w:rPr>
        <w:t>现状图见附件。</w:t>
      </w:r>
    </w:p>
    <w:p w14:paraId="35FA4C30">
      <w:pPr>
        <w:pStyle w:val="2"/>
        <w:spacing w:after="0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（三）具体要求</w:t>
      </w:r>
    </w:p>
    <w:p w14:paraId="27EE09FF">
      <w:pPr>
        <w:pStyle w:val="2"/>
        <w:spacing w:after="0"/>
        <w:ind w:firstLine="640"/>
      </w:pPr>
      <w:r>
        <w:rPr>
          <w:rFonts w:hint="eastAsia"/>
        </w:rPr>
        <w:t>1.设计：造型、颜色应与周边环境相协调，不影响该区域的通行，不遮挡生殖健康管理科的采光通风。</w:t>
      </w:r>
    </w:p>
    <w:p w14:paraId="57342017">
      <w:pPr>
        <w:pStyle w:val="2"/>
        <w:spacing w:after="0"/>
        <w:ind w:firstLine="640"/>
      </w:pPr>
      <w:r>
        <w:rPr>
          <w:rFonts w:hint="eastAsia"/>
        </w:rPr>
        <w:t>2.材质：不锈钢、铝型材、亚克力等。</w:t>
      </w:r>
    </w:p>
    <w:p w14:paraId="0B198217">
      <w:pPr>
        <w:pStyle w:val="2"/>
        <w:spacing w:after="0"/>
        <w:ind w:firstLine="640"/>
      </w:pPr>
      <w:r>
        <w:rPr>
          <w:rFonts w:hint="eastAsia"/>
        </w:rPr>
        <w:t>3.安装：产品应牢固固定在安装位置，且能抵御当地雨季常见的大风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台风</w:t>
      </w:r>
      <w:r>
        <w:rPr>
          <w:rFonts w:hint="eastAsia"/>
        </w:rPr>
        <w:t>天气。</w:t>
      </w:r>
    </w:p>
    <w:p w14:paraId="23753AF1">
      <w:pPr>
        <w:pStyle w:val="2"/>
        <w:spacing w:after="0"/>
        <w:ind w:firstLine="640"/>
        <w:rPr>
          <w:rFonts w:hint="eastAsia"/>
        </w:rPr>
      </w:pPr>
      <w:r>
        <w:rPr>
          <w:rFonts w:hint="eastAsia"/>
        </w:rPr>
        <w:t>4.内容：展示内容由采购方提供，供应商负责设计排版（修改至采购方满意为止）、制作、安装。供应商在该项目整体设计过程中，应考虑展示内容的便于更换性和耐用性，确保展示内容在有需要的情况下可快速、经济实现更换，且该内容在室外条件下可保持至少</w:t>
      </w:r>
      <w:r>
        <w:rPr>
          <w:rFonts w:hint="eastAsia"/>
          <w:lang w:val="en-US" w:eastAsia="zh-CN"/>
        </w:rPr>
        <w:t>一年内</w:t>
      </w:r>
      <w:r>
        <w:rPr>
          <w:rFonts w:hint="eastAsia"/>
        </w:rPr>
        <w:t>不出现非人为因素的破损、掉色等影响观看和美观的情况。</w:t>
      </w:r>
    </w:p>
    <w:p w14:paraId="59BFDA65">
      <w:pPr>
        <w:pStyle w:val="2"/>
        <w:spacing w:after="0"/>
        <w:ind w:firstLine="640"/>
      </w:pPr>
      <w:r>
        <w:rPr>
          <w:rFonts w:hint="eastAsia"/>
        </w:rPr>
        <w:t>5.交付期限：2024年7月20日前。</w:t>
      </w:r>
    </w:p>
    <w:p w14:paraId="7022BFAA">
      <w:pPr>
        <w:pStyle w:val="2"/>
        <w:spacing w:after="0"/>
        <w:ind w:firstLine="640"/>
        <w:rPr>
          <w:rFonts w:hint="eastAsia"/>
        </w:rPr>
      </w:pPr>
      <w:r>
        <w:rPr>
          <w:rFonts w:hint="eastAsia"/>
        </w:rPr>
        <w:t>6.产品设计、制作、运输、安装等所产生的一切相关税费，均由供应商承担。</w:t>
      </w:r>
    </w:p>
    <w:p w14:paraId="4BF8A197">
      <w:pPr>
        <w:pStyle w:val="2"/>
        <w:spacing w:after="0"/>
        <w:ind w:firstLine="640"/>
        <w:rPr>
          <w:rFonts w:hint="eastAsia"/>
        </w:rPr>
      </w:pPr>
    </w:p>
    <w:p w14:paraId="1BA6458C">
      <w:pPr>
        <w:pStyle w:val="2"/>
        <w:spacing w:after="0"/>
        <w:ind w:firstLine="640"/>
        <w:rPr>
          <w:rFonts w:hint="eastAsia"/>
        </w:rPr>
      </w:pPr>
    </w:p>
    <w:p w14:paraId="3E585279">
      <w:pPr>
        <w:pStyle w:val="2"/>
        <w:spacing w:after="0"/>
        <w:ind w:firstLine="640"/>
        <w:rPr>
          <w:rFonts w:hint="eastAsia"/>
        </w:rPr>
      </w:pPr>
    </w:p>
    <w:p w14:paraId="113CBB22">
      <w:pPr>
        <w:pStyle w:val="2"/>
        <w:spacing w:after="0"/>
        <w:ind w:firstLine="640"/>
        <w:rPr>
          <w:rFonts w:hint="eastAsia"/>
        </w:rPr>
      </w:pPr>
    </w:p>
    <w:p w14:paraId="25CD834C">
      <w:pPr>
        <w:pStyle w:val="2"/>
        <w:spacing w:after="0"/>
        <w:ind w:firstLine="640"/>
        <w:rPr>
          <w:rFonts w:hint="eastAsia"/>
        </w:rPr>
      </w:pPr>
    </w:p>
    <w:p w14:paraId="10794C48">
      <w:pPr>
        <w:pStyle w:val="2"/>
        <w:spacing w:after="0"/>
        <w:ind w:firstLine="640"/>
        <w:rPr>
          <w:rFonts w:hint="eastAsia"/>
        </w:rPr>
      </w:pPr>
    </w:p>
    <w:p w14:paraId="5E2FB04A">
      <w:pPr>
        <w:pStyle w:val="2"/>
        <w:spacing w:after="0"/>
        <w:ind w:firstLine="640"/>
        <w:rPr>
          <w:rFonts w:hint="eastAsia"/>
        </w:rPr>
      </w:pPr>
    </w:p>
    <w:p w14:paraId="425B5030">
      <w:pPr>
        <w:pStyle w:val="2"/>
        <w:spacing w:after="0"/>
        <w:ind w:firstLine="640"/>
        <w:rPr>
          <w:rFonts w:hint="eastAsia"/>
        </w:rPr>
      </w:pPr>
    </w:p>
    <w:p w14:paraId="3BF831F1">
      <w:pPr>
        <w:pStyle w:val="2"/>
        <w:spacing w:after="0"/>
        <w:ind w:firstLine="640"/>
        <w:rPr>
          <w:rFonts w:hint="eastAsia"/>
        </w:rPr>
      </w:pPr>
    </w:p>
    <w:p w14:paraId="1595D462">
      <w:pPr>
        <w:pStyle w:val="2"/>
        <w:spacing w:after="0"/>
        <w:ind w:firstLine="640"/>
        <w:rPr>
          <w:rFonts w:hint="eastAsia"/>
        </w:rPr>
      </w:pPr>
    </w:p>
    <w:p w14:paraId="75DA9A34">
      <w:pPr>
        <w:pStyle w:val="2"/>
        <w:spacing w:after="0"/>
        <w:ind w:firstLine="640"/>
        <w:rPr>
          <w:rFonts w:hint="eastAsia"/>
        </w:rPr>
      </w:pPr>
    </w:p>
    <w:p w14:paraId="03E01CE6">
      <w:pPr>
        <w:pStyle w:val="2"/>
        <w:spacing w:after="0"/>
        <w:ind w:firstLine="640"/>
        <w:rPr>
          <w:rFonts w:hint="eastAsia"/>
        </w:rPr>
      </w:pPr>
    </w:p>
    <w:p w14:paraId="150C09AB">
      <w:pPr>
        <w:pStyle w:val="2"/>
        <w:spacing w:after="0"/>
        <w:ind w:firstLine="640"/>
        <w:rPr>
          <w:rFonts w:hint="eastAsia"/>
        </w:rPr>
      </w:pPr>
    </w:p>
    <w:p w14:paraId="217856C9">
      <w:pPr>
        <w:pStyle w:val="2"/>
        <w:spacing w:after="0"/>
        <w:ind w:firstLine="640"/>
        <w:rPr>
          <w:rFonts w:hint="eastAsia"/>
        </w:rPr>
      </w:pPr>
    </w:p>
    <w:p w14:paraId="56128A7D">
      <w:pPr>
        <w:pStyle w:val="2"/>
        <w:spacing w:after="0"/>
        <w:ind w:firstLine="640"/>
        <w:rPr>
          <w:rFonts w:hint="eastAsia"/>
        </w:rPr>
      </w:pPr>
    </w:p>
    <w:p w14:paraId="722D4210">
      <w:pPr>
        <w:pStyle w:val="2"/>
        <w:spacing w:after="0"/>
        <w:ind w:firstLine="640"/>
        <w:rPr>
          <w:rFonts w:hint="eastAsia"/>
        </w:rPr>
      </w:pPr>
    </w:p>
    <w:p w14:paraId="0D7C551A">
      <w:pPr>
        <w:pStyle w:val="2"/>
        <w:spacing w:after="0"/>
        <w:ind w:firstLine="640"/>
        <w:rPr>
          <w:rFonts w:hint="eastAsia"/>
        </w:rPr>
      </w:pPr>
    </w:p>
    <w:p w14:paraId="60ED1BD4">
      <w:pPr>
        <w:pStyle w:val="2"/>
        <w:spacing w:after="0"/>
        <w:ind w:firstLine="640"/>
        <w:rPr>
          <w:rFonts w:hint="eastAsia"/>
        </w:rPr>
      </w:pPr>
    </w:p>
    <w:p w14:paraId="674FD60C">
      <w:pPr>
        <w:pStyle w:val="2"/>
        <w:spacing w:after="0"/>
        <w:ind w:firstLine="640"/>
        <w:rPr>
          <w:rFonts w:hint="eastAsia"/>
          <w:lang w:val="en-US" w:eastAsia="zh-CN"/>
        </w:rPr>
      </w:pPr>
      <w:bookmarkStart w:id="0" w:name="_GoBack"/>
      <w:bookmarkEnd w:id="0"/>
    </w:p>
    <w:p w14:paraId="3311CFC2">
      <w:pPr>
        <w:pStyle w:val="2"/>
        <w:spacing w:after="0"/>
        <w:ind w:firstLine="640"/>
        <w:rPr>
          <w:rFonts w:hint="eastAsia" w:ascii="黑体" w:hAnsi="黑体" w:eastAsia="黑体"/>
          <w:lang w:val="en-US" w:eastAsia="zh-CN"/>
        </w:rPr>
      </w:pPr>
    </w:p>
    <w:p w14:paraId="2A17443C">
      <w:pPr>
        <w:pStyle w:val="2"/>
        <w:spacing w:after="0"/>
        <w:ind w:firstLine="64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附件：</w:t>
      </w:r>
    </w:p>
    <w:p w14:paraId="306B578B">
      <w:pPr>
        <w:pStyle w:val="2"/>
        <w:spacing w:after="0"/>
        <w:ind w:left="0" w:leftChars="0"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drawing>
          <wp:inline distT="0" distB="0" distL="114300" distR="114300">
            <wp:extent cx="5266690" cy="3016250"/>
            <wp:effectExtent l="0" t="0" r="0" b="0"/>
            <wp:docPr id="2" name="图片 2" descr="医院院史长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院史长廊"/>
                    <pic:cNvPicPr>
                      <a:picLocks noChangeAspect="1"/>
                    </pic:cNvPicPr>
                  </pic:nvPicPr>
                  <pic:blipFill>
                    <a:blip r:embed="rId6"/>
                    <a:srcRect t="12891" b="1386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BF41">
      <w:pPr>
        <w:pStyle w:val="2"/>
        <w:spacing w:after="0"/>
        <w:ind w:left="0" w:leftChars="0" w:firstLine="0" w:firstLineChars="0"/>
        <w:jc w:val="center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医院一楼平面图，标红区域为院史长廊设计安装场地</w:t>
      </w:r>
      <w:r>
        <w:rPr>
          <w:rFonts w:hint="default" w:ascii="黑体" w:hAnsi="黑体" w:eastAsia="黑体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4061816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18164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8061">
      <w:pPr>
        <w:pStyle w:val="2"/>
        <w:spacing w:after="0"/>
        <w:ind w:left="0" w:leftChars="0" w:firstLine="0" w:firstLineChars="0"/>
        <w:jc w:val="center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现场图片，标红区域为院史长廊设计安装场地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FC9FE-C58C-4E54-BAC0-2B324F8CF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00A3B81-AA5B-4E7A-A926-564F549D80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1C1E4A-0FDD-46B9-B7CF-3799D8BDFA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MWQ3YzdhMjQ3ZjdmMTNiZWVkMmE4OTNjMWI2NjAifQ=="/>
  </w:docVars>
  <w:rsids>
    <w:rsidRoot w:val="00D304EB"/>
    <w:rsid w:val="001A23C1"/>
    <w:rsid w:val="002024BB"/>
    <w:rsid w:val="0021244A"/>
    <w:rsid w:val="00541B1F"/>
    <w:rsid w:val="00D304EB"/>
    <w:rsid w:val="286C4189"/>
    <w:rsid w:val="2AAB4B17"/>
    <w:rsid w:val="423F6621"/>
    <w:rsid w:val="616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687</Characters>
  <Lines>4</Lines>
  <Paragraphs>1</Paragraphs>
  <TotalTime>57</TotalTime>
  <ScaleCrop>false</ScaleCrop>
  <LinksUpToDate>false</LinksUpToDate>
  <CharactersWithSpaces>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2024-06-15T09:01:00Z</dcterms:created>
  <dc:creator>暘 罗</dc:creator>
  <cp:lastModifiedBy>陈姿元</cp:lastModifiedBy>
  <dcterms:modified xsi:type="dcterms:W3CDTF">2024-06-24T03:04:53Z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F6D43519C5D34F6EBD842E47FDBA7357_13</vt:lpwstr>
  </property>
</Properties>
</file>