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63"/>
        <w:jc w:val="center"/>
        <w:rPr>
          <w:rFonts w:hint="eastAsia" w:ascii="方正小标宋简体" w:hAnsi="方正小标宋简体" w:eastAsia="方正小标宋简体" w:cs="Times New Roman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b/>
          <w:sz w:val="44"/>
          <w:szCs w:val="44"/>
          <w:lang w:val="en-US" w:eastAsia="zh-CN"/>
        </w:rPr>
        <w:t>医院协作系统版本升级及</w:t>
      </w:r>
    </w:p>
    <w:p>
      <w:pPr>
        <w:widowControl/>
        <w:spacing w:line="360" w:lineRule="auto"/>
        <w:ind w:firstLine="663"/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/>
          <w:sz w:val="44"/>
          <w:szCs w:val="44"/>
        </w:rPr>
        <w:t>维保项目服务</w:t>
      </w:r>
      <w:r>
        <w:rPr>
          <w:rFonts w:hint="eastAsia" w:ascii="方正小标宋简体" w:hAnsi="方正小标宋简体" w:eastAsia="方正小标宋简体"/>
          <w:b/>
          <w:sz w:val="44"/>
          <w:szCs w:val="44"/>
        </w:rPr>
        <w:t>需求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tbl>
      <w:tblPr>
        <w:tblStyle w:val="5"/>
        <w:tblW w:w="8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323"/>
        <w:gridCol w:w="4557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服务项目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涉及内容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6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1.软件用户授权及版本升级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1.1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软件授权注册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授权用户数≥600人，含移动端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1.2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授权时间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与维保期限一致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1.3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维保模块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包含行政后勤、流程管理、人力资源、医院内网等在用模块的维保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1.4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版本升级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同步升级为最新版本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66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2．流程设计及维保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2.1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旧工作流程修改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委派专业人员现场收集各部门需求，对现有流程进行完善设计，保障旧流程符合我方使用要求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2.2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新工作流程设计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委派专业人员现场收集各部门需求，进行新流程的规划及设计，满足我方使用需求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2.3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其它在用模块管理，修改及设计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其它在用模块的管理，修改及设计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66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3.服务器迁移及数据服务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3.1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服务器迁移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将现有服务器按采购方要求迁移至新服务器，保证系统正常运行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3.2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数据安全服务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数据库整体备份、导出及导入服务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66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4.接口维保服务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4.1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短信接口服务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完成短信接口改造工作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66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5.其它维保内容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5.1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系统日常维保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包括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Hans"/>
              </w:rPr>
              <w:t>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不限于系统操作指导、因系统缺陷导致的各种BUG的修复、因操作失误导致的数据错误维护等内容</w:t>
            </w:r>
          </w:p>
        </w:tc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5.2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数据库维保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定期清理运维过程中所生成的生产数据库中的临时表，优化数据库，如建立并优化索引、优化存储过程、数据库表拆分等，提升系统运行速度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5.3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系统安全加固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加强系统安全防护，包括但不限于防病毒、防黑客攻击、数据备份与恢复等措施</w:t>
            </w:r>
          </w:p>
        </w:tc>
        <w:tc>
          <w:tcPr>
            <w:tcW w:w="13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5.4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培训支持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为用户提供系统使用培训，解答用户在使用过程中遇到的问题，并提供技术支持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5.5</w:t>
            </w:r>
          </w:p>
        </w:tc>
        <w:tc>
          <w:tcPr>
            <w:tcW w:w="2323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其它服务</w:t>
            </w:r>
          </w:p>
        </w:tc>
        <w:tc>
          <w:tcPr>
            <w:tcW w:w="4557" w:type="dxa"/>
            <w:tcBorders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其他相关服务</w:t>
            </w:r>
          </w:p>
        </w:tc>
        <w:tc>
          <w:tcPr>
            <w:tcW w:w="13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66" w:type="dxa"/>
            <w:gridSpan w:val="4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运维服务要求：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.指派经验丰富的运维工程师来具体承担运维服务工作。服务人员应保证相对固定，若有变动，须提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Hans"/>
              </w:rPr>
              <w:t>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Hans"/>
              </w:rPr>
              <w:t>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通知我院并征得我院同意。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2.要求在南宁本地有专业服务团队，提供7x24小时的技术支持服务。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3.服务期限为三年。</w:t>
            </w:r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ODQ1ZjMwYmIxMmQ2Y2Y0NDBlODEyYzg1YmI3MGMifQ=="/>
  </w:docVars>
  <w:rsids>
    <w:rsidRoot w:val="7A9B3C29"/>
    <w:rsid w:val="0C0A22E6"/>
    <w:rsid w:val="0E9479BC"/>
    <w:rsid w:val="111B1B87"/>
    <w:rsid w:val="161B669A"/>
    <w:rsid w:val="1BCE1B11"/>
    <w:rsid w:val="20D3242C"/>
    <w:rsid w:val="2C3B15E7"/>
    <w:rsid w:val="2E205776"/>
    <w:rsid w:val="32896E47"/>
    <w:rsid w:val="33CF0D98"/>
    <w:rsid w:val="3D0F2205"/>
    <w:rsid w:val="3FC71AC9"/>
    <w:rsid w:val="4D29440A"/>
    <w:rsid w:val="58E6255C"/>
    <w:rsid w:val="5F2E21EB"/>
    <w:rsid w:val="658F0953"/>
    <w:rsid w:val="66753C04"/>
    <w:rsid w:val="684B59AB"/>
    <w:rsid w:val="6BA13561"/>
    <w:rsid w:val="75371EDE"/>
    <w:rsid w:val="7A9B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99"/>
    <w:rPr>
      <w:rFonts w:ascii="宋体" w:hAnsi="Courier New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661</Words>
  <Characters>705</Characters>
  <Lines>0</Lines>
  <Paragraphs>0</Paragraphs>
  <TotalTime>39</TotalTime>
  <ScaleCrop>false</ScaleCrop>
  <LinksUpToDate>false</LinksUpToDate>
  <CharactersWithSpaces>705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2022-03-21T02:47:00Z</dcterms:created>
  <dc:creator>生</dc:creator>
  <cp:lastModifiedBy>林惠鹏</cp:lastModifiedBy>
  <dcterms:modified xsi:type="dcterms:W3CDTF">2024-07-09T07:36:14Z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80F412BBE74A4D28BEA56FC42BBD1D71_13</vt:lpwstr>
  </property>
</Properties>
</file>