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942F1">
      <w:pPr>
        <w:jc w:val="center"/>
        <w:rPr>
          <w:rFonts w:hint="default" w:ascii="宋体" w:hAnsi="宋体" w:eastAsia="宋体" w:cs="宋体"/>
          <w:color w:val="auto"/>
          <w:kern w:val="0"/>
          <w:sz w:val="32"/>
          <w:szCs w:val="32"/>
          <w:lang w:val="en-US" w:eastAsia="zh-CN" w:bidi="ar"/>
        </w:rPr>
      </w:pPr>
      <w:bookmarkStart w:id="6" w:name="_GoBack"/>
      <w:bookmarkEnd w:id="6"/>
      <w:r>
        <w:rPr>
          <w:rFonts w:hint="eastAsia"/>
          <w:color w:val="auto"/>
          <w:sz w:val="32"/>
          <w:szCs w:val="32"/>
          <w:lang w:val="en-US" w:eastAsia="zh-CN"/>
        </w:rPr>
        <w:t>项目需求</w:t>
      </w:r>
    </w:p>
    <w:p w14:paraId="36F39788">
      <w:pPr>
        <w:widowControl/>
        <w:numPr>
          <w:ilvl w:val="0"/>
          <w:numId w:val="1"/>
        </w:numPr>
        <w:spacing w:line="400" w:lineRule="exact"/>
        <w:jc w:val="left"/>
        <w:rPr>
          <w:rFonts w:hint="eastAsia" w:ascii="宋体" w:hAnsi="宋体" w:eastAsia="宋体" w:cs="宋体"/>
          <w:b/>
          <w:bCs/>
          <w:kern w:val="0"/>
          <w:sz w:val="24"/>
          <w:szCs w:val="24"/>
          <w:highlight w:val="lightGray"/>
          <w:lang w:val="en-US" w:eastAsia="zh-CN"/>
        </w:rPr>
      </w:pPr>
      <w:r>
        <w:rPr>
          <w:rFonts w:hint="eastAsia" w:ascii="宋体" w:hAnsi="宋体" w:eastAsia="宋体" w:cs="宋体"/>
          <w:b/>
          <w:bCs/>
          <w:i w:val="0"/>
          <w:iCs w:val="0"/>
          <w:color w:val="auto"/>
          <w:kern w:val="0"/>
          <w:sz w:val="24"/>
          <w:szCs w:val="24"/>
          <w:highlight w:val="lightGray"/>
          <w:u w:val="none"/>
          <w:lang w:val="en-US" w:eastAsia="zh-CN" w:bidi="ar"/>
        </w:rPr>
        <w:t>时差监控多腔室培养箱</w:t>
      </w:r>
      <w:r>
        <w:rPr>
          <w:rFonts w:hint="eastAsia" w:ascii="宋体" w:hAnsi="宋体" w:eastAsia="宋体" w:cs="宋体"/>
          <w:b/>
          <w:bCs/>
          <w:kern w:val="0"/>
          <w:sz w:val="24"/>
          <w:szCs w:val="24"/>
          <w:highlight w:val="lightGray"/>
          <w:lang w:val="en-US" w:eastAsia="zh-CN"/>
        </w:rPr>
        <w:t>（1台、共230万）</w:t>
      </w:r>
    </w:p>
    <w:p w14:paraId="2C79D11E">
      <w:pPr>
        <w:pStyle w:val="4"/>
        <w:ind w:left="-424" w:leftChars="-202" w:right="139" w:rightChars="66" w:firstLine="420" w:firstLineChars="200"/>
        <w:rPr>
          <w:rFonts w:hint="eastAsia" w:ascii="宋体" w:hAnsi="宋体" w:cs="宋体"/>
          <w:kern w:val="2"/>
          <w:sz w:val="21"/>
        </w:rPr>
      </w:pPr>
    </w:p>
    <w:p w14:paraId="17453999">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 利用延时摄影技术进行胚胎培养分析；</w:t>
      </w:r>
    </w:p>
    <w:p w14:paraId="55BF5978">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 独立三气干式培养系统，内置气体预混装置，直接通入CO</w:t>
      </w:r>
      <w:r>
        <w:rPr>
          <w:rFonts w:hint="eastAsia" w:asciiTheme="minorEastAsia" w:hAnsiTheme="minorEastAsia" w:eastAsiaTheme="minorEastAsia" w:cstheme="minorEastAsia"/>
          <w:kern w:val="2"/>
          <w:sz w:val="21"/>
          <w:szCs w:val="21"/>
          <w:vertAlign w:val="subscript"/>
        </w:rPr>
        <w:t>2</w:t>
      </w:r>
      <w:r>
        <w:rPr>
          <w:rFonts w:hint="eastAsia" w:asciiTheme="minorEastAsia" w:hAnsiTheme="minorEastAsia" w:eastAsiaTheme="minorEastAsia" w:cstheme="minorEastAsia"/>
          <w:kern w:val="2"/>
          <w:sz w:val="21"/>
          <w:szCs w:val="21"/>
        </w:rPr>
        <w:t>纯气和N</w:t>
      </w:r>
      <w:r>
        <w:rPr>
          <w:rFonts w:hint="eastAsia" w:asciiTheme="minorEastAsia" w:hAnsiTheme="minorEastAsia" w:eastAsiaTheme="minorEastAsia" w:cstheme="minorEastAsia"/>
          <w:kern w:val="2"/>
          <w:sz w:val="21"/>
          <w:szCs w:val="21"/>
          <w:vertAlign w:val="subscript"/>
        </w:rPr>
        <w:t>2</w:t>
      </w:r>
      <w:r>
        <w:rPr>
          <w:rFonts w:hint="eastAsia" w:asciiTheme="minorEastAsia" w:hAnsiTheme="minorEastAsia" w:eastAsiaTheme="minorEastAsia" w:cstheme="minorEastAsia"/>
          <w:kern w:val="2"/>
          <w:sz w:val="21"/>
          <w:szCs w:val="21"/>
        </w:rPr>
        <w:t>纯气，无需使用预混气。；</w:t>
      </w:r>
    </w:p>
    <w:p w14:paraId="28D824BD">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 内置自动对焦成像系统，自动准确定位每个培养皿中的观察孔定位 ；</w:t>
      </w:r>
    </w:p>
    <w:p w14:paraId="07063FD4">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 配置≥16X，NA≥0.50调制相差物镜，观察胚胎关键特征，具备图像回放旋钮，无间断回放图像；</w:t>
      </w:r>
    </w:p>
    <w:p w14:paraId="15CB6157">
      <w:pPr>
        <w:pStyle w:val="4"/>
        <w:ind w:left="-424" w:leftChars="-202" w:right="139" w:rightChars="66" w:firstLine="420" w:firstLineChars="200"/>
        <w:rPr>
          <w:rFonts w:hint="eastAsia" w:asciiTheme="minorEastAsia" w:hAnsiTheme="minorEastAsia" w:eastAsiaTheme="minorEastAsia" w:cstheme="minorEastAsia"/>
          <w:kern w:val="2"/>
          <w:sz w:val="21"/>
          <w:szCs w:val="21"/>
        </w:rPr>
      </w:pPr>
      <w:bookmarkStart w:id="0" w:name="_Hlk169132708"/>
      <w:bookmarkEnd w:id="0"/>
      <w:bookmarkStart w:id="1" w:name="_Hlk169132862"/>
      <w:bookmarkEnd w:id="1"/>
      <w:r>
        <w:rPr>
          <w:rFonts w:hint="eastAsia" w:asciiTheme="minorEastAsia" w:hAnsiTheme="minorEastAsia" w:eastAsiaTheme="minorEastAsia" w:cstheme="minorEastAsia"/>
          <w:kern w:val="2"/>
          <w:sz w:val="21"/>
          <w:szCs w:val="21"/>
        </w:rPr>
        <w:t>5. 内置单色CCD，分辨率≥220万像素，每微米≥2.9个像素；</w:t>
      </w:r>
    </w:p>
    <w:p w14:paraId="3661F85C">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  11层焦面扫描时，≤10分钟扫描完所有培养皿的扫描，每张图片清晰显示单个胚胎图像；</w:t>
      </w:r>
    </w:p>
    <w:p w14:paraId="6781AC46">
      <w:pPr>
        <w:pStyle w:val="4"/>
        <w:ind w:left="416" w:leftChars="-2" w:right="139" w:rightChars="66" w:hanging="420" w:hanging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 胚胎照明：使用红色LED光源，单张照片照明时间≤0.02S；5天培养期间，单枚胚胎受到总的光照能量暴露≤42</w:t>
      </w:r>
      <w:r>
        <w:rPr>
          <w:rFonts w:hint="eastAsia" w:asciiTheme="minorEastAsia" w:hAnsiTheme="minorEastAsia" w:eastAsiaTheme="minorEastAsia" w:cstheme="minorEastAsia"/>
          <w:sz w:val="21"/>
          <w:szCs w:val="21"/>
          <w:shd w:val="clear" w:color="auto" w:fill="FFFFFF"/>
        </w:rPr>
        <w:t>J/㎡</w:t>
      </w:r>
    </w:p>
    <w:p w14:paraId="74BAE4E0">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 内置HEPA过滤器，对于＞0.3μm的微粒，清除率≥99.97%；</w:t>
      </w:r>
    </w:p>
    <w:p w14:paraId="40EB5159">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9. 配置活性炭滤器过滤VOCs，培养箱内部环境完成一次气体主动循环净化时间≤6分钟；</w:t>
      </w:r>
    </w:p>
    <w:p w14:paraId="1E9C936F">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10. 温度控制范围：36℃～39℃±0.2℃；</w:t>
      </w:r>
    </w:p>
    <w:p w14:paraId="77D0C377">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11. CO</w:t>
      </w:r>
      <w:r>
        <w:rPr>
          <w:rFonts w:hint="eastAsia" w:asciiTheme="minorEastAsia" w:hAnsiTheme="minorEastAsia" w:eastAsiaTheme="minorEastAsia" w:cstheme="minorEastAsia"/>
          <w:kern w:val="2"/>
          <w:sz w:val="21"/>
          <w:szCs w:val="21"/>
          <w:vertAlign w:val="subscript"/>
        </w:rPr>
        <w:t>2</w:t>
      </w:r>
      <w:r>
        <w:rPr>
          <w:rFonts w:hint="eastAsia" w:asciiTheme="minorEastAsia" w:hAnsiTheme="minorEastAsia" w:eastAsiaTheme="minorEastAsia" w:cstheme="minorEastAsia"/>
          <w:kern w:val="2"/>
          <w:sz w:val="21"/>
          <w:szCs w:val="21"/>
        </w:rPr>
        <w:t>浓度控制范围：3%～8%，精度±0.3%； O</w:t>
      </w:r>
      <w:r>
        <w:rPr>
          <w:rFonts w:hint="eastAsia" w:asciiTheme="minorEastAsia" w:hAnsiTheme="minorEastAsia" w:eastAsiaTheme="minorEastAsia" w:cstheme="minorEastAsia"/>
          <w:kern w:val="2"/>
          <w:sz w:val="21"/>
          <w:szCs w:val="21"/>
          <w:vertAlign w:val="subscript"/>
        </w:rPr>
        <w:t>2</w:t>
      </w:r>
      <w:r>
        <w:rPr>
          <w:rFonts w:hint="eastAsia" w:asciiTheme="minorEastAsia" w:hAnsiTheme="minorEastAsia" w:eastAsiaTheme="minorEastAsia" w:cstheme="minorEastAsia"/>
          <w:kern w:val="2"/>
          <w:sz w:val="21"/>
          <w:szCs w:val="21"/>
        </w:rPr>
        <w:t xml:space="preserve">控制范围：4%～8%±0.5% </w:t>
      </w:r>
    </w:p>
    <w:p w14:paraId="1EE7AAA3">
      <w:pPr>
        <w:pStyle w:val="4"/>
        <w:ind w:left="416" w:leftChars="-2" w:right="139" w:rightChars="66" w:hanging="420" w:hanging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13. 气体消耗：氮气＜5升/小时；二氧化碳＜2升/小时；</w:t>
      </w:r>
    </w:p>
    <w:p w14:paraId="3889F32D">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14. 气体恢复时间：CO</w:t>
      </w:r>
      <w:r>
        <w:rPr>
          <w:rFonts w:hint="eastAsia" w:asciiTheme="minorEastAsia" w:hAnsiTheme="minorEastAsia" w:eastAsiaTheme="minorEastAsia" w:cstheme="minorEastAsia"/>
          <w:kern w:val="2"/>
          <w:sz w:val="21"/>
          <w:szCs w:val="21"/>
          <w:vertAlign w:val="subscript"/>
        </w:rPr>
        <w:t>2</w:t>
      </w:r>
      <w:r>
        <w:rPr>
          <w:rFonts w:hint="eastAsia" w:asciiTheme="minorEastAsia" w:hAnsiTheme="minorEastAsia" w:eastAsiaTheme="minorEastAsia" w:cstheme="minorEastAsia"/>
          <w:kern w:val="2"/>
          <w:sz w:val="21"/>
          <w:szCs w:val="21"/>
        </w:rPr>
        <w:t>：≤5min； O</w:t>
      </w:r>
      <w:r>
        <w:rPr>
          <w:rFonts w:hint="eastAsia" w:asciiTheme="minorEastAsia" w:hAnsiTheme="minorEastAsia" w:eastAsiaTheme="minorEastAsia" w:cstheme="minorEastAsia"/>
          <w:kern w:val="2"/>
          <w:sz w:val="21"/>
          <w:szCs w:val="21"/>
          <w:vertAlign w:val="subscript"/>
        </w:rPr>
        <w:t>2</w:t>
      </w:r>
      <w:r>
        <w:rPr>
          <w:rFonts w:hint="eastAsia" w:asciiTheme="minorEastAsia" w:hAnsiTheme="minorEastAsia" w:eastAsiaTheme="minorEastAsia" w:cstheme="minorEastAsia"/>
          <w:kern w:val="2"/>
          <w:sz w:val="21"/>
          <w:szCs w:val="21"/>
        </w:rPr>
        <w:t>：≤5min；</w:t>
      </w:r>
    </w:p>
    <w:p w14:paraId="1F42D586">
      <w:pPr>
        <w:pStyle w:val="4"/>
        <w:ind w:left="-424" w:leftChars="-202" w:right="139" w:rightChars="66" w:firstLine="420" w:firstLineChars="200"/>
        <w:rPr>
          <w:rFonts w:hint="eastAsia" w:asciiTheme="minorEastAsia" w:hAnsiTheme="minorEastAsia" w:eastAsiaTheme="minorEastAsia" w:cstheme="minorEastAsia"/>
          <w:kern w:val="2"/>
          <w:sz w:val="21"/>
          <w:szCs w:val="21"/>
        </w:rPr>
      </w:pPr>
      <w:bookmarkStart w:id="2" w:name="_Hlk169132934"/>
      <w:bookmarkEnd w:id="2"/>
      <w:r>
        <w:rPr>
          <w:rFonts w:hint="eastAsia" w:asciiTheme="minorEastAsia" w:hAnsiTheme="minorEastAsia" w:eastAsiaTheme="minorEastAsia" w:cstheme="minorEastAsia"/>
          <w:kern w:val="2"/>
          <w:sz w:val="21"/>
          <w:szCs w:val="21"/>
        </w:rPr>
        <w:t xml:space="preserve">15.容量：可同时容纳≥15个一次性专用培养皿，每个培养皿可放置≥16枚胚胎； </w:t>
      </w:r>
    </w:p>
    <w:p w14:paraId="620636CA">
      <w:pPr>
        <w:pStyle w:val="4"/>
        <w:ind w:left="416" w:leftChars="-2" w:right="139" w:rightChars="66" w:hanging="420" w:hangingChars="200"/>
        <w:rPr>
          <w:rFonts w:hint="eastAsia" w:asciiTheme="minorEastAsia" w:hAnsiTheme="minorEastAsia" w:eastAsiaTheme="minorEastAsia" w:cstheme="minorEastAsia"/>
          <w:kern w:val="2"/>
          <w:sz w:val="21"/>
          <w:szCs w:val="21"/>
        </w:rPr>
      </w:pPr>
      <w:bookmarkStart w:id="3" w:name="_Hlk169134062"/>
      <w:bookmarkEnd w:id="3"/>
      <w:r>
        <w:rPr>
          <w:rFonts w:hint="eastAsia" w:asciiTheme="minorEastAsia" w:hAnsiTheme="minorEastAsia" w:eastAsiaTheme="minorEastAsia" w:cstheme="minorEastAsia"/>
          <w:kern w:val="2"/>
          <w:sz w:val="21"/>
          <w:szCs w:val="21"/>
        </w:rPr>
        <w:t>16.须同时兼容2种以上类型的时差培养皿，同时实现对胚胎组培养和单独培养进行实时监测拍照。</w:t>
      </w:r>
    </w:p>
    <w:p w14:paraId="2370DDAB">
      <w:pPr>
        <w:pStyle w:val="4"/>
        <w:ind w:left="416" w:leftChars="-2" w:right="139" w:rightChars="66" w:hanging="420" w:hangingChars="200"/>
        <w:rPr>
          <w:rFonts w:hint="eastAsia" w:asciiTheme="minorEastAsia" w:hAnsiTheme="minorEastAsia" w:eastAsiaTheme="minorEastAsia" w:cstheme="minorEastAsia"/>
          <w:kern w:val="2"/>
          <w:sz w:val="21"/>
          <w:szCs w:val="21"/>
        </w:rPr>
      </w:pPr>
      <w:bookmarkStart w:id="4" w:name="_Hlk169132995"/>
      <w:bookmarkEnd w:id="4"/>
      <w:r>
        <w:rPr>
          <w:rFonts w:hint="eastAsia" w:asciiTheme="minorEastAsia" w:hAnsiTheme="minorEastAsia" w:eastAsiaTheme="minorEastAsia" w:cstheme="minorEastAsia"/>
          <w:kern w:val="2"/>
          <w:sz w:val="21"/>
          <w:szCs w:val="21"/>
        </w:rPr>
        <w:t>▲17. 微孔培养皿：≥16个具有编号的胚胎培养微孔，≥4个胚胎冲洗微孔，无需湿度环境；通过鼠胚毒性检测，无致热源；</w:t>
      </w:r>
    </w:p>
    <w:p w14:paraId="3BF4AD62">
      <w:pPr>
        <w:pStyle w:val="4"/>
        <w:ind w:left="416" w:leftChars="-2" w:right="139" w:rightChars="66" w:hanging="420" w:hanging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▲18.</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kern w:val="2"/>
          <w:sz w:val="21"/>
          <w:szCs w:val="21"/>
        </w:rPr>
        <w:t>配备专用标签打印机，且时差培养箱内置的扫码器可以扫描二维码标签，自动读取标签和登记所加载的培养皿；培养皿取出再重新放入时，系统可识别并延续已有图像数据继续进行图像采集，确保胚胎发育图像的完整；</w:t>
      </w:r>
    </w:p>
    <w:p w14:paraId="34AC4E49">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19. 报警系统：包含声光报警，监控培养环境及相关联电组件；</w:t>
      </w:r>
    </w:p>
    <w:p w14:paraId="51441D83">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20. 显示器：≥10.1寸电容式触摸屏；</w:t>
      </w:r>
    </w:p>
    <w:p w14:paraId="3D2D0002">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21. 图片格式：JPEG；</w:t>
      </w:r>
    </w:p>
    <w:p w14:paraId="02662944">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 具备图像回放旋钮，方便用户无间断回放图像；</w:t>
      </w:r>
    </w:p>
    <w:p w14:paraId="2449D5B2">
      <w:pPr>
        <w:pStyle w:val="4"/>
        <w:ind w:left="416" w:leftChars="-2" w:right="139" w:rightChars="66" w:hanging="420" w:hanging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23、</w:t>
      </w:r>
      <w:r>
        <w:rPr>
          <w:rFonts w:hint="eastAsia" w:asciiTheme="minorEastAsia" w:hAnsiTheme="minorEastAsia" w:eastAsiaTheme="minorEastAsia" w:cstheme="minorEastAsia"/>
          <w:kern w:val="2"/>
          <w:sz w:val="21"/>
          <w:szCs w:val="21"/>
        </w:rPr>
        <w:tab/>
      </w:r>
      <w:r>
        <w:rPr>
          <w:rFonts w:hint="eastAsia" w:asciiTheme="minorEastAsia" w:hAnsiTheme="minorEastAsia" w:eastAsiaTheme="minorEastAsia" w:cstheme="minorEastAsia"/>
          <w:kern w:val="2"/>
          <w:sz w:val="21"/>
          <w:szCs w:val="21"/>
        </w:rPr>
        <w:t>配置了电脑以及分析软件，通过软件可以实现对胚胎发育形态动力学、形态学进行回顾、标注和分析；</w:t>
      </w:r>
    </w:p>
    <w:p w14:paraId="3F97C5CA">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24、每一台软件工作站可连接≥2台培养系统；</w:t>
      </w:r>
    </w:p>
    <w:p w14:paraId="3C8BA2BC">
      <w:pPr>
        <w:pStyle w:val="4"/>
        <w:ind w:left="416" w:leftChars="-2" w:right="139" w:rightChars="66" w:hanging="420" w:hanging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25、软件系统可以生成文字化文档和录像，提供可追溯的数据分析功能，并使培养过程具有可追溯性，为优化胚胎选择提供数据平台；</w:t>
      </w:r>
    </w:p>
    <w:p w14:paraId="53EEE3A8">
      <w:pPr>
        <w:pStyle w:val="4"/>
        <w:ind w:left="416" w:leftChars="-2" w:right="139" w:rightChars="66" w:hanging="420" w:hanging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26、允许创建用户自定义的胚胎评估模型，用户可以建立自定义表达式来定义模型变量。软件至少可提供3个模型构架，加和构架、乘法构架、分类构架；</w:t>
      </w:r>
    </w:p>
    <w:p w14:paraId="0EA08A50">
      <w:pPr>
        <w:pStyle w:val="4"/>
        <w:ind w:left="416" w:leftChars="-2" w:right="139" w:rightChars="66" w:hanging="420" w:hanging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27、软件可以按照指定的模型给胚胎进行评分和排序。</w:t>
      </w:r>
    </w:p>
    <w:p w14:paraId="3FE6D037">
      <w:pPr>
        <w:pStyle w:val="4"/>
        <w:ind w:left="416" w:leftChars="-2" w:right="139" w:rightChars="66" w:hanging="420" w:hanging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28、时差培养箱可自动检测培养孔中是否有气泡，并发出提示信息；</w:t>
      </w:r>
    </w:p>
    <w:p w14:paraId="14CEADD1">
      <w:pPr>
        <w:pStyle w:val="4"/>
        <w:ind w:left="416" w:leftChars="-2" w:right="139" w:rightChars="66" w:hanging="420" w:hanging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29、时差培养箱提供5篇以上的随机对照试验（randomized controlled trial, RCT）研究证明其临床使用的安全有效性。</w:t>
      </w:r>
    </w:p>
    <w:p w14:paraId="57EEEA9D">
      <w:pPr>
        <w:pStyle w:val="4"/>
        <w:ind w:left="-424" w:leftChars="-202" w:right="139" w:rightChars="66"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30、配置电脑不低于：16G内存，CPU2.1GHz，18倍速光驱，硬盘12TB，LED高清显示器，分辨率≥1920×1200px；</w:t>
      </w:r>
    </w:p>
    <w:p w14:paraId="03AB7204">
      <w:pPr>
        <w:pStyle w:val="4"/>
        <w:ind w:left="-424" w:leftChars="-202" w:right="139" w:rightChars="66"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配置清单:</w:t>
      </w:r>
    </w:p>
    <w:tbl>
      <w:tblPr>
        <w:tblStyle w:val="13"/>
        <w:tblW w:w="8842" w:type="dxa"/>
        <w:tblInd w:w="0" w:type="dxa"/>
        <w:tblLayout w:type="fixed"/>
        <w:tblCellMar>
          <w:top w:w="0" w:type="dxa"/>
          <w:left w:w="108" w:type="dxa"/>
          <w:bottom w:w="0" w:type="dxa"/>
          <w:right w:w="108" w:type="dxa"/>
        </w:tblCellMar>
      </w:tblPr>
      <w:tblGrid>
        <w:gridCol w:w="1997"/>
        <w:gridCol w:w="4249"/>
        <w:gridCol w:w="2596"/>
      </w:tblGrid>
      <w:tr w14:paraId="1AF2181D">
        <w:tblPrEx>
          <w:tblCellMar>
            <w:top w:w="0" w:type="dxa"/>
            <w:left w:w="108" w:type="dxa"/>
            <w:bottom w:w="0" w:type="dxa"/>
            <w:right w:w="108" w:type="dxa"/>
          </w:tblCellMar>
        </w:tblPrEx>
        <w:trPr>
          <w:trHeight w:val="597" w:hRule="atLeast"/>
        </w:trPr>
        <w:tc>
          <w:tcPr>
            <w:tcW w:w="19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41A2EC">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4249" w:type="dxa"/>
            <w:tcBorders>
              <w:top w:val="single" w:color="auto" w:sz="4" w:space="0"/>
              <w:left w:val="nil"/>
              <w:bottom w:val="single" w:color="auto" w:sz="4" w:space="0"/>
              <w:right w:val="single" w:color="auto" w:sz="4" w:space="0"/>
            </w:tcBorders>
            <w:shd w:val="clear" w:color="auto" w:fill="auto"/>
            <w:noWrap/>
            <w:vAlign w:val="bottom"/>
          </w:tcPr>
          <w:p w14:paraId="68141CA9">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产品名称</w:t>
            </w:r>
          </w:p>
        </w:tc>
        <w:tc>
          <w:tcPr>
            <w:tcW w:w="2596" w:type="dxa"/>
            <w:tcBorders>
              <w:top w:val="single" w:color="auto" w:sz="4" w:space="0"/>
              <w:left w:val="nil"/>
              <w:bottom w:val="single" w:color="auto" w:sz="4" w:space="0"/>
              <w:right w:val="single" w:color="auto" w:sz="4" w:space="0"/>
            </w:tcBorders>
            <w:shd w:val="clear" w:color="auto" w:fill="auto"/>
            <w:noWrap/>
            <w:vAlign w:val="bottom"/>
          </w:tcPr>
          <w:p w14:paraId="669C72EF">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数量</w:t>
            </w:r>
          </w:p>
        </w:tc>
      </w:tr>
      <w:tr w14:paraId="116E4677">
        <w:tblPrEx>
          <w:tblCellMar>
            <w:top w:w="0" w:type="dxa"/>
            <w:left w:w="108" w:type="dxa"/>
            <w:bottom w:w="0" w:type="dxa"/>
            <w:right w:w="108" w:type="dxa"/>
          </w:tblCellMar>
        </w:tblPrEx>
        <w:trPr>
          <w:trHeight w:val="597" w:hRule="atLeast"/>
        </w:trPr>
        <w:tc>
          <w:tcPr>
            <w:tcW w:w="1997" w:type="dxa"/>
            <w:tcBorders>
              <w:top w:val="nil"/>
              <w:left w:val="single" w:color="auto" w:sz="4" w:space="0"/>
              <w:bottom w:val="single" w:color="auto" w:sz="4" w:space="0"/>
              <w:right w:val="single" w:color="auto" w:sz="4" w:space="0"/>
            </w:tcBorders>
            <w:shd w:val="clear" w:color="auto" w:fill="auto"/>
            <w:noWrap/>
            <w:vAlign w:val="bottom"/>
          </w:tcPr>
          <w:p w14:paraId="5493C97B">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249" w:type="dxa"/>
            <w:tcBorders>
              <w:top w:val="nil"/>
              <w:left w:val="nil"/>
              <w:bottom w:val="single" w:color="auto" w:sz="4" w:space="0"/>
              <w:right w:val="single" w:color="auto" w:sz="4" w:space="0"/>
            </w:tcBorders>
            <w:shd w:val="clear" w:color="auto" w:fill="auto"/>
            <w:noWrap/>
            <w:vAlign w:val="bottom"/>
          </w:tcPr>
          <w:p w14:paraId="44A54F52">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时差培养箱</w:t>
            </w:r>
          </w:p>
        </w:tc>
        <w:tc>
          <w:tcPr>
            <w:tcW w:w="2596" w:type="dxa"/>
            <w:tcBorders>
              <w:top w:val="nil"/>
              <w:left w:val="nil"/>
              <w:bottom w:val="single" w:color="auto" w:sz="4" w:space="0"/>
              <w:right w:val="single" w:color="auto" w:sz="4" w:space="0"/>
            </w:tcBorders>
            <w:shd w:val="clear" w:color="auto" w:fill="auto"/>
            <w:noWrap/>
            <w:vAlign w:val="bottom"/>
          </w:tcPr>
          <w:p w14:paraId="14E0DC40">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1台</w:t>
            </w:r>
          </w:p>
        </w:tc>
      </w:tr>
      <w:tr w14:paraId="47847E0A">
        <w:tblPrEx>
          <w:tblCellMar>
            <w:top w:w="0" w:type="dxa"/>
            <w:left w:w="108" w:type="dxa"/>
            <w:bottom w:w="0" w:type="dxa"/>
            <w:right w:w="108" w:type="dxa"/>
          </w:tblCellMar>
        </w:tblPrEx>
        <w:trPr>
          <w:trHeight w:val="597" w:hRule="atLeast"/>
        </w:trPr>
        <w:tc>
          <w:tcPr>
            <w:tcW w:w="1997" w:type="dxa"/>
            <w:tcBorders>
              <w:top w:val="nil"/>
              <w:left w:val="single" w:color="auto" w:sz="4" w:space="0"/>
              <w:bottom w:val="single" w:color="auto" w:sz="4" w:space="0"/>
              <w:right w:val="single" w:color="auto" w:sz="4" w:space="0"/>
            </w:tcBorders>
            <w:shd w:val="clear" w:color="auto" w:fill="auto"/>
            <w:noWrap/>
            <w:vAlign w:val="bottom"/>
          </w:tcPr>
          <w:p w14:paraId="4E91F415">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4249" w:type="dxa"/>
            <w:tcBorders>
              <w:top w:val="nil"/>
              <w:left w:val="nil"/>
              <w:bottom w:val="single" w:color="auto" w:sz="4" w:space="0"/>
              <w:right w:val="single" w:color="auto" w:sz="4" w:space="0"/>
            </w:tcBorders>
            <w:shd w:val="clear" w:color="auto" w:fill="auto"/>
            <w:noWrap/>
            <w:vAlign w:val="bottom"/>
          </w:tcPr>
          <w:p w14:paraId="504DB3F4">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服务器及软件</w:t>
            </w:r>
          </w:p>
        </w:tc>
        <w:tc>
          <w:tcPr>
            <w:tcW w:w="2596" w:type="dxa"/>
            <w:tcBorders>
              <w:top w:val="nil"/>
              <w:left w:val="nil"/>
              <w:bottom w:val="single" w:color="auto" w:sz="4" w:space="0"/>
              <w:right w:val="single" w:color="auto" w:sz="4" w:space="0"/>
            </w:tcBorders>
            <w:shd w:val="clear" w:color="auto" w:fill="auto"/>
            <w:noWrap/>
            <w:vAlign w:val="bottom"/>
          </w:tcPr>
          <w:p w14:paraId="4FFD67D0">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1套</w:t>
            </w:r>
          </w:p>
        </w:tc>
      </w:tr>
      <w:tr w14:paraId="6B66A0F1">
        <w:tblPrEx>
          <w:tblCellMar>
            <w:top w:w="0" w:type="dxa"/>
            <w:left w:w="108" w:type="dxa"/>
            <w:bottom w:w="0" w:type="dxa"/>
            <w:right w:w="108" w:type="dxa"/>
          </w:tblCellMar>
        </w:tblPrEx>
        <w:trPr>
          <w:trHeight w:val="597" w:hRule="atLeast"/>
        </w:trPr>
        <w:tc>
          <w:tcPr>
            <w:tcW w:w="1997" w:type="dxa"/>
            <w:tcBorders>
              <w:top w:val="nil"/>
              <w:left w:val="single" w:color="auto" w:sz="4" w:space="0"/>
              <w:bottom w:val="single" w:color="auto" w:sz="4" w:space="0"/>
              <w:right w:val="single" w:color="auto" w:sz="4" w:space="0"/>
            </w:tcBorders>
            <w:shd w:val="clear" w:color="auto" w:fill="auto"/>
            <w:noWrap/>
            <w:vAlign w:val="bottom"/>
          </w:tcPr>
          <w:p w14:paraId="40E4198E">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4249" w:type="dxa"/>
            <w:tcBorders>
              <w:top w:val="nil"/>
              <w:left w:val="nil"/>
              <w:bottom w:val="single" w:color="auto" w:sz="4" w:space="0"/>
              <w:right w:val="single" w:color="auto" w:sz="4" w:space="0"/>
            </w:tcBorders>
            <w:shd w:val="clear" w:color="auto" w:fill="auto"/>
            <w:noWrap/>
            <w:vAlign w:val="bottom"/>
          </w:tcPr>
          <w:p w14:paraId="09B520D9">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客户端硬件及软件</w:t>
            </w:r>
          </w:p>
        </w:tc>
        <w:tc>
          <w:tcPr>
            <w:tcW w:w="2596" w:type="dxa"/>
            <w:tcBorders>
              <w:top w:val="nil"/>
              <w:left w:val="nil"/>
              <w:bottom w:val="single" w:color="auto" w:sz="4" w:space="0"/>
              <w:right w:val="single" w:color="auto" w:sz="4" w:space="0"/>
            </w:tcBorders>
            <w:shd w:val="clear" w:color="auto" w:fill="auto"/>
            <w:noWrap/>
            <w:vAlign w:val="bottom"/>
          </w:tcPr>
          <w:p w14:paraId="04B9EA85">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1套</w:t>
            </w:r>
          </w:p>
        </w:tc>
      </w:tr>
      <w:tr w14:paraId="0606BC69">
        <w:tblPrEx>
          <w:tblCellMar>
            <w:top w:w="0" w:type="dxa"/>
            <w:left w:w="108" w:type="dxa"/>
            <w:bottom w:w="0" w:type="dxa"/>
            <w:right w:w="108" w:type="dxa"/>
          </w:tblCellMar>
        </w:tblPrEx>
        <w:trPr>
          <w:trHeight w:val="597" w:hRule="atLeast"/>
        </w:trPr>
        <w:tc>
          <w:tcPr>
            <w:tcW w:w="1997" w:type="dxa"/>
            <w:tcBorders>
              <w:top w:val="nil"/>
              <w:left w:val="single" w:color="auto" w:sz="4" w:space="0"/>
              <w:bottom w:val="single" w:color="auto" w:sz="4" w:space="0"/>
              <w:right w:val="single" w:color="auto" w:sz="4" w:space="0"/>
            </w:tcBorders>
            <w:shd w:val="clear" w:color="auto" w:fill="auto"/>
            <w:noWrap/>
            <w:vAlign w:val="bottom"/>
          </w:tcPr>
          <w:p w14:paraId="5B393955">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4249" w:type="dxa"/>
            <w:tcBorders>
              <w:top w:val="nil"/>
              <w:left w:val="nil"/>
              <w:bottom w:val="single" w:color="auto" w:sz="4" w:space="0"/>
              <w:right w:val="single" w:color="auto" w:sz="4" w:space="0"/>
            </w:tcBorders>
            <w:shd w:val="clear" w:color="auto" w:fill="auto"/>
            <w:noWrap/>
            <w:vAlign w:val="bottom"/>
          </w:tcPr>
          <w:p w14:paraId="3D594E6A">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标签打印机</w:t>
            </w:r>
          </w:p>
        </w:tc>
        <w:tc>
          <w:tcPr>
            <w:tcW w:w="2596" w:type="dxa"/>
            <w:tcBorders>
              <w:top w:val="nil"/>
              <w:left w:val="nil"/>
              <w:bottom w:val="single" w:color="auto" w:sz="4" w:space="0"/>
              <w:right w:val="single" w:color="auto" w:sz="4" w:space="0"/>
            </w:tcBorders>
            <w:shd w:val="clear" w:color="auto" w:fill="auto"/>
            <w:noWrap/>
            <w:vAlign w:val="bottom"/>
          </w:tcPr>
          <w:p w14:paraId="26221EDD">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1台</w:t>
            </w:r>
          </w:p>
        </w:tc>
      </w:tr>
      <w:tr w14:paraId="7C93F2C5">
        <w:tblPrEx>
          <w:tblCellMar>
            <w:top w:w="0" w:type="dxa"/>
            <w:left w:w="108" w:type="dxa"/>
            <w:bottom w:w="0" w:type="dxa"/>
            <w:right w:w="108" w:type="dxa"/>
          </w:tblCellMar>
        </w:tblPrEx>
        <w:trPr>
          <w:trHeight w:val="597" w:hRule="atLeast"/>
        </w:trPr>
        <w:tc>
          <w:tcPr>
            <w:tcW w:w="1997" w:type="dxa"/>
            <w:tcBorders>
              <w:top w:val="nil"/>
              <w:left w:val="single" w:color="auto" w:sz="4" w:space="0"/>
              <w:bottom w:val="single" w:color="auto" w:sz="4" w:space="0"/>
              <w:right w:val="single" w:color="auto" w:sz="4" w:space="0"/>
            </w:tcBorders>
            <w:shd w:val="clear" w:color="auto" w:fill="auto"/>
            <w:noWrap/>
            <w:vAlign w:val="bottom"/>
          </w:tcPr>
          <w:p w14:paraId="4B76BD7E">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4249" w:type="dxa"/>
            <w:tcBorders>
              <w:top w:val="nil"/>
              <w:left w:val="nil"/>
              <w:bottom w:val="single" w:color="auto" w:sz="4" w:space="0"/>
              <w:right w:val="single" w:color="auto" w:sz="4" w:space="0"/>
            </w:tcBorders>
            <w:shd w:val="clear" w:color="auto" w:fill="auto"/>
            <w:noWrap/>
            <w:vAlign w:val="bottom"/>
          </w:tcPr>
          <w:p w14:paraId="25507134">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培养皿</w:t>
            </w:r>
          </w:p>
        </w:tc>
        <w:tc>
          <w:tcPr>
            <w:tcW w:w="2596" w:type="dxa"/>
            <w:tcBorders>
              <w:top w:val="nil"/>
              <w:left w:val="nil"/>
              <w:bottom w:val="single" w:color="auto" w:sz="4" w:space="0"/>
              <w:right w:val="single" w:color="auto" w:sz="4" w:space="0"/>
            </w:tcBorders>
            <w:shd w:val="clear" w:color="auto" w:fill="auto"/>
            <w:noWrap/>
            <w:vAlign w:val="bottom"/>
          </w:tcPr>
          <w:p w14:paraId="1A1396FC">
            <w:pPr>
              <w:widowControl/>
              <w:ind w:firstLine="44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200个</w:t>
            </w:r>
          </w:p>
        </w:tc>
      </w:tr>
    </w:tbl>
    <w:p w14:paraId="699B0C79">
      <w:pPr>
        <w:widowControl/>
        <w:numPr>
          <w:ilvl w:val="0"/>
          <w:numId w:val="0"/>
        </w:numPr>
        <w:spacing w:line="400" w:lineRule="exact"/>
        <w:jc w:val="left"/>
        <w:rPr>
          <w:rFonts w:hint="eastAsia" w:asciiTheme="minorEastAsia" w:hAnsiTheme="minorEastAsia" w:eastAsiaTheme="minorEastAsia" w:cstheme="minorEastAsia"/>
          <w:b w:val="0"/>
          <w:bCs w:val="0"/>
          <w:kern w:val="0"/>
          <w:sz w:val="18"/>
          <w:szCs w:val="18"/>
          <w:highlight w:val="none"/>
          <w:lang w:val="en-US" w:eastAsia="zh-CN"/>
        </w:rPr>
      </w:pPr>
    </w:p>
    <w:p w14:paraId="06DC104A">
      <w:pPr>
        <w:widowControl/>
        <w:numPr>
          <w:ilvl w:val="0"/>
          <w:numId w:val="0"/>
        </w:numPr>
        <w:spacing w:line="400" w:lineRule="exact"/>
        <w:jc w:val="left"/>
        <w:rPr>
          <w:rFonts w:hint="eastAsia" w:asciiTheme="minorEastAsia" w:hAnsiTheme="minorEastAsia" w:eastAsiaTheme="minorEastAsia" w:cstheme="minorEastAsia"/>
          <w:b w:val="0"/>
          <w:bCs w:val="0"/>
          <w:kern w:val="0"/>
          <w:sz w:val="18"/>
          <w:szCs w:val="18"/>
          <w:highlight w:val="none"/>
          <w:lang w:val="en-US" w:eastAsia="zh-CN"/>
        </w:rPr>
      </w:pPr>
    </w:p>
    <w:p w14:paraId="75C31642">
      <w:pPr>
        <w:widowControl/>
        <w:numPr>
          <w:ilvl w:val="0"/>
          <w:numId w:val="0"/>
        </w:numPr>
        <w:spacing w:line="400" w:lineRule="exact"/>
        <w:jc w:val="left"/>
        <w:rPr>
          <w:rFonts w:hint="eastAsia" w:ascii="宋体" w:hAnsi="宋体" w:eastAsia="宋体" w:cs="宋体"/>
          <w:b/>
          <w:bCs/>
          <w:kern w:val="0"/>
          <w:sz w:val="24"/>
          <w:szCs w:val="24"/>
          <w:highlight w:val="lightGray"/>
          <w:lang w:val="en-US" w:eastAsia="zh-CN"/>
        </w:rPr>
      </w:pPr>
    </w:p>
    <w:p w14:paraId="79FFD03F">
      <w:pPr>
        <w:widowControl/>
        <w:numPr>
          <w:ilvl w:val="0"/>
          <w:numId w:val="0"/>
        </w:numPr>
        <w:spacing w:line="400" w:lineRule="exact"/>
        <w:jc w:val="left"/>
        <w:rPr>
          <w:rFonts w:hint="default" w:ascii="宋体" w:hAnsi="宋体" w:eastAsia="宋体" w:cs="宋体"/>
          <w:b/>
          <w:bCs/>
          <w:kern w:val="0"/>
          <w:sz w:val="24"/>
          <w:szCs w:val="24"/>
          <w:highlight w:val="lightGray"/>
          <w:lang w:val="en-US" w:eastAsia="zh-CN"/>
        </w:rPr>
      </w:pPr>
      <w:r>
        <w:rPr>
          <w:rFonts w:hint="eastAsia" w:ascii="宋体" w:hAnsi="宋体" w:eastAsia="宋体" w:cs="宋体"/>
          <w:b/>
          <w:bCs/>
          <w:kern w:val="0"/>
          <w:sz w:val="24"/>
          <w:szCs w:val="24"/>
          <w:highlight w:val="lightGray"/>
          <w:lang w:val="en-US" w:eastAsia="zh-CN"/>
        </w:rPr>
        <w:t>二、</w:t>
      </w:r>
      <w:r>
        <w:rPr>
          <w:rFonts w:hint="eastAsia" w:ascii="宋体" w:hAnsi="宋体" w:eastAsia="宋体" w:cs="宋体"/>
          <w:i w:val="0"/>
          <w:iCs w:val="0"/>
          <w:color w:val="auto"/>
          <w:kern w:val="0"/>
          <w:sz w:val="24"/>
          <w:szCs w:val="24"/>
          <w:highlight w:val="lightGray"/>
          <w:u w:val="none"/>
          <w:lang w:val="en-US" w:eastAsia="zh-CN" w:bidi="ar"/>
        </w:rPr>
        <w:t>实验室智能监控系统</w:t>
      </w:r>
      <w:r>
        <w:rPr>
          <w:rFonts w:hint="eastAsia" w:ascii="宋体" w:hAnsi="宋体" w:eastAsia="宋体" w:cs="宋体"/>
          <w:b/>
          <w:bCs/>
          <w:kern w:val="0"/>
          <w:sz w:val="24"/>
          <w:szCs w:val="24"/>
          <w:highlight w:val="lightGray"/>
          <w:lang w:val="en-US" w:eastAsia="zh-CN"/>
        </w:rPr>
        <w:t>（1套、共55万）</w:t>
      </w:r>
    </w:p>
    <w:p w14:paraId="2DB2EDC5">
      <w:pPr>
        <w:widowControl/>
        <w:numPr>
          <w:ilvl w:val="0"/>
          <w:numId w:val="0"/>
        </w:numPr>
        <w:spacing w:line="400" w:lineRule="exact"/>
        <w:jc w:val="left"/>
        <w:rPr>
          <w:rFonts w:hint="eastAsia" w:ascii="宋体" w:hAnsi="宋体" w:eastAsia="宋体" w:cs="宋体"/>
          <w:b/>
          <w:bCs/>
          <w:kern w:val="0"/>
          <w:sz w:val="24"/>
          <w:szCs w:val="24"/>
          <w:lang w:val="en-US" w:eastAsia="zh-CN"/>
        </w:rPr>
      </w:pPr>
    </w:p>
    <w:p w14:paraId="7DE0A226">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以稳定可靠的无线物联网技术为基础，通过安装在实验室房间培养箱等主要设备的各种传感器，对实验室环境和设备进行温度、二氧化碳、氧气浓度、湿度、液位等指标数据的24小时不间断监控。</w:t>
      </w:r>
    </w:p>
    <w:p w14:paraId="2DB99334">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设备的数据采集器均应采用无线方式发送传感器监测数据，无需布网线等数据线路。</w:t>
      </w:r>
    </w:p>
    <w:p w14:paraId="4350EE0F">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系统自动记录并展示各项监测指标数据，提供电脑端、手机或iPAD APP端浏览查看设备状态和数据的功能。</w:t>
      </w:r>
    </w:p>
    <w:p w14:paraId="12C989D2">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对出现的异常问题进行报警提醒，报警可选短信报警、APP报警或电话语音报警方式。</w:t>
      </w:r>
    </w:p>
    <w:p w14:paraId="58B904FF">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系统不限制用户数量，不因为用户数量增加而增加收费。</w:t>
      </w:r>
    </w:p>
    <w:p w14:paraId="4D017DF5">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可以设置多组报警联系人，可以设置各组联系人接收警报的先后顺序和级别。 </w:t>
      </w:r>
    </w:p>
    <w:p w14:paraId="4D49F93E">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可以查看历史监测数据并提供相应的报表分析。</w:t>
      </w:r>
    </w:p>
    <w:p w14:paraId="29EBA62D">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云端存储数据，也可以选配本地数据服务器。</w:t>
      </w:r>
    </w:p>
    <w:p w14:paraId="5052E057">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用户可以自定义监测数据的正常范围，超出正常范围的视为异常情况并启动报警。</w:t>
      </w:r>
    </w:p>
    <w:p w14:paraId="16755B33">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实验室环境监测的设备应能同一设备监测空气环境TVOC/PM2.5/PM10/甲醛/O2/温度/湿度/气压数值等9项指标。</w:t>
      </w:r>
    </w:p>
    <w:p w14:paraId="2F387517">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大型培养箱的检测设备应能一个设备同时监测二氧化碳浓度、氧气浓度、温度和湿度四个指标。</w:t>
      </w:r>
    </w:p>
    <w:p w14:paraId="23F0CAB9">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大型培养箱的检测设备应有第三方机构出具的RoHS安全认证报告。 （需提供认证报告）</w:t>
      </w:r>
    </w:p>
    <w:p w14:paraId="679DED1A">
      <w:pPr>
        <w:pStyle w:val="17"/>
        <w:numPr>
          <w:ilvl w:val="0"/>
          <w:numId w:val="2"/>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安装在培养箱上的数据采集器应配有显示屏，方便就近查看数据。（需提供产品实物图片辅证）</w:t>
      </w:r>
    </w:p>
    <w:p w14:paraId="358FF6E3">
      <w:pPr>
        <w:pStyle w:val="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使用电池供电的无线数据采集器的电池使用寿命应≥一年，质保期内免费更换，电量耗尽后都可拆卸更换。</w:t>
      </w:r>
    </w:p>
    <w:p w14:paraId="6EFF2F57">
      <w:pPr>
        <w:ind w:firstLine="0" w:firstLineChars="0"/>
        <w:rPr>
          <w:rFonts w:hint="eastAsia" w:asciiTheme="minorEastAsia" w:hAnsiTheme="minorEastAsia" w:eastAsiaTheme="minorEastAsia" w:cstheme="minorEastAsia"/>
          <w:sz w:val="21"/>
          <w:szCs w:val="21"/>
        </w:rPr>
      </w:pPr>
    </w:p>
    <w:p w14:paraId="4EC80461">
      <w:pPr>
        <w:numPr>
          <w:ilvl w:val="0"/>
          <w:numId w:val="3"/>
        </w:num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配置要求：</w:t>
      </w:r>
    </w:p>
    <w:p w14:paraId="6A5CED1B">
      <w:pPr>
        <w:pStyle w:val="17"/>
        <w:numPr>
          <w:ilvl w:val="0"/>
          <w:numId w:val="4"/>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智能监控管理系统：1套</w:t>
      </w:r>
    </w:p>
    <w:p w14:paraId="0A0105EB">
      <w:pPr>
        <w:pStyle w:val="17"/>
        <w:numPr>
          <w:ilvl w:val="0"/>
          <w:numId w:val="4"/>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APP+云平台服务器：1套</w:t>
      </w:r>
    </w:p>
    <w:p w14:paraId="644CCB6E">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台式培养箱监测： 14 个</w:t>
      </w:r>
    </w:p>
    <w:p w14:paraId="71252A9A">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桌面培养箱监测： 24 个</w:t>
      </w:r>
    </w:p>
    <w:p w14:paraId="39E04883">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实验室环境监测： 2 个</w:t>
      </w:r>
    </w:p>
    <w:p w14:paraId="69613D54">
      <w:pPr>
        <w:widowControl/>
        <w:numPr>
          <w:ilvl w:val="0"/>
          <w:numId w:val="0"/>
        </w:numPr>
        <w:spacing w:line="400" w:lineRule="exact"/>
        <w:ind w:leftChars="0"/>
        <w:jc w:val="left"/>
        <w:rPr>
          <w:rFonts w:hint="eastAsia" w:ascii="宋体" w:hAnsi="宋体" w:eastAsia="宋体" w:cs="宋体"/>
          <w:b w:val="0"/>
          <w:bCs w:val="0"/>
          <w:kern w:val="0"/>
          <w:sz w:val="21"/>
          <w:szCs w:val="21"/>
          <w:lang w:val="en-US" w:eastAsia="zh-CN"/>
        </w:rPr>
      </w:pPr>
    </w:p>
    <w:p w14:paraId="07AFE7D2">
      <w:pPr>
        <w:widowControl/>
        <w:numPr>
          <w:ilvl w:val="0"/>
          <w:numId w:val="0"/>
        </w:numPr>
        <w:spacing w:line="400" w:lineRule="exact"/>
        <w:jc w:val="left"/>
        <w:rPr>
          <w:rFonts w:hint="eastAsia" w:ascii="宋体" w:hAnsi="宋体" w:eastAsia="宋体" w:cs="宋体"/>
          <w:b/>
          <w:bCs/>
          <w:kern w:val="0"/>
          <w:sz w:val="24"/>
          <w:szCs w:val="24"/>
          <w:lang w:val="en-US" w:eastAsia="zh-CN"/>
        </w:rPr>
      </w:pPr>
    </w:p>
    <w:p w14:paraId="0A3E1EB9">
      <w:pPr>
        <w:widowControl/>
        <w:numPr>
          <w:ilvl w:val="0"/>
          <w:numId w:val="0"/>
        </w:numPr>
        <w:spacing w:line="400" w:lineRule="exact"/>
        <w:jc w:val="left"/>
        <w:rPr>
          <w:rFonts w:hint="eastAsia" w:ascii="宋体" w:hAnsi="宋体" w:eastAsia="宋体" w:cs="宋体"/>
          <w:b/>
          <w:bCs/>
          <w:kern w:val="0"/>
          <w:sz w:val="24"/>
          <w:szCs w:val="24"/>
          <w:lang w:val="en-US" w:eastAsia="zh-CN"/>
        </w:rPr>
      </w:pPr>
    </w:p>
    <w:p w14:paraId="1AE80FF7">
      <w:pPr>
        <w:widowControl/>
        <w:numPr>
          <w:ilvl w:val="0"/>
          <w:numId w:val="5"/>
        </w:numPr>
        <w:spacing w:line="400" w:lineRule="exact"/>
        <w:jc w:val="left"/>
        <w:rPr>
          <w:rFonts w:hint="eastAsia" w:ascii="宋体" w:hAnsi="宋体"/>
          <w:b/>
          <w:bCs/>
          <w:kern w:val="0"/>
          <w:sz w:val="24"/>
          <w:szCs w:val="24"/>
          <w:highlight w:val="lightGray"/>
          <w:lang w:val="en-US" w:eastAsia="zh-CN"/>
        </w:rPr>
      </w:pPr>
      <w:r>
        <w:rPr>
          <w:rFonts w:hint="eastAsia" w:ascii="宋体" w:hAnsi="宋体" w:eastAsia="宋体" w:cs="宋体"/>
          <w:b/>
          <w:bCs/>
          <w:i w:val="0"/>
          <w:iCs w:val="0"/>
          <w:color w:val="auto"/>
          <w:kern w:val="0"/>
          <w:sz w:val="24"/>
          <w:szCs w:val="24"/>
          <w:highlight w:val="lightGray"/>
          <w:u w:val="none"/>
          <w:lang w:val="en-US" w:eastAsia="zh-CN" w:bidi="ar"/>
        </w:rPr>
        <w:t>全自动精子质量分析</w:t>
      </w:r>
      <w:r>
        <w:rPr>
          <w:rFonts w:hint="eastAsia" w:ascii="宋体" w:hAnsi="宋体"/>
          <w:b/>
          <w:bCs/>
          <w:kern w:val="0"/>
          <w:sz w:val="24"/>
          <w:szCs w:val="24"/>
          <w:highlight w:val="lightGray"/>
          <w:lang w:val="en-US" w:eastAsia="zh-CN"/>
        </w:rPr>
        <w:t>仪（1套、共26万元）</w:t>
      </w:r>
    </w:p>
    <w:p w14:paraId="39E19E8F">
      <w:pPr>
        <w:widowControl/>
        <w:numPr>
          <w:ilvl w:val="0"/>
          <w:numId w:val="0"/>
        </w:numPr>
        <w:spacing w:line="400" w:lineRule="exact"/>
        <w:jc w:val="left"/>
        <w:rPr>
          <w:rFonts w:hint="eastAsia" w:ascii="宋体" w:hAnsi="宋体"/>
          <w:b/>
          <w:bCs/>
          <w:kern w:val="0"/>
          <w:sz w:val="24"/>
          <w:szCs w:val="24"/>
          <w:lang w:val="en-US" w:eastAsia="zh-CN"/>
        </w:rPr>
      </w:pPr>
    </w:p>
    <w:p w14:paraId="228EEACD">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 全自动扫描分析：具备显微镜载物平台X、Y电动控制自动扫描功能、显微镜Z电动控制自动对焦功能。</w:t>
      </w:r>
    </w:p>
    <w:p w14:paraId="5FD282A1">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 扫描通量</w:t>
      </w:r>
      <w:r>
        <w:rPr>
          <w:rFonts w:hint="eastAsia" w:asciiTheme="minorEastAsia" w:hAnsiTheme="minorEastAsia" w:eastAsiaTheme="minorEastAsia" w:cstheme="minorEastAsia"/>
          <w:kern w:val="0"/>
          <w:sz w:val="21"/>
          <w:szCs w:val="21"/>
        </w:rPr>
        <w:t>（扫描通量需提供医疗器械产品注册检测检验报告）</w:t>
      </w:r>
    </w:p>
    <w:p w14:paraId="29EA3142">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动态学分析：一次性可连续扫描分析≥6张精子计数池，可连续分析≥24个测试；</w:t>
      </w:r>
    </w:p>
    <w:p w14:paraId="1870717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3. </w:t>
      </w:r>
      <w:r>
        <w:rPr>
          <w:rFonts w:hint="eastAsia" w:asciiTheme="minorEastAsia" w:hAnsiTheme="minorEastAsia" w:eastAsiaTheme="minorEastAsia" w:cstheme="minorEastAsia"/>
          <w:sz w:val="21"/>
          <w:szCs w:val="21"/>
        </w:rPr>
        <w:t>自动聚焦扫描时，精子静态图像清晰率≥98</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0"/>
          <w:sz w:val="21"/>
          <w:szCs w:val="21"/>
        </w:rPr>
        <w:t>（需提供医疗器械产品注册检测检验报告</w:t>
      </w:r>
      <w:r>
        <w:rPr>
          <w:rFonts w:hint="eastAsia" w:asciiTheme="minorEastAsia" w:hAnsiTheme="minorEastAsia" w:eastAsiaTheme="minorEastAsia" w:cstheme="minorEastAsia"/>
          <w:bCs/>
          <w:sz w:val="21"/>
          <w:szCs w:val="21"/>
        </w:rPr>
        <w:t>）</w:t>
      </w:r>
    </w:p>
    <w:p w14:paraId="2CBEB150">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温控系统模块：恒温板温度与设定的温度偏差不超过±0.5℃。</w:t>
      </w:r>
    </w:p>
    <w:p w14:paraId="2AA508EE">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 浓度、活力动态检测模块具备相差版与灰度版分析功能。</w:t>
      </w:r>
      <w:r>
        <w:rPr>
          <w:rFonts w:hint="eastAsia" w:asciiTheme="minorEastAsia" w:hAnsiTheme="minorEastAsia" w:eastAsiaTheme="minorEastAsia" w:cstheme="minorEastAsia"/>
          <w:kern w:val="0"/>
          <w:sz w:val="21"/>
          <w:szCs w:val="21"/>
        </w:rPr>
        <w:t>（需提供医疗器械产品注册检测检验报告</w:t>
      </w:r>
      <w:r>
        <w:rPr>
          <w:rFonts w:hint="eastAsia" w:asciiTheme="minorEastAsia" w:hAnsiTheme="minorEastAsia" w:eastAsiaTheme="minorEastAsia" w:cstheme="minorEastAsia"/>
          <w:bCs/>
          <w:sz w:val="21"/>
          <w:szCs w:val="21"/>
        </w:rPr>
        <w:t>）</w:t>
      </w:r>
    </w:p>
    <w:p w14:paraId="18545526">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 动态学自动分析项目：检测精子总数、密度/浓度、每个速度分级的数据（个数、比例、浓度、精子总数）、精子总活力、平均曲线速度、平均直线速度、平均路径速度、侧摆幅值、鞭打频率、平均角度、快速直线个数、快速直线浓度、快速直线活率、直线性、摆动性、前向性。</w:t>
      </w:r>
    </w:p>
    <w:p w14:paraId="76535F9A">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 具备尾部识别功能，可对杂质、圆细胞、上皮细胞等非精子细胞进行自动过滤，精子凝集度自动识别和过滤功能。</w:t>
      </w:r>
    </w:p>
    <w:p w14:paraId="77879E1D">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8.可任意切换世界卫生组织人类精液检查与处理实验室手册第四版、第五版和第六版的标准。</w:t>
      </w:r>
      <w:r>
        <w:rPr>
          <w:rFonts w:hint="eastAsia" w:asciiTheme="minorEastAsia" w:hAnsiTheme="minorEastAsia" w:eastAsiaTheme="minorEastAsia" w:cstheme="minorEastAsia"/>
          <w:kern w:val="0"/>
          <w:sz w:val="21"/>
          <w:szCs w:val="21"/>
        </w:rPr>
        <w:t>（需提供医疗器械产品注册检测检验报告）</w:t>
      </w:r>
    </w:p>
    <w:p w14:paraId="28C9B27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9.精子动力学分析模块</w:t>
      </w:r>
      <w:r>
        <w:rPr>
          <w:rFonts w:hint="eastAsia" w:asciiTheme="minorEastAsia" w:hAnsiTheme="minorEastAsia" w:eastAsiaTheme="minorEastAsia" w:cstheme="minorEastAsia"/>
          <w:kern w:val="0"/>
          <w:sz w:val="21"/>
          <w:szCs w:val="21"/>
        </w:rPr>
        <w:t>（符合率需提供医疗器械产品注册检测检验报告）</w:t>
      </w:r>
    </w:p>
    <w:p w14:paraId="5CCFBF9D">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（1）精子前向运动PR符合率≥96%；</w:t>
      </w:r>
    </w:p>
    <w:p w14:paraId="28F6E21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（2）精子非前向运动NP符合率≥95%；</w:t>
      </w:r>
    </w:p>
    <w:p w14:paraId="224BA5E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（3）精子不活动IM符合率≥98%。</w:t>
      </w:r>
    </w:p>
    <w:p w14:paraId="4B2969B0">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10.杂质误认率：分析仪识别杂质的误认率≤3%。</w:t>
      </w:r>
      <w:r>
        <w:rPr>
          <w:rFonts w:hint="eastAsia" w:asciiTheme="minorEastAsia" w:hAnsiTheme="minorEastAsia" w:eastAsiaTheme="minorEastAsia" w:cstheme="minorEastAsia"/>
          <w:kern w:val="0"/>
          <w:sz w:val="21"/>
          <w:szCs w:val="21"/>
        </w:rPr>
        <w:t>（需提供医疗器械产品注册检测检验报告）</w:t>
      </w:r>
    </w:p>
    <w:p w14:paraId="0EC850B1">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11.精子个数的捕捉准确率误差≤2%，可采集的视野数范围为1～600组。</w:t>
      </w:r>
      <w:r>
        <w:rPr>
          <w:rFonts w:hint="eastAsia" w:asciiTheme="minorEastAsia" w:hAnsiTheme="minorEastAsia" w:eastAsiaTheme="minorEastAsia" w:cstheme="minorEastAsia"/>
          <w:kern w:val="0"/>
          <w:sz w:val="21"/>
          <w:szCs w:val="21"/>
        </w:rPr>
        <w:t>（需提供医疗器械产品注册检测检验报告）</w:t>
      </w:r>
    </w:p>
    <w:p w14:paraId="35CC6247">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 产品注册技术要求中</w:t>
      </w:r>
      <w:r>
        <w:rPr>
          <w:rFonts w:hint="eastAsia" w:asciiTheme="minorEastAsia" w:hAnsiTheme="minorEastAsia" w:eastAsiaTheme="minorEastAsia" w:cstheme="minorEastAsia"/>
          <w:kern w:val="0"/>
          <w:sz w:val="21"/>
          <w:szCs w:val="21"/>
        </w:rPr>
        <w:t>采集分析时间≤1秒。（需提供医疗器械产品注册检测检验报告）</w:t>
      </w:r>
    </w:p>
    <w:p w14:paraId="7CE31EAC">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13. 浓度分析准确度：对已知浓度的微粒测试液进行分析，检测结果相对偏差应在±5%范围内。</w:t>
      </w:r>
      <w:r>
        <w:rPr>
          <w:rFonts w:hint="eastAsia" w:asciiTheme="minorEastAsia" w:hAnsiTheme="minorEastAsia" w:eastAsiaTheme="minorEastAsia" w:cstheme="minorEastAsia"/>
          <w:kern w:val="0"/>
          <w:sz w:val="21"/>
          <w:szCs w:val="21"/>
        </w:rPr>
        <w:t>（需提供医疗器械产品注册检测检验报告）</w:t>
      </w:r>
    </w:p>
    <w:p w14:paraId="301CA75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重复性</w:t>
      </w:r>
      <w:r>
        <w:rPr>
          <w:rFonts w:hint="eastAsia" w:asciiTheme="minorEastAsia" w:hAnsiTheme="minorEastAsia" w:eastAsiaTheme="minorEastAsia" w:cstheme="minorEastAsia"/>
          <w:kern w:val="0"/>
          <w:sz w:val="21"/>
          <w:szCs w:val="21"/>
        </w:rPr>
        <w:t>（需提供医疗器械注册检测检验报告）</w:t>
      </w:r>
    </w:p>
    <w:p w14:paraId="564D96CA">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（1）分析仪进行浓度分析， 检测结果的变异系数CV值≤6%；</w:t>
      </w:r>
    </w:p>
    <w:p w14:paraId="799EB4D2">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 xml:space="preserve">（2）分析仪进行总活力分析， 检测结果的变异系数CV值≤6%。 </w:t>
      </w:r>
    </w:p>
    <w:p w14:paraId="588BDCA4">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 稳定性</w:t>
      </w:r>
      <w:r>
        <w:rPr>
          <w:rFonts w:hint="eastAsia" w:asciiTheme="minorEastAsia" w:hAnsiTheme="minorEastAsia" w:eastAsiaTheme="minorEastAsia" w:cstheme="minorEastAsia"/>
          <w:kern w:val="0"/>
          <w:sz w:val="21"/>
          <w:szCs w:val="21"/>
        </w:rPr>
        <w:t>（需提供医疗器械注册检测检验报告）</w:t>
      </w:r>
    </w:p>
    <w:p w14:paraId="089C5F44">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（1）开机8小时内，分析仪进行浓度分析，检测结果的变异系数（CV,%）≤6%；</w:t>
      </w:r>
    </w:p>
    <w:p w14:paraId="71FF6574">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（2）开机8小时内，分析仪进行形态分析，检测结果的变异系数（CV,%）≤6%；</w:t>
      </w:r>
    </w:p>
    <w:p w14:paraId="6DE4045B">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（3）开机8小时内，分析仪进行精子DNA碎片分析，检测结果的变异系数（CV,%）≤6%。</w:t>
      </w:r>
    </w:p>
    <w:p w14:paraId="5F880294">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 具备质控功能。</w:t>
      </w:r>
    </w:p>
    <w:p w14:paraId="7FD7DAC7">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 xml:space="preserve">17. </w:t>
      </w:r>
      <w:r>
        <w:rPr>
          <w:rFonts w:hint="eastAsia" w:asciiTheme="minorEastAsia" w:hAnsiTheme="minorEastAsia" w:eastAsiaTheme="minorEastAsia" w:cstheme="minorEastAsia"/>
          <w:bCs/>
          <w:sz w:val="21"/>
          <w:szCs w:val="21"/>
        </w:rPr>
        <w:t>数据库管理：具有数据库自动备份和恢复功能，同时兼容Microsoft SQL Serevr和My Sql。</w:t>
      </w:r>
    </w:p>
    <w:p w14:paraId="16F0FD88">
      <w:pPr>
        <w:spacing w:line="360" w:lineRule="auto"/>
        <w:rPr>
          <w:rFonts w:hint="eastAsia" w:asciiTheme="minorEastAsia" w:hAnsiTheme="minorEastAsia" w:eastAsiaTheme="minorEastAsia" w:cstheme="minorEastAsia"/>
          <w:bCs/>
          <w:sz w:val="21"/>
          <w:szCs w:val="21"/>
        </w:rPr>
      </w:pPr>
    </w:p>
    <w:p w14:paraId="363AF9FD">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二、配置要求：显微图像扫描模块1套，</w:t>
      </w:r>
      <w:r>
        <w:rPr>
          <w:rFonts w:hint="eastAsia" w:asciiTheme="minorEastAsia" w:hAnsiTheme="minorEastAsia" w:eastAsiaTheme="minorEastAsia" w:cstheme="minorEastAsia"/>
          <w:color w:val="000000"/>
          <w:kern w:val="0"/>
          <w:sz w:val="21"/>
          <w:szCs w:val="21"/>
        </w:rPr>
        <w:t>摄像机（CCD）</w:t>
      </w:r>
      <w:r>
        <w:rPr>
          <w:rFonts w:hint="eastAsia" w:asciiTheme="minorEastAsia" w:hAnsiTheme="minorEastAsia" w:eastAsiaTheme="minorEastAsia" w:cstheme="minorEastAsia"/>
          <w:sz w:val="21"/>
          <w:szCs w:val="21"/>
        </w:rPr>
        <w:t>1套，</w:t>
      </w:r>
      <w:r>
        <w:rPr>
          <w:rFonts w:hint="eastAsia" w:asciiTheme="minorEastAsia" w:hAnsiTheme="minorEastAsia" w:eastAsiaTheme="minorEastAsia" w:cstheme="minorEastAsia"/>
          <w:color w:val="000000"/>
          <w:kern w:val="0"/>
          <w:sz w:val="21"/>
          <w:szCs w:val="21"/>
        </w:rPr>
        <w:t>主机</w:t>
      </w:r>
      <w:r>
        <w:rPr>
          <w:rFonts w:hint="eastAsia" w:asciiTheme="minorEastAsia" w:hAnsiTheme="minorEastAsia" w:eastAsiaTheme="minorEastAsia" w:cstheme="minorEastAsia"/>
          <w:sz w:val="21"/>
          <w:szCs w:val="21"/>
        </w:rPr>
        <w:t>1套，</w:t>
      </w:r>
      <w:r>
        <w:rPr>
          <w:rFonts w:hint="eastAsia" w:asciiTheme="minorEastAsia" w:hAnsiTheme="minorEastAsia" w:eastAsiaTheme="minorEastAsia" w:cstheme="minorEastAsia"/>
          <w:color w:val="000000"/>
          <w:kern w:val="0"/>
          <w:sz w:val="21"/>
          <w:szCs w:val="21"/>
        </w:rPr>
        <w:t>显示器</w:t>
      </w:r>
      <w:r>
        <w:rPr>
          <w:rFonts w:hint="eastAsia" w:asciiTheme="minorEastAsia" w:hAnsiTheme="minorEastAsia" w:eastAsiaTheme="minorEastAsia" w:cstheme="minorEastAsia"/>
          <w:sz w:val="21"/>
          <w:szCs w:val="21"/>
        </w:rPr>
        <w:t>1套，</w:t>
      </w:r>
      <w:r>
        <w:rPr>
          <w:rFonts w:hint="eastAsia" w:asciiTheme="minorEastAsia" w:hAnsiTheme="minorEastAsia" w:eastAsiaTheme="minorEastAsia" w:cstheme="minorEastAsia"/>
          <w:color w:val="000000"/>
          <w:kern w:val="0"/>
          <w:sz w:val="21"/>
          <w:szCs w:val="21"/>
        </w:rPr>
        <w:t>打印机</w:t>
      </w:r>
      <w:r>
        <w:rPr>
          <w:rFonts w:hint="eastAsia" w:asciiTheme="minorEastAsia" w:hAnsiTheme="minorEastAsia" w:eastAsiaTheme="minorEastAsia" w:cstheme="minorEastAsia"/>
          <w:sz w:val="21"/>
          <w:szCs w:val="21"/>
        </w:rPr>
        <w:t>1套，</w:t>
      </w:r>
      <w:r>
        <w:rPr>
          <w:rFonts w:hint="eastAsia" w:asciiTheme="minorEastAsia" w:hAnsiTheme="minorEastAsia" w:eastAsiaTheme="minorEastAsia" w:cstheme="minorEastAsia"/>
          <w:color w:val="000000"/>
          <w:kern w:val="0"/>
          <w:sz w:val="21"/>
          <w:szCs w:val="21"/>
        </w:rPr>
        <w:t>动态分析（浓度及活力）软件</w:t>
      </w:r>
      <w:r>
        <w:rPr>
          <w:rFonts w:hint="eastAsia" w:asciiTheme="minorEastAsia" w:hAnsiTheme="minorEastAsia" w:eastAsiaTheme="minorEastAsia" w:cstheme="minorEastAsia"/>
          <w:sz w:val="21"/>
          <w:szCs w:val="21"/>
        </w:rPr>
        <w:t>1套。</w:t>
      </w:r>
    </w:p>
    <w:p w14:paraId="0F951F8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三、配套使用的试剂耗材，请列出试剂耗材名称、单价、预计年使用量及金额等</w:t>
      </w:r>
    </w:p>
    <w:p w14:paraId="66E63B01">
      <w:pPr>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一次性精子检测板，</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元/人份，5000人份，</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w:t>
      </w:r>
    </w:p>
    <w:p w14:paraId="6419096D">
      <w:pPr>
        <w:spacing w:line="240" w:lineRule="auto"/>
        <w:ind w:firstLine="0" w:firstLineChars="0"/>
        <w:rPr>
          <w:rFonts w:hint="eastAsia" w:cs="宋体" w:asciiTheme="majorEastAsia" w:hAnsiTheme="majorEastAsia" w:eastAsiaTheme="majorEastAsia"/>
          <w:szCs w:val="21"/>
        </w:rPr>
      </w:pPr>
    </w:p>
    <w:p w14:paraId="1FAACFEF">
      <w:pPr>
        <w:spacing w:line="240" w:lineRule="auto"/>
        <w:ind w:firstLine="0" w:firstLineChars="0"/>
        <w:rPr>
          <w:rFonts w:hint="eastAsia" w:cs="宋体" w:asciiTheme="majorEastAsia" w:hAnsiTheme="majorEastAsia" w:eastAsiaTheme="majorEastAsia"/>
          <w:b/>
          <w:bCs/>
          <w:sz w:val="24"/>
          <w:szCs w:val="24"/>
          <w:highlight w:val="lightGray"/>
          <w:lang w:val="en-US" w:eastAsia="zh-CN"/>
        </w:rPr>
      </w:pPr>
    </w:p>
    <w:p w14:paraId="3DAF50FD">
      <w:pPr>
        <w:spacing w:line="240" w:lineRule="auto"/>
        <w:ind w:firstLine="0" w:firstLineChars="0"/>
        <w:rPr>
          <w:rFonts w:hint="eastAsia" w:cs="宋体" w:asciiTheme="majorEastAsia" w:hAnsiTheme="majorEastAsia" w:eastAsiaTheme="majorEastAsia"/>
          <w:b/>
          <w:bCs/>
          <w:sz w:val="24"/>
          <w:szCs w:val="24"/>
          <w:highlight w:val="lightGray"/>
          <w:lang w:val="en-US" w:eastAsia="zh-CN"/>
        </w:rPr>
      </w:pPr>
      <w:r>
        <w:rPr>
          <w:rFonts w:hint="eastAsia" w:cs="宋体" w:asciiTheme="majorEastAsia" w:hAnsiTheme="majorEastAsia" w:eastAsiaTheme="majorEastAsia"/>
          <w:b/>
          <w:bCs/>
          <w:sz w:val="24"/>
          <w:szCs w:val="24"/>
          <w:highlight w:val="lightGray"/>
          <w:lang w:val="en-US" w:eastAsia="zh-CN"/>
        </w:rPr>
        <w:t>四、</w:t>
      </w:r>
      <w:r>
        <w:rPr>
          <w:rFonts w:hint="eastAsia" w:ascii="宋体" w:hAnsi="宋体" w:eastAsia="宋体" w:cs="宋体"/>
          <w:b/>
          <w:bCs/>
          <w:i w:val="0"/>
          <w:iCs w:val="0"/>
          <w:color w:val="auto"/>
          <w:kern w:val="0"/>
          <w:sz w:val="24"/>
          <w:szCs w:val="24"/>
          <w:highlight w:val="lightGray"/>
          <w:u w:val="none"/>
          <w:lang w:val="en-US" w:eastAsia="zh-CN" w:bidi="ar"/>
        </w:rPr>
        <w:t>全身应用彩色多普勒超声诊断仪</w:t>
      </w:r>
      <w:r>
        <w:rPr>
          <w:rFonts w:hint="eastAsia" w:cs="宋体" w:asciiTheme="majorEastAsia" w:hAnsiTheme="majorEastAsia" w:eastAsiaTheme="majorEastAsia"/>
          <w:b/>
          <w:bCs/>
          <w:sz w:val="24"/>
          <w:szCs w:val="24"/>
          <w:highlight w:val="lightGray"/>
          <w:lang w:val="en-US" w:eastAsia="zh-CN"/>
        </w:rPr>
        <w:t>（1套、共45万元）</w:t>
      </w:r>
    </w:p>
    <w:p w14:paraId="6586A1A0">
      <w:pPr>
        <w:spacing w:line="240" w:lineRule="auto"/>
        <w:ind w:firstLine="0" w:firstLineChars="0"/>
        <w:rPr>
          <w:rFonts w:hint="eastAsia" w:cs="宋体" w:asciiTheme="majorEastAsia" w:hAnsiTheme="majorEastAsia" w:eastAsiaTheme="majorEastAsia"/>
          <w:szCs w:val="21"/>
          <w:lang w:val="en-US" w:eastAsia="zh-CN"/>
        </w:rPr>
      </w:pPr>
      <w:r>
        <w:rPr>
          <w:rFonts w:hint="eastAsia" w:cs="宋体" w:asciiTheme="majorEastAsia" w:hAnsiTheme="majorEastAsia" w:eastAsiaTheme="majorEastAsia"/>
          <w:szCs w:val="21"/>
          <w:lang w:val="en-US" w:eastAsia="zh-CN"/>
        </w:rPr>
        <w:t xml:space="preserve"> </w:t>
      </w:r>
    </w:p>
    <w:p w14:paraId="11F0A448">
      <w:pPr>
        <w:numPr>
          <w:ilvl w:val="0"/>
          <w:numId w:val="6"/>
        </w:numPr>
        <w:spacing w:line="38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设备性能需求（购置参数）：</w:t>
      </w:r>
    </w:p>
    <w:p w14:paraId="331FEB33">
      <w:pPr>
        <w:keepNext/>
        <w:numPr>
          <w:ilvl w:val="0"/>
          <w:numId w:val="7"/>
        </w:numPr>
        <w:snapToGrid w:val="0"/>
        <w:outlineLvl w:val="0"/>
        <w:rPr>
          <w:rFonts w:hint="eastAsia" w:asciiTheme="minorEastAsia" w:hAnsiTheme="minorEastAsia" w:eastAsiaTheme="minorEastAsia" w:cstheme="minorEastAsia"/>
          <w:b w:val="0"/>
          <w:bCs w:val="0"/>
          <w:kern w:val="32"/>
          <w:sz w:val="21"/>
          <w:szCs w:val="21"/>
          <w:lang w:bidi="ar-SA"/>
        </w:rPr>
      </w:pPr>
      <w:r>
        <w:rPr>
          <w:rFonts w:hint="eastAsia" w:asciiTheme="minorEastAsia" w:hAnsiTheme="minorEastAsia" w:eastAsiaTheme="minorEastAsia" w:cstheme="minorEastAsia"/>
          <w:b w:val="0"/>
          <w:bCs w:val="0"/>
          <w:kern w:val="32"/>
          <w:sz w:val="21"/>
          <w:szCs w:val="21"/>
          <w:lang w:bidi="ar-SA"/>
        </w:rPr>
        <w:t>主要技术规格及系统概述：</w:t>
      </w:r>
    </w:p>
    <w:p w14:paraId="023E7EC8">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主机成像系统：</w:t>
      </w:r>
    </w:p>
    <w:p w14:paraId="2310EF34">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高分辨率液晶显示器≥21英寸，屏幕亮度和对比度数字可调，显示器亮度可根据环境光自动调节，可上下左右任意旋转，可前后折叠</w:t>
      </w:r>
    </w:p>
    <w:p w14:paraId="358C6B01">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操作面板具备防眩光彩色触摸屏≥13英寸。触摸屏可独立调节角度≥50度触摸屏支持手势控制，可自定义≥7个双指手势功能</w:t>
      </w:r>
    </w:p>
    <w:p w14:paraId="736D7432">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控制面板全空间悬浮式调节，可同时旋转和升降，前后拉升。旋转角度 ≥180度，上下移动≥30cm</w:t>
      </w:r>
    </w:p>
    <w:p w14:paraId="1B1C6691">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具备多倍信号并行处理技术</w:t>
      </w:r>
    </w:p>
    <w:p w14:paraId="4E0C069A">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具备数字化全程动态聚焦，数字化可变孔径及动态变迹，A/D≥12 bit</w:t>
      </w:r>
    </w:p>
    <w:p w14:paraId="3F02BB06">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具备数字化二维灰阶成像及M型显像单元</w:t>
      </w:r>
    </w:p>
    <w:p w14:paraId="1506C3E9">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具备彩色多普勒成像技术</w:t>
      </w:r>
    </w:p>
    <w:p w14:paraId="6B3B8011">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彩色多普勒能量图技术</w:t>
      </w:r>
    </w:p>
    <w:p w14:paraId="7B21E199">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具备方向性能量图技术</w:t>
      </w:r>
    </w:p>
    <w:p w14:paraId="40EF2FFD">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具备数字化频谱多普勒显示和分析单元(包括PW、CW和HPRF)</w:t>
      </w:r>
    </w:p>
    <w:p w14:paraId="1354CF38">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具备智能化一键图像优化技术，自动连续优化图像，具备独立按键。可支持对二维灰阶、彩色多普勒、频谱多普勒、及造影图像的优化。</w:t>
      </w:r>
    </w:p>
    <w:p w14:paraId="73638E2C">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空间复合成像技术，支持彩色多普勒模式</w:t>
      </w:r>
    </w:p>
    <w:p w14:paraId="43D3C26C">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斑点噪声抑制技术，在二维图像，造影成像模式及三维成像下可支持≥7档调节。</w:t>
      </w:r>
    </w:p>
    <w:p w14:paraId="3834DA75">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具备自动血流跟踪技术，可以实现ROI框位置和角度的自动优化，提供Color/Power模式下彩色血流/能量图像的实时动态优化</w:t>
      </w:r>
    </w:p>
    <w:p w14:paraId="199352A2">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穿刺针增强技术，凸阵和线阵探头均可支持，具有双屏实时对比显示</w:t>
      </w:r>
    </w:p>
    <w:p w14:paraId="17F0A2D1">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图像放大，支持高清放大和全局放大、局部放大，放大倍数≥16倍;支持≥2种放大全屏放大模式。</w:t>
      </w:r>
    </w:p>
    <w:p w14:paraId="1E879CC8">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支持线阵探头双B图像拼接</w:t>
      </w:r>
    </w:p>
    <w:p w14:paraId="120182EF">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声功率可调</w:t>
      </w:r>
    </w:p>
    <w:p w14:paraId="257034E4">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支持语音注释，可将语音注释信息保存到电影文件中，支持在超声设备或是在PC端回放语音注释</w:t>
      </w:r>
    </w:p>
    <w:p w14:paraId="1722BB7E">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可支持超声远程会诊，通过设备直接发送图片或视频至会诊专家端，便于专家远程会诊</w:t>
      </w:r>
    </w:p>
    <w:p w14:paraId="376234EF">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shd w:val="clear" w:color="auto" w:fill="FFFFFF"/>
          <w:lang w:bidi="ar-SA"/>
        </w:rPr>
        <w:t>先进成像技术：</w:t>
      </w:r>
    </w:p>
    <w:p w14:paraId="38DC9251">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内置超声教学软件，提供解剖示意图、标准超声图像，包含腹部、心脏、乳腺、甲状腺、妇科、产科等切面。同时，支持腹部及心脏各≥5个标准切面的自动识别。</w:t>
      </w:r>
    </w:p>
    <w:p w14:paraId="39E3540F">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测量和分析：(B型、M型、D型、彩色模式)</w:t>
      </w:r>
    </w:p>
    <w:p w14:paraId="4F97E042">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常规测量软件包</w:t>
      </w:r>
    </w:p>
    <w:p w14:paraId="73760ABB">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基础测量包，2B模式下支持双幅跨幅测量</w:t>
      </w:r>
    </w:p>
    <w:p w14:paraId="68C6451D">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定点测速功能，彩色多普勒模式下可同屏测量血管腔内≥7个任意位置的血流速度</w:t>
      </w:r>
    </w:p>
    <w:p w14:paraId="13EC0327">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半自动面积及径线测量 自动描迹、测量和计算工具，可支持径、周长、面积、平均灰度、径1/ 径2、径2/ 径1 等测量结果</w:t>
      </w:r>
    </w:p>
    <w:p w14:paraId="066855BB">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全科测量包，自动生成报告：腹部、妇科、产科、心脏、泌尿、小器官、儿科、血管等。</w:t>
      </w:r>
    </w:p>
    <w:p w14:paraId="2AC0A28D">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妇科测量软件包：具备专业卵泡评估报告，多项IVF评估指标及发育曲线分析。</w:t>
      </w:r>
    </w:p>
    <w:p w14:paraId="33095F3C">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图像存储(电影)回放重显及病案管理单元</w:t>
      </w:r>
    </w:p>
    <w:p w14:paraId="165E5973">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硬盘≥1T，图像存储，电影回放：≥150秒</w:t>
      </w:r>
    </w:p>
    <w:p w14:paraId="5DD099DE">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多种导出图像格式：动态图像、静态图像以PC格式直接导出。导出、备份图像数据资料同时，可进行实时检查，不影响检查操作</w:t>
      </w:r>
    </w:p>
    <w:p w14:paraId="11129620">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支持向后存储和向前存储，时间长度可预置，向后存储≥6分钟的电影，对剪接和编辑的电影图像可多次存储和多次编辑；图像和电影均可以实时扫描、冻结状态下直接存储，并且具有独立的存储功能键</w:t>
      </w:r>
    </w:p>
    <w:p w14:paraId="112AF6CA">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原始数据处理，支持动、静态图像冻结后，最大可调节参数≥32项</w:t>
      </w:r>
    </w:p>
    <w:p w14:paraId="09EDF47E">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连通性要求：</w:t>
      </w:r>
    </w:p>
    <w:p w14:paraId="3D66CFEE">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支持网络连接，能开放DICOM 3.0接口满足任何厂家PACS联网传输</w:t>
      </w:r>
    </w:p>
    <w:p w14:paraId="0F2BA1D6">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支持移动设备无线传输，一键传输图片到智能手机终端或PC端。支持手机等移动终端APP远程操作设备</w:t>
      </w:r>
    </w:p>
    <w:p w14:paraId="3BE16C8F">
      <w:pPr>
        <w:keepNext/>
        <w:numPr>
          <w:ilvl w:val="0"/>
          <w:numId w:val="7"/>
        </w:numPr>
        <w:snapToGrid w:val="0"/>
        <w:outlineLvl w:val="0"/>
        <w:rPr>
          <w:rFonts w:hint="eastAsia" w:asciiTheme="minorEastAsia" w:hAnsiTheme="minorEastAsia" w:eastAsiaTheme="minorEastAsia" w:cstheme="minorEastAsia"/>
          <w:b w:val="0"/>
          <w:bCs w:val="0"/>
          <w:kern w:val="32"/>
          <w:sz w:val="21"/>
          <w:szCs w:val="21"/>
          <w:lang w:bidi="ar-SA"/>
        </w:rPr>
      </w:pPr>
      <w:r>
        <w:rPr>
          <w:rFonts w:hint="eastAsia" w:asciiTheme="minorEastAsia" w:hAnsiTheme="minorEastAsia" w:eastAsiaTheme="minorEastAsia" w:cstheme="minorEastAsia"/>
          <w:b w:val="0"/>
          <w:bCs w:val="0"/>
          <w:kern w:val="32"/>
          <w:sz w:val="21"/>
          <w:szCs w:val="21"/>
          <w:lang w:bidi="ar-SA"/>
        </w:rPr>
        <w:t>系统技术参数及要求：</w:t>
      </w:r>
    </w:p>
    <w:p w14:paraId="21D4CD52">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系统通用功能：</w:t>
      </w:r>
    </w:p>
    <w:p w14:paraId="664944A5">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主机探头接口≥4个，大小一致，全激活、相互通用。</w:t>
      </w:r>
    </w:p>
    <w:p w14:paraId="357399AC">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预设条件：针对不同的检查脏器，预置最佳化图像的检查条件，减少操作时的调节。</w:t>
      </w:r>
    </w:p>
    <w:p w14:paraId="1A81EC80">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探头规格</w:t>
      </w:r>
    </w:p>
    <w:p w14:paraId="6F9C4C68">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频率：超宽频带或变频探头，所配探头均为宽频变频探头</w:t>
      </w:r>
    </w:p>
    <w:p w14:paraId="3B46698E">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二维、谐波、彩色及频谱多普勒模式分别独立变频，≥3段；</w:t>
      </w:r>
    </w:p>
    <w:p w14:paraId="43ACACFC">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腹部凸阵探头（2.0-5.5MHz）</w:t>
      </w:r>
    </w:p>
    <w:p w14:paraId="08F4D8DA">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腔内探头（3-11MHz），扫描角度≥170°</w:t>
      </w:r>
    </w:p>
    <w:p w14:paraId="324465F7">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二维显像主要参数：</w:t>
      </w:r>
    </w:p>
    <w:p w14:paraId="5E62A325">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成像速度：凸阵探头，18CM深度时, 全视野， 帧率≥39帧/秒</w:t>
      </w:r>
    </w:p>
    <w:p w14:paraId="2939F912">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增益调节：B/M/D分别独立可调，≥100，可视可调步进≥1。</w:t>
      </w:r>
    </w:p>
    <w:p w14:paraId="23839A87">
      <w:pPr>
        <w:numPr>
          <w:ilvl w:val="2"/>
          <w:numId w:val="7"/>
        </w:numPr>
        <w:snapToGrid w:val="0"/>
        <w:ind w:left="567"/>
        <w:outlineLvl w:val="2"/>
        <w:rPr>
          <w:rFonts w:hint="eastAsia" w:asciiTheme="minorEastAsia" w:hAnsiTheme="minorEastAsia" w:eastAsiaTheme="minorEastAsia" w:cstheme="minorEastAsia"/>
          <w:b w:val="0"/>
          <w:bCs w:val="0"/>
          <w:kern w:val="2"/>
          <w:sz w:val="21"/>
          <w:szCs w:val="21"/>
          <w:shd w:val="clear" w:color="auto" w:fill="FFFFFF"/>
          <w:lang w:bidi="ar-SA"/>
        </w:rPr>
      </w:pPr>
      <w:r>
        <w:rPr>
          <w:rFonts w:hint="eastAsia" w:asciiTheme="minorEastAsia" w:hAnsiTheme="minorEastAsia" w:eastAsiaTheme="minorEastAsia" w:cstheme="minorEastAsia"/>
          <w:b w:val="0"/>
          <w:bCs w:val="0"/>
          <w:kern w:val="2"/>
          <w:sz w:val="21"/>
          <w:szCs w:val="21"/>
          <w:shd w:val="clear" w:color="auto" w:fill="FFFFFF"/>
          <w:lang w:bidi="ar-SA"/>
        </w:rPr>
        <w:t>TGC: ≥8段，LGC: ≥8段</w:t>
      </w:r>
    </w:p>
    <w:p w14:paraId="0463BBE2">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显示深度≥38cm</w:t>
      </w:r>
    </w:p>
    <w:p w14:paraId="4A53E138">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伪彩图谱: ≥8种</w:t>
      </w:r>
    </w:p>
    <w:p w14:paraId="342215C4">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最大帧率: ≥600 帧/秒</w:t>
      </w:r>
    </w:p>
    <w:p w14:paraId="449AEF37">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动态范围：≥240，可视可调</w:t>
      </w:r>
    </w:p>
    <w:p w14:paraId="6878C5D2">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频谱多普勒：</w:t>
      </w:r>
    </w:p>
    <w:p w14:paraId="6A91B2DC">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显示模式：脉冲多普勒、高脉冲重复频率、连续多普勒</w:t>
      </w:r>
    </w:p>
    <w:p w14:paraId="4DEF7D6C">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最大测量速度：≥7.2m/s（连续多普勒速度: ≥35m/s）</w:t>
      </w:r>
    </w:p>
    <w:p w14:paraId="3FE198A6">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最低测量速度：≤13.1cm/s</w:t>
      </w:r>
    </w:p>
    <w:p w14:paraId="7B4A9FB3">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偏转角度: ≥±30° ，并支持快速角度校正</w:t>
      </w:r>
    </w:p>
    <w:p w14:paraId="128676D8">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 xml:space="preserve">取样宽度及位置范围： 0.5-30mm </w:t>
      </w:r>
    </w:p>
    <w:p w14:paraId="2166B05A">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零位移动：</w:t>
      </w:r>
      <w:r>
        <w:rPr>
          <w:rFonts w:hint="eastAsia" w:asciiTheme="minorEastAsia" w:hAnsiTheme="minorEastAsia" w:eastAsiaTheme="minorEastAsia" w:cstheme="minorEastAsia"/>
          <w:b w:val="0"/>
          <w:bCs w:val="0"/>
          <w:kern w:val="2"/>
          <w:sz w:val="21"/>
          <w:szCs w:val="21"/>
          <w:lang w:bidi="ar-SA"/>
        </w:rPr>
        <w:sym w:font="Symbol" w:char="F0B3"/>
      </w:r>
      <w:r>
        <w:rPr>
          <w:rFonts w:hint="eastAsia" w:asciiTheme="minorEastAsia" w:hAnsiTheme="minorEastAsia" w:eastAsiaTheme="minorEastAsia" w:cstheme="minorEastAsia"/>
          <w:b w:val="0"/>
          <w:bCs w:val="0"/>
          <w:kern w:val="2"/>
          <w:sz w:val="21"/>
          <w:szCs w:val="21"/>
          <w:lang w:bidi="ar-SA"/>
        </w:rPr>
        <w:t>8级</w:t>
      </w:r>
    </w:p>
    <w:p w14:paraId="4B59E4DE">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实时自动包络频谱并完成频谱测量计算</w:t>
      </w:r>
    </w:p>
    <w:p w14:paraId="0E534326">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彩色多普勒：</w:t>
      </w:r>
    </w:p>
    <w:p w14:paraId="346C954C">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显示方式：包括速度、速度方差、能量、方向能量显示等</w:t>
      </w:r>
    </w:p>
    <w:p w14:paraId="0124B395">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速度标识功能，标识不同血流速度边界，观察血流分布及速度梯度</w:t>
      </w:r>
    </w:p>
    <w:p w14:paraId="27F7DDB5">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取样框偏转: ≥±30°，取样框可根据探头血流方向自动调节</w:t>
      </w:r>
    </w:p>
    <w:p w14:paraId="3E0ACE29">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最大帧率: ≥220 帧/秒</w:t>
      </w:r>
    </w:p>
    <w:p w14:paraId="3DB8ADC2">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彩色增强功能：彩色多普勒能量图(PDI);组织多普勒(TDI)</w:t>
      </w:r>
    </w:p>
    <w:p w14:paraId="28E02BC3">
      <w:pPr>
        <w:numPr>
          <w:ilvl w:val="2"/>
          <w:numId w:val="7"/>
        </w:numPr>
        <w:snapToGrid w:val="0"/>
        <w:ind w:left="567"/>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彩色频谱自动反转：当调节彩色取样框从一侧偏转向另一侧时，系统可自动触发反转功能，保证偏转调节过程中，血管内血流颜色不变</w:t>
      </w:r>
    </w:p>
    <w:p w14:paraId="44DBEA5D">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记录装置：</w:t>
      </w:r>
    </w:p>
    <w:p w14:paraId="2E7DF337">
      <w:pPr>
        <w:numPr>
          <w:ilvl w:val="2"/>
          <w:numId w:val="7"/>
        </w:numPr>
        <w:snapToGrid w:val="0"/>
        <w:ind w:left="1050" w:leftChars="300" w:hanging="420"/>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内置一体化超声工作站：数字化储存静态及动态图像，图像支持BMP、JPG、TIFF、DCM、 AVI、MP4格式直接导出。</w:t>
      </w:r>
    </w:p>
    <w:p w14:paraId="7DD3434B">
      <w:pPr>
        <w:numPr>
          <w:ilvl w:val="2"/>
          <w:numId w:val="7"/>
        </w:numPr>
        <w:snapToGrid w:val="0"/>
        <w:ind w:left="1050" w:leftChars="300" w:hanging="420"/>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内置数字录像机可用于教学，存储时间≥60分钟</w:t>
      </w:r>
    </w:p>
    <w:p w14:paraId="5CD2093E">
      <w:pPr>
        <w:numPr>
          <w:ilvl w:val="2"/>
          <w:numId w:val="7"/>
        </w:numPr>
        <w:snapToGrid w:val="0"/>
        <w:ind w:left="1050" w:leftChars="300" w:hanging="420"/>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内置USB接口≥6</w:t>
      </w:r>
    </w:p>
    <w:p w14:paraId="6E7E0CA6">
      <w:pPr>
        <w:numPr>
          <w:ilvl w:val="1"/>
          <w:numId w:val="7"/>
        </w:numPr>
        <w:snapToGrid w:val="0"/>
        <w:outlineLvl w:val="1"/>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外设和附件</w:t>
      </w:r>
    </w:p>
    <w:p w14:paraId="498332EE">
      <w:pPr>
        <w:numPr>
          <w:ilvl w:val="2"/>
          <w:numId w:val="7"/>
        </w:numPr>
        <w:snapToGrid w:val="0"/>
        <w:ind w:left="1050" w:leftChars="300" w:hanging="420"/>
        <w:outlineLvl w:val="2"/>
        <w:rPr>
          <w:rFonts w:hint="eastAsia" w:asciiTheme="minorEastAsia" w:hAnsiTheme="minorEastAsia" w:eastAsiaTheme="minorEastAsia" w:cstheme="minorEastAsia"/>
          <w:b w:val="0"/>
          <w:bCs w:val="0"/>
          <w:kern w:val="2"/>
          <w:sz w:val="21"/>
          <w:szCs w:val="21"/>
          <w:lang w:bidi="ar-SA"/>
        </w:rPr>
      </w:pPr>
      <w:r>
        <w:rPr>
          <w:rFonts w:hint="eastAsia" w:asciiTheme="minorEastAsia" w:hAnsiTheme="minorEastAsia" w:eastAsiaTheme="minorEastAsia" w:cstheme="minorEastAsia"/>
          <w:b w:val="0"/>
          <w:bCs w:val="0"/>
          <w:kern w:val="2"/>
          <w:sz w:val="21"/>
          <w:szCs w:val="21"/>
          <w:lang w:bidi="ar-SA"/>
        </w:rPr>
        <w:t>支持主机一体化耦合剂加热器，耦合剂温度三挡可调</w:t>
      </w:r>
    </w:p>
    <w:p w14:paraId="3F0CEA44">
      <w:pPr>
        <w:numPr>
          <w:ilvl w:val="2"/>
          <w:numId w:val="7"/>
        </w:numPr>
        <w:snapToGrid w:val="0"/>
        <w:ind w:left="567"/>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val="0"/>
          <w:bCs w:val="0"/>
          <w:kern w:val="2"/>
          <w:sz w:val="21"/>
          <w:szCs w:val="21"/>
          <w:lang w:bidi="ar-SA"/>
        </w:rPr>
        <w:t>腔内探头放置架</w:t>
      </w:r>
      <w:r>
        <w:rPr>
          <w:rFonts w:hint="eastAsia" w:asciiTheme="minorEastAsia" w:hAnsiTheme="minorEastAsia" w:eastAsiaTheme="minorEastAsia" w:cstheme="minorEastAsia"/>
          <w:b w:val="0"/>
          <w:bCs w:val="0"/>
          <w:kern w:val="2"/>
          <w:sz w:val="21"/>
          <w:szCs w:val="21"/>
          <w:lang w:eastAsia="zh-CN" w:bidi="ar-SA"/>
        </w:rPr>
        <w:t>。</w:t>
      </w:r>
      <w:r>
        <w:rPr>
          <w:rFonts w:hint="eastAsia" w:asciiTheme="minorEastAsia" w:hAnsiTheme="minorEastAsia" w:eastAsiaTheme="minorEastAsia" w:cstheme="minorEastAsia"/>
          <w:b w:val="0"/>
          <w:bCs w:val="0"/>
          <w:kern w:val="2"/>
          <w:sz w:val="21"/>
          <w:szCs w:val="21"/>
          <w:lang w:bidi="ar-SA"/>
        </w:rPr>
        <w:t xml:space="preserve"> </w:t>
      </w:r>
    </w:p>
    <w:p w14:paraId="17BEF44A">
      <w:pPr>
        <w:numPr>
          <w:ilvl w:val="2"/>
          <w:numId w:val="7"/>
        </w:numPr>
        <w:snapToGrid w:val="0"/>
        <w:ind w:left="567"/>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val="0"/>
          <w:bCs w:val="0"/>
          <w:kern w:val="2"/>
          <w:sz w:val="21"/>
          <w:szCs w:val="21"/>
          <w:lang w:bidi="ar-SA"/>
        </w:rPr>
        <w:t>主机一体式LED照明灯，辅助暗室临床操作</w:t>
      </w:r>
    </w:p>
    <w:p w14:paraId="24B3F487">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二、配置要求：</w:t>
      </w:r>
    </w:p>
    <w:p w14:paraId="5F95D966">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配备2个超声穿刺架，1台彩色打印机（</w:t>
      </w:r>
      <w:r>
        <w:rPr>
          <w:rFonts w:hint="eastAsia" w:asciiTheme="minorEastAsia" w:hAnsiTheme="minorEastAsia" w:eastAsiaTheme="minorEastAsia" w:cstheme="minorEastAsia"/>
          <w:i w:val="0"/>
          <w:iCs w:val="0"/>
          <w:caps w:val="0"/>
          <w:color w:val="404040"/>
          <w:spacing w:val="0"/>
          <w:sz w:val="21"/>
          <w:szCs w:val="21"/>
          <w:shd w:val="clear" w:fill="FAFAFC"/>
        </w:rPr>
        <w:t>一体式墨盒</w:t>
      </w:r>
      <w:r>
        <w:rPr>
          <w:rFonts w:hint="eastAsia" w:asciiTheme="minorEastAsia" w:hAnsiTheme="minorEastAsia" w:eastAsiaTheme="minorEastAsia" w:cstheme="minorEastAsia"/>
          <w:i w:val="0"/>
          <w:iCs w:val="0"/>
          <w:caps w:val="0"/>
          <w:color w:val="404040"/>
          <w:spacing w:val="0"/>
          <w:sz w:val="21"/>
          <w:szCs w:val="21"/>
          <w:shd w:val="clear" w:fill="FAFAFC"/>
          <w:lang w:eastAsia="zh-CN"/>
        </w:rPr>
        <w:t>，</w:t>
      </w:r>
      <w:r>
        <w:rPr>
          <w:rFonts w:hint="eastAsia" w:asciiTheme="minorEastAsia" w:hAnsiTheme="minorEastAsia" w:eastAsiaTheme="minorEastAsia" w:cstheme="minorEastAsia"/>
          <w:i w:val="0"/>
          <w:iCs w:val="0"/>
          <w:caps w:val="0"/>
          <w:color w:val="404040"/>
          <w:spacing w:val="0"/>
          <w:sz w:val="21"/>
          <w:szCs w:val="21"/>
          <w:shd w:val="clear" w:fill="FAFAFC"/>
        </w:rPr>
        <w:t>USB</w:t>
      </w:r>
      <w:r>
        <w:rPr>
          <w:rFonts w:hint="eastAsia" w:asciiTheme="minorEastAsia" w:hAnsiTheme="minorEastAsia" w:eastAsiaTheme="minorEastAsia" w:cstheme="minorEastAsia"/>
          <w:i w:val="0"/>
          <w:iCs w:val="0"/>
          <w:caps w:val="0"/>
          <w:color w:val="404040"/>
          <w:spacing w:val="0"/>
          <w:sz w:val="21"/>
          <w:szCs w:val="21"/>
          <w:shd w:val="clear" w:fill="FAFAFC"/>
          <w:lang w:val="en-US" w:eastAsia="zh-CN"/>
        </w:rPr>
        <w:t>连接，</w:t>
      </w:r>
      <w:r>
        <w:rPr>
          <w:rFonts w:hint="eastAsia" w:asciiTheme="minorEastAsia" w:hAnsiTheme="minorEastAsia" w:eastAsiaTheme="minorEastAsia" w:cstheme="minorEastAsia"/>
          <w:i w:val="0"/>
          <w:iCs w:val="0"/>
          <w:caps w:val="0"/>
          <w:color w:val="404040"/>
          <w:spacing w:val="0"/>
          <w:sz w:val="21"/>
          <w:szCs w:val="21"/>
          <w:shd w:val="clear" w:fill="FAFAFC"/>
        </w:rPr>
        <w:t>支持</w:t>
      </w:r>
      <w:r>
        <w:rPr>
          <w:rFonts w:hint="eastAsia" w:asciiTheme="minorEastAsia" w:hAnsiTheme="minorEastAsia" w:eastAsiaTheme="minorEastAsia" w:cstheme="minorEastAsia"/>
          <w:i w:val="0"/>
          <w:iCs w:val="0"/>
          <w:caps w:val="0"/>
          <w:color w:val="404040"/>
          <w:spacing w:val="0"/>
          <w:sz w:val="21"/>
          <w:szCs w:val="21"/>
          <w:shd w:val="clear" w:fill="FAFAFC"/>
          <w:lang w:val="en-US" w:eastAsia="zh-CN"/>
        </w:rPr>
        <w:t>网络及双面打印</w:t>
      </w:r>
      <w:r>
        <w:rPr>
          <w:rFonts w:hint="eastAsia" w:asciiTheme="minorEastAsia" w:hAnsiTheme="minorEastAsia" w:eastAsiaTheme="minorEastAsia" w:cstheme="minorEastAsia"/>
          <w:lang w:val="en-US" w:eastAsia="zh-CN"/>
        </w:rPr>
        <w:t>），1台电脑：(电脑配置至少达到I5、8G、1T、win11，27寸电脑显示屏）。</w:t>
      </w:r>
    </w:p>
    <w:p w14:paraId="7744B637">
      <w:pPr>
        <w:numPr>
          <w:ilvl w:val="0"/>
          <w:numId w:val="0"/>
        </w:numPr>
        <w:snapToGrid w:val="0"/>
        <w:ind w:left="567" w:leftChars="0"/>
        <w:outlineLvl w:val="2"/>
        <w:rPr>
          <w:rFonts w:hint="eastAsia" w:asciiTheme="majorEastAsia" w:hAnsiTheme="majorEastAsia" w:eastAsiaTheme="majorEastAsia" w:cstheme="majorEastAsia"/>
          <w:color w:val="000000"/>
          <w:sz w:val="21"/>
          <w:szCs w:val="21"/>
        </w:rPr>
      </w:pPr>
    </w:p>
    <w:p w14:paraId="32B36A78">
      <w:pPr>
        <w:spacing w:line="240" w:lineRule="auto"/>
        <w:ind w:firstLine="0" w:firstLineChars="0"/>
        <w:rPr>
          <w:rFonts w:hint="eastAsia" w:cs="宋体" w:asciiTheme="majorEastAsia" w:hAnsiTheme="majorEastAsia" w:eastAsiaTheme="majorEastAsia"/>
          <w:szCs w:val="21"/>
          <w:lang w:val="en-US" w:eastAsia="zh-CN"/>
        </w:rPr>
      </w:pPr>
    </w:p>
    <w:p w14:paraId="53566E52">
      <w:pPr>
        <w:spacing w:line="240" w:lineRule="auto"/>
        <w:ind w:firstLine="0" w:firstLineChars="0"/>
        <w:rPr>
          <w:rFonts w:hint="eastAsia" w:cs="宋体" w:asciiTheme="majorEastAsia" w:hAnsiTheme="majorEastAsia" w:eastAsiaTheme="majorEastAsia"/>
          <w:szCs w:val="21"/>
          <w:lang w:val="en-US" w:eastAsia="zh-CN"/>
        </w:rPr>
      </w:pPr>
    </w:p>
    <w:p w14:paraId="5B691E81">
      <w:pPr>
        <w:spacing w:line="240" w:lineRule="auto"/>
        <w:ind w:firstLine="0" w:firstLineChars="0"/>
        <w:rPr>
          <w:rFonts w:hint="eastAsia" w:cs="宋体" w:asciiTheme="majorEastAsia" w:hAnsiTheme="majorEastAsia" w:eastAsiaTheme="majorEastAsia"/>
          <w:szCs w:val="21"/>
          <w:lang w:val="en-US" w:eastAsia="zh-CN"/>
        </w:rPr>
      </w:pPr>
    </w:p>
    <w:p w14:paraId="58E2B4C1">
      <w:pPr>
        <w:spacing w:line="240" w:lineRule="auto"/>
        <w:ind w:firstLine="0" w:firstLineChars="0"/>
        <w:rPr>
          <w:rFonts w:hint="eastAsia" w:cs="宋体" w:asciiTheme="majorEastAsia" w:hAnsiTheme="majorEastAsia" w:eastAsiaTheme="majorEastAsia"/>
          <w:b/>
          <w:bCs/>
          <w:sz w:val="24"/>
          <w:szCs w:val="24"/>
          <w:lang w:val="en-US" w:eastAsia="zh-CN"/>
        </w:rPr>
      </w:pPr>
    </w:p>
    <w:p w14:paraId="545CB86F">
      <w:pPr>
        <w:spacing w:line="240" w:lineRule="auto"/>
        <w:ind w:firstLine="0" w:firstLineChars="0"/>
        <w:rPr>
          <w:rFonts w:hint="eastAsia" w:cs="宋体" w:asciiTheme="majorEastAsia" w:hAnsiTheme="majorEastAsia" w:eastAsiaTheme="majorEastAsia"/>
          <w:b/>
          <w:bCs/>
          <w:sz w:val="24"/>
          <w:szCs w:val="24"/>
          <w:highlight w:val="lightGray"/>
          <w:lang w:val="en-US" w:eastAsia="zh-CN"/>
        </w:rPr>
      </w:pPr>
      <w:r>
        <w:rPr>
          <w:rFonts w:hint="eastAsia" w:cs="宋体" w:asciiTheme="majorEastAsia" w:hAnsiTheme="majorEastAsia" w:eastAsiaTheme="majorEastAsia"/>
          <w:b/>
          <w:bCs/>
          <w:sz w:val="24"/>
          <w:szCs w:val="24"/>
          <w:highlight w:val="lightGray"/>
          <w:lang w:val="en-US" w:eastAsia="zh-CN"/>
        </w:rPr>
        <w:t>五、</w:t>
      </w:r>
      <w:r>
        <w:rPr>
          <w:rFonts w:hint="eastAsia" w:ascii="宋体" w:hAnsi="宋体" w:eastAsia="宋体" w:cs="宋体"/>
          <w:b/>
          <w:bCs/>
          <w:i w:val="0"/>
          <w:iCs w:val="0"/>
          <w:color w:val="auto"/>
          <w:kern w:val="0"/>
          <w:sz w:val="24"/>
          <w:szCs w:val="24"/>
          <w:highlight w:val="lightGray"/>
          <w:u w:val="none"/>
          <w:lang w:val="en-US" w:eastAsia="zh-CN" w:bidi="ar"/>
        </w:rPr>
        <w:t>双能X射线骨密度仪（一套、160万）</w:t>
      </w:r>
      <w:r>
        <w:rPr>
          <w:rFonts w:hint="eastAsia" w:cs="宋体" w:asciiTheme="majorEastAsia" w:hAnsiTheme="majorEastAsia" w:eastAsiaTheme="majorEastAsia"/>
          <w:b/>
          <w:bCs/>
          <w:sz w:val="24"/>
          <w:szCs w:val="24"/>
          <w:highlight w:val="lightGray"/>
          <w:lang w:val="en-US" w:eastAsia="zh-CN"/>
        </w:rPr>
        <w:t>：</w:t>
      </w:r>
    </w:p>
    <w:p w14:paraId="0ADDDBFF">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X线源</w:t>
      </w:r>
    </w:p>
    <w:p w14:paraId="429ADA85">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1.1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K缘过滤，同时产生高低双能X线</w:t>
      </w:r>
    </w:p>
    <w:p w14:paraId="57C2759E">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1.2</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X线扫描线束：窄角扇形且扇形开角≤4.5°</w:t>
      </w:r>
    </w:p>
    <w:p w14:paraId="754E393B">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1.3</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采集成像方式：连续扫描式</w:t>
      </w:r>
    </w:p>
    <w:p w14:paraId="59B67353">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1.4</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自动智能扫描</w:t>
      </w:r>
    </w:p>
    <w:p w14:paraId="0C52B675">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2</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探测器系统</w:t>
      </w:r>
    </w:p>
    <w:p w14:paraId="384FC279">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▲2.1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光子计数探测器，探测器材质为LYSO</w:t>
      </w:r>
    </w:p>
    <w:p w14:paraId="173A1D01">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2.3</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探测器通道数量：≥16个</w:t>
      </w:r>
    </w:p>
    <w:p w14:paraId="4C36E1B8">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扫描</w:t>
      </w:r>
    </w:p>
    <w:p w14:paraId="07BF6D11">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适用于全身的扫描床，长度：≥260cm</w:t>
      </w:r>
    </w:p>
    <w:p w14:paraId="614D3583">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3.2</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适用于全身的扫描床，宽度：≥105cm</w:t>
      </w:r>
    </w:p>
    <w:p w14:paraId="098DD49E">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3.3</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最大有效扫描视野,长度X宽度：≥195cmX60cm</w:t>
      </w:r>
    </w:p>
    <w:p w14:paraId="0913AD61">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3.4</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最大病人承重：≥155kg</w:t>
      </w:r>
    </w:p>
    <w:p w14:paraId="6F65E19C">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3.5</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标准扫描时间：</w:t>
      </w:r>
    </w:p>
    <w:p w14:paraId="454620AA">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▲3.5.1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腰椎：≤30秒钟，股骨：≤30秒钟</w:t>
      </w:r>
    </w:p>
    <w:p w14:paraId="0BB4667C">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3.5.2</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全身：≤5分钟</w:t>
      </w:r>
    </w:p>
    <w:p w14:paraId="6989E1E5">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3.6</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精确激光定位灯</w:t>
      </w:r>
    </w:p>
    <w:p w14:paraId="7E494F24">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3.7</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全配套扫描定位器（包括腰椎、髋关节等）</w:t>
      </w:r>
    </w:p>
    <w:p w14:paraId="3FDF0D0B">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3.8</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对腰椎质控模块扫描的精度(重复性误差)：≤1.0%</w:t>
      </w:r>
    </w:p>
    <w:p w14:paraId="567EB40C">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3.9</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对活体常规部位扫描精度(重复性误差)</w:t>
      </w:r>
    </w:p>
    <w:p w14:paraId="6CA8079F">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3.9.1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腰椎、股骨: ≤1.0%</w:t>
      </w:r>
    </w:p>
    <w:p w14:paraId="018D9436">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3.9.2</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双侧股骨：≤0.6%</w:t>
      </w:r>
    </w:p>
    <w:p w14:paraId="25AD73CD">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3.9.3</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全身脂肪含量：≤1.2%</w:t>
      </w:r>
    </w:p>
    <w:p w14:paraId="05693897">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3.9.4</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全身肌肉组织：≤0.7%</w:t>
      </w:r>
    </w:p>
    <w:p w14:paraId="160C1E9A">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3.10</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MVIR多视角影像重建技术</w:t>
      </w:r>
    </w:p>
    <w:p w14:paraId="54820784">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3.11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提供高清晰度骨骼影像</w:t>
      </w:r>
    </w:p>
    <w:p w14:paraId="647DC810">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3.12</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在扫描之后，系统能够自动检测脊柱、髋关节、前臂等部位是否存在摆位异常或是分析异常，并能给出提示和纠正建议。</w:t>
      </w:r>
    </w:p>
    <w:p w14:paraId="5D15E73F">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扫描部位及临床应用功能</w:t>
      </w:r>
    </w:p>
    <w:p w14:paraId="4B8266BE">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正位腰椎扫描、评估</w:t>
      </w:r>
    </w:p>
    <w:p w14:paraId="5081E170">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4.2</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单侧股骨扫描、评估</w:t>
      </w:r>
    </w:p>
    <w:p w14:paraId="1DA11C65">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4.3</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双侧股骨自动扫描、评估</w:t>
      </w:r>
    </w:p>
    <w:p w14:paraId="09BC5513">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4.4</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前臂测量和分析</w:t>
      </w:r>
    </w:p>
    <w:p w14:paraId="776F455A">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4.5</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全身骨密度扫描，并可进行四肢、躯干等部位的单独分析测量</w:t>
      </w:r>
    </w:p>
    <w:p w14:paraId="6DF945AC">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4.6</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可进行全身肌肉/脂肪成分分析，具备中国人体成分参考数据库，并在NMPA注册证产品适用范围中明确标明该产品可适用于脂肪肌肉组织测量和分析。</w:t>
      </w:r>
    </w:p>
    <w:p w14:paraId="3207B538">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4.7</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WHO体重指数评估</w:t>
      </w:r>
    </w:p>
    <w:p w14:paraId="2323F558">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4.8</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自动腹臀区域脂肪分析，腹臀脂肪比</w:t>
      </w:r>
    </w:p>
    <w:p w14:paraId="1164385A">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4.9</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双能脊柱评估功能</w:t>
      </w:r>
    </w:p>
    <w:p w14:paraId="59B017EB">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4.10</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人工髋关节置换后的自动扫描、评估</w:t>
      </w:r>
    </w:p>
    <w:p w14:paraId="5BE3D401">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4.10.1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增强型骨科专用软件（髋关节），用于人工髋关节置换术后假体周围骨量测量及变化评估</w:t>
      </w:r>
    </w:p>
    <w:p w14:paraId="75FF96D7">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▲4.10.2</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人工髋关节周围划分的评估区个数：≥19个</w:t>
      </w:r>
    </w:p>
    <w:p w14:paraId="024126CB">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▲4.11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一次定位，自动完成腰椎、双侧股骨扫描检测功能</w:t>
      </w:r>
    </w:p>
    <w:p w14:paraId="1F9A126F">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4.12</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骨折风险评估软件</w:t>
      </w:r>
    </w:p>
    <w:p w14:paraId="117DF902">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4.13</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计算机自动辅助诊断分析软件</w:t>
      </w:r>
    </w:p>
    <w:p w14:paraId="4415B6FE">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临床应用软件包</w:t>
      </w:r>
    </w:p>
    <w:p w14:paraId="29D8F257">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运行环境：预装中文WINDOWS操作系统</w:t>
      </w:r>
    </w:p>
    <w:p w14:paraId="4DCACC1D">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5.2</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骨密度仪中文操作软件及骨密度结果中文影像数据检测报告</w:t>
      </w:r>
    </w:p>
    <w:p w14:paraId="04FCC567">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5.3</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骨密度计算软件包</w:t>
      </w:r>
    </w:p>
    <w:p w14:paraId="4F9D13B1">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5.5</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中国大陆人数据库：数据库由国内权威机构建立，全国多点采集，样本量≥11,000</w:t>
      </w:r>
    </w:p>
    <w:p w14:paraId="5564FFF1">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5.6</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智能自动确定骨边缘软件</w:t>
      </w:r>
    </w:p>
    <w:p w14:paraId="134DE0B1">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5.7</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与前一次扫描结果对比分析</w:t>
      </w:r>
    </w:p>
    <w:p w14:paraId="3E1A8A79">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5.8</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异常骨密度区域或金属自动排除软件</w:t>
      </w:r>
    </w:p>
    <w:p w14:paraId="331530CD">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5.9</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屏幕上扫描部位调整</w:t>
      </w:r>
    </w:p>
    <w:p w14:paraId="0FEF186D">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5.10</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体重/种族差异校正软件</w:t>
      </w:r>
    </w:p>
    <w:p w14:paraId="0951D4DE">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5.11</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T值和Z值分析软件</w:t>
      </w:r>
    </w:p>
    <w:p w14:paraId="7ABA4895">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5.12</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检测质量控制系统（含质量检测程序，QA态势分析）</w:t>
      </w:r>
    </w:p>
    <w:p w14:paraId="445F59CA">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5.13</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检测结果趋势分析功能</w:t>
      </w:r>
    </w:p>
    <w:p w14:paraId="74573163">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5.14</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多部位集成报告软件-多部位集成报告系统，将所有检测结果打印在一张报告上进行联合评估</w:t>
      </w:r>
    </w:p>
    <w:p w14:paraId="4A0016AD">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5.15</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自动化报告编辑书写软件</w:t>
      </w:r>
    </w:p>
    <w:p w14:paraId="0330119A">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6</w:t>
      </w:r>
      <w:r>
        <w:rPr>
          <w:rFonts w:hint="eastAsia" w:asciiTheme="minorEastAsia" w:hAnsiTheme="minorEastAsia" w:eastAsiaTheme="minorEastAsia" w:cstheme="minorEastAsia"/>
          <w:b w:val="0"/>
          <w:bCs w:val="0"/>
          <w:kern w:val="0"/>
          <w:sz w:val="21"/>
          <w:szCs w:val="21"/>
          <w:highlight w:val="none"/>
          <w:lang w:val="en-US" w:eastAsia="zh-CN"/>
        </w:rPr>
        <w:tab/>
      </w:r>
      <w:r>
        <w:rPr>
          <w:rFonts w:hint="eastAsia" w:asciiTheme="minorEastAsia" w:hAnsiTheme="minorEastAsia" w:eastAsiaTheme="minorEastAsia" w:cstheme="minorEastAsia"/>
          <w:b w:val="0"/>
          <w:bCs w:val="0"/>
          <w:kern w:val="0"/>
          <w:sz w:val="21"/>
          <w:szCs w:val="21"/>
          <w:highlight w:val="none"/>
          <w:lang w:val="en-US" w:eastAsia="zh-CN"/>
        </w:rPr>
        <w:t>彩色打印机</w:t>
      </w:r>
    </w:p>
    <w:p w14:paraId="5C019E6D">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6.1、设备接口：USB、RJ45，最高支持1000 Base-TX；</w:t>
      </w:r>
    </w:p>
    <w:p w14:paraId="14AC80AB">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6.2、打印功能：支持自动双面打印、支持网络打印、支持PC端打印状态监控；</w:t>
      </w:r>
    </w:p>
    <w:p w14:paraId="489F77E4">
      <w:pPr>
        <w:widowControl/>
        <w:numPr>
          <w:ilvl w:val="0"/>
          <w:numId w:val="0"/>
        </w:numPr>
        <w:spacing w:line="400" w:lineRule="exact"/>
        <w:jc w:val="left"/>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6.3、复印功能：支持稿台（FB)、自动进稿器（ADF)、支持彩色复印、复印模式包含彩色、黑白；支持多页合一复印、自动双面复印、缩放复印、逐份复印；</w:t>
      </w:r>
    </w:p>
    <w:p w14:paraId="58946550">
      <w:pPr>
        <w:widowControl/>
        <w:numPr>
          <w:ilvl w:val="0"/>
          <w:numId w:val="0"/>
        </w:numPr>
        <w:spacing w:line="400" w:lineRule="exact"/>
        <w:jc w:val="left"/>
        <w:rPr>
          <w:rFonts w:hint="eastAsia" w:asciiTheme="minorEastAsia" w:hAnsiTheme="minorEastAsia" w:eastAsiaTheme="minorEastAsia" w:cstheme="minorEastAsia"/>
          <w:b w:val="0"/>
          <w:bCs w:val="0"/>
          <w:kern w:val="0"/>
          <w:sz w:val="18"/>
          <w:szCs w:val="18"/>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6.4、扫描功能：支持彩色扫描、支持稿台（FB)、自动进稿（ADF)、支持双面扫描，自带扫描应用软件；</w:t>
      </w:r>
    </w:p>
    <w:p w14:paraId="3019BC94">
      <w:pPr>
        <w:spacing w:line="240" w:lineRule="auto"/>
        <w:ind w:firstLine="0" w:firstLineChars="0"/>
        <w:rPr>
          <w:rFonts w:hint="eastAsia" w:cs="宋体" w:asciiTheme="majorEastAsia" w:hAnsiTheme="majorEastAsia" w:eastAsiaTheme="majorEastAsia"/>
          <w:b/>
          <w:bCs/>
          <w:sz w:val="24"/>
          <w:szCs w:val="24"/>
          <w:lang w:val="en-US" w:eastAsia="zh-CN"/>
        </w:rPr>
      </w:pPr>
    </w:p>
    <w:p w14:paraId="3877EA95">
      <w:pPr>
        <w:spacing w:line="240" w:lineRule="auto"/>
        <w:ind w:firstLine="0" w:firstLineChars="0"/>
        <w:rPr>
          <w:rFonts w:hint="eastAsia" w:cs="宋体" w:asciiTheme="majorEastAsia" w:hAnsiTheme="majorEastAsia" w:eastAsiaTheme="majorEastAsia"/>
          <w:szCs w:val="21"/>
          <w:lang w:val="en-US" w:eastAsia="zh-CN"/>
        </w:rPr>
      </w:pPr>
    </w:p>
    <w:p w14:paraId="5ABD335F">
      <w:pPr>
        <w:spacing w:line="240" w:lineRule="auto"/>
        <w:ind w:firstLine="0" w:firstLineChars="0"/>
        <w:rPr>
          <w:rFonts w:hint="eastAsia" w:cs="宋体" w:asciiTheme="majorEastAsia" w:hAnsiTheme="majorEastAsia" w:eastAsiaTheme="majorEastAsia"/>
          <w:szCs w:val="21"/>
          <w:lang w:val="en-US" w:eastAsia="zh-CN"/>
        </w:rPr>
      </w:pPr>
    </w:p>
    <w:p w14:paraId="54D5CA70">
      <w:pPr>
        <w:spacing w:line="240" w:lineRule="auto"/>
        <w:ind w:firstLine="0" w:firstLineChars="0"/>
        <w:rPr>
          <w:rFonts w:hint="eastAsia" w:cs="宋体" w:asciiTheme="majorEastAsia" w:hAnsiTheme="majorEastAsia" w:eastAsiaTheme="majorEastAsia"/>
          <w:szCs w:val="21"/>
          <w:lang w:val="en-US" w:eastAsia="zh-CN"/>
        </w:rPr>
      </w:pPr>
    </w:p>
    <w:p w14:paraId="77D4FA08">
      <w:pPr>
        <w:spacing w:line="240" w:lineRule="auto"/>
        <w:ind w:firstLine="0" w:firstLineChars="0"/>
        <w:rPr>
          <w:rFonts w:hint="eastAsia" w:cs="宋体" w:asciiTheme="majorEastAsia" w:hAnsiTheme="majorEastAsia" w:eastAsiaTheme="majorEastAsia"/>
          <w:b/>
          <w:bCs/>
          <w:sz w:val="24"/>
          <w:szCs w:val="24"/>
          <w:highlight w:val="lightGray"/>
          <w:lang w:val="en-US" w:eastAsia="zh-CN"/>
        </w:rPr>
      </w:pPr>
      <w:r>
        <w:rPr>
          <w:rFonts w:hint="eastAsia" w:cs="宋体" w:asciiTheme="majorEastAsia" w:hAnsiTheme="majorEastAsia" w:eastAsiaTheme="majorEastAsia"/>
          <w:b/>
          <w:bCs/>
          <w:sz w:val="24"/>
          <w:szCs w:val="24"/>
          <w:highlight w:val="lightGray"/>
          <w:lang w:val="en-US" w:eastAsia="zh-CN"/>
        </w:rPr>
        <w:t>六、</w:t>
      </w:r>
      <w:r>
        <w:rPr>
          <w:rFonts w:hint="eastAsia" w:ascii="宋体" w:hAnsi="宋体" w:eastAsia="宋体" w:cs="宋体"/>
          <w:b/>
          <w:bCs/>
          <w:i w:val="0"/>
          <w:iCs w:val="0"/>
          <w:color w:val="auto"/>
          <w:kern w:val="0"/>
          <w:sz w:val="24"/>
          <w:szCs w:val="24"/>
          <w:highlight w:val="lightGray"/>
          <w:u w:val="none"/>
          <w:lang w:val="en-US" w:eastAsia="zh-CN" w:bidi="ar"/>
        </w:rPr>
        <w:t>高档彩色多普勒超声诊断仪（1套、330万）</w:t>
      </w:r>
      <w:r>
        <w:rPr>
          <w:rFonts w:hint="eastAsia" w:cs="宋体" w:asciiTheme="majorEastAsia" w:hAnsiTheme="majorEastAsia" w:eastAsiaTheme="majorEastAsia"/>
          <w:b/>
          <w:bCs/>
          <w:sz w:val="24"/>
          <w:szCs w:val="24"/>
          <w:highlight w:val="lightGray"/>
          <w:lang w:val="en-US" w:eastAsia="zh-CN"/>
        </w:rPr>
        <w:t>：</w:t>
      </w:r>
    </w:p>
    <w:p w14:paraId="0F8D3478">
      <w:pPr>
        <w:widowControl/>
        <w:tabs>
          <w:tab w:val="left" w:pos="946"/>
        </w:tabs>
        <w:ind w:left="210" w:leftChars="100" w:right="210" w:rightChars="100"/>
        <w:contextualSpacing/>
        <w:jc w:val="left"/>
        <w:rPr>
          <w:rFonts w:hint="eastAsia" w:ascii="宋体" w:hAnsi="宋体" w:eastAsia="宋体" w:cs="宋体"/>
          <w:kern w:val="0"/>
          <w:sz w:val="21"/>
          <w:szCs w:val="21"/>
          <w:lang w:val="en-US" w:eastAsia="zh-CN"/>
        </w:rPr>
      </w:pPr>
    </w:p>
    <w:p w14:paraId="6AB0C565">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.1▲显示器要求：≥2</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英寸高分辨率彩色液晶显示器</w:t>
      </w:r>
    </w:p>
    <w:p w14:paraId="52464E59">
      <w:pPr>
        <w:widowControl/>
        <w:tabs>
          <w:tab w:val="left" w:pos="946"/>
        </w:tabs>
        <w:ind w:left="210" w:leftChars="100" w:right="210" w:rightChars="100"/>
        <w:contextualSpacing/>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.2▲液晶触摸屏要求：≥15英寸彩色触摸屏</w:t>
      </w:r>
    </w:p>
    <w:p w14:paraId="7A635E65">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触摸屏支持将最近使用过的检查探头和其模式，放置在一边，点击检查模式，即可一步直达切换到探头和其模式</w:t>
      </w:r>
    </w:p>
    <w:p w14:paraId="7769C88A">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.4操作面板具有6向独立调节功能（即电动上下升降、左右旋转和前后平移），方便操作者进行操作</w:t>
      </w:r>
    </w:p>
    <w:p w14:paraId="69264020">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.5▲探头接口数量≥5个，可全激活。探头接口均为无针式接口且大小一致</w:t>
      </w:r>
    </w:p>
    <w:p w14:paraId="7FDBABA9">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.6中央刹车系统</w:t>
      </w:r>
    </w:p>
    <w:p w14:paraId="179BB23D">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.7支持电控助力，可轻松推行</w:t>
      </w:r>
    </w:p>
    <w:p w14:paraId="59CB6085">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.8采用Windows 操作系统，流畅使用体验 舒心安全保护</w:t>
      </w:r>
    </w:p>
    <w:p w14:paraId="15C23618">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.9配置内置电池，不插电状态下，支持60分钟超声检查</w:t>
      </w:r>
    </w:p>
    <w:p w14:paraId="558A5BA6">
      <w:pPr>
        <w:widowControl/>
        <w:tabs>
          <w:tab w:val="left" w:pos="946"/>
        </w:tabs>
        <w:ind w:left="0" w:leftChars="0" w:right="210" w:rightChars="100" w:firstLine="0" w:firstLineChars="0"/>
        <w:contextualSpacing/>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二、</w:t>
      </w:r>
      <w:r>
        <w:rPr>
          <w:rFonts w:hint="eastAsia" w:asciiTheme="minorEastAsia" w:hAnsiTheme="minorEastAsia" w:eastAsiaTheme="minorEastAsia" w:cstheme="minorEastAsia"/>
          <w:b w:val="0"/>
          <w:bCs w:val="0"/>
          <w:kern w:val="0"/>
          <w:sz w:val="21"/>
          <w:szCs w:val="21"/>
        </w:rPr>
        <w:t>系统成像技术</w:t>
      </w:r>
    </w:p>
    <w:p w14:paraId="0C46A409">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二维灰阶模式</w:t>
      </w:r>
    </w:p>
    <w:p w14:paraId="5858145B">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M型模式</w:t>
      </w:r>
    </w:p>
    <w:p w14:paraId="119C6304">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彩色M型模式</w:t>
      </w:r>
    </w:p>
    <w:p w14:paraId="1032FE4B">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解剖M型模式（≥3条取样线，360度自由旋转）</w:t>
      </w:r>
    </w:p>
    <w:p w14:paraId="3A8EF3AA">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彩色多普勒成像</w:t>
      </w:r>
    </w:p>
    <w:p w14:paraId="3E3B8C8D">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频谱多普勒成像，连续多普勒成像</w:t>
      </w:r>
    </w:p>
    <w:p w14:paraId="18F98D1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 xml:space="preserve">  </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en-US" w:eastAsia="zh-CN"/>
        </w:rPr>
        <w:t>超微细血流成像技术，对微细低速血流具有高敏感度，可检测并显示组织内部及病灶血流灌注的低速血流，明显提高血流敏感度、血管空间分辨力，支持B、Color、Power和造影模式下进入</w:t>
      </w:r>
    </w:p>
    <w:p w14:paraId="41A595E2">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空间复合成像技术，做曲别针实验可显示≥5条线</w:t>
      </w:r>
    </w:p>
    <w:p w14:paraId="37B7BBBB">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支持扩展成像</w:t>
      </w:r>
    </w:p>
    <w:p w14:paraId="0E3D042C">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.10全域动态聚焦技术，声像图全程动态聚焦技术，全场图像均匀一致</w:t>
      </w:r>
    </w:p>
    <w:p w14:paraId="0888599E">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.11声速匹配技术，根据人体组织真实情况，自动匹配至最佳成像声速，并将具体声速数值在屏幕上显示</w:t>
      </w:r>
    </w:p>
    <w:p w14:paraId="4A5CF6C6">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.12 具备B模式局部ROI区域高分辨率显示技术，提高感兴趣区的二维图像分辨率和细节分辨率，支持全局图像与局部高清图像的同屏左右双幅双实时显示</w:t>
      </w:r>
    </w:p>
    <w:p w14:paraId="03A2408B">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.13立体血流技术，提供更接近真实世界的三度空间视觉，呈现血流的上下、左右、前后三维关系</w:t>
      </w:r>
    </w:p>
    <w:p w14:paraId="2320DC3A">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.14宽景拼接成像技术（非拓展成像）</w:t>
      </w:r>
    </w:p>
    <w:p w14:paraId="78CDAEB1">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.14.1支持二维宽景和能量宽景，具有红、蓝、绿三种彩色框及文字提示扫描速度过快、过慢或者正常</w:t>
      </w:r>
    </w:p>
    <w:p w14:paraId="700AA923">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.14.2宽景成像支持凸阵探头、线阵探头、腔内探头、单晶体相控阵探头</w:t>
      </w:r>
    </w:p>
    <w:p w14:paraId="47FE7562">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.14.3宽景成像拼接长度≥80cm</w:t>
      </w:r>
    </w:p>
    <w:p w14:paraId="216E8C12">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.15一键自动优化，要求一键快速优化造影图像、二维图像、彩色图像、彩色取样框位置、频谱图像、频谱取样门大小、取样门位置、偏转角度及造影图像</w:t>
      </w:r>
    </w:p>
    <w:p w14:paraId="1ED76605">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.16二维/彩色取样框角度独立偏转技术</w:t>
      </w:r>
    </w:p>
    <w:p w14:paraId="0690A6B5">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.17智能血流跟踪技术，可以实现ROI框位置和角度的自动优化，提供Color/Power模式下彩色血流/能量图像的实时动态优化，节省人工调节时间，提升扫查效率</w:t>
      </w:r>
    </w:p>
    <w:p w14:paraId="734F3D0C">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.18▲超微细血流成像技术，对微细低速血流具有高敏感度，可检测并显示组织内部及病灶血流灌注的低速血流，明显提高血流敏感度、血管空间分辨力</w:t>
      </w:r>
    </w:p>
    <w:p w14:paraId="04B132C3">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9支持组织多普勒速度成像：具备组织速度成像、组织频谱成像、组织能量成像、组织M型成像四种模式</w:t>
      </w:r>
    </w:p>
    <w:p w14:paraId="1877CE8D">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20 支持组织多普勒定量分析：速度、应变、应变率定量分析</w:t>
      </w:r>
    </w:p>
    <w:p w14:paraId="1A2B07D8">
      <w:pPr>
        <w:widowControl/>
        <w:tabs>
          <w:tab w:val="left" w:pos="946"/>
        </w:tabs>
        <w:ind w:left="0" w:leftChars="0" w:right="210" w:rightChars="100" w:firstLine="0" w:firstLineChars="0"/>
        <w:contextualSpacing/>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三、</w:t>
      </w:r>
      <w:r>
        <w:rPr>
          <w:rFonts w:hint="eastAsia" w:asciiTheme="minorEastAsia" w:hAnsiTheme="minorEastAsia" w:eastAsiaTheme="minorEastAsia" w:cstheme="minorEastAsia"/>
          <w:b w:val="0"/>
          <w:bCs w:val="0"/>
          <w:kern w:val="0"/>
          <w:sz w:val="21"/>
          <w:szCs w:val="21"/>
        </w:rPr>
        <w:t>高级成像功能</w:t>
      </w:r>
    </w:p>
    <w:p w14:paraId="66D31ADF">
      <w:pPr>
        <w:widowControl/>
        <w:tabs>
          <w:tab w:val="left" w:pos="946"/>
        </w:tabs>
        <w:ind w:left="210" w:leftChars="100" w:right="210" w:rightChars="100"/>
        <w:contextualSpacing/>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3</w:t>
      </w:r>
      <w:r>
        <w:rPr>
          <w:rFonts w:hint="eastAsia" w:asciiTheme="minorEastAsia" w:hAnsiTheme="minorEastAsia" w:eastAsiaTheme="minorEastAsia" w:cstheme="minorEastAsia"/>
          <w:b w:val="0"/>
          <w:bCs w:val="0"/>
          <w:kern w:val="0"/>
          <w:sz w:val="21"/>
          <w:szCs w:val="21"/>
        </w:rPr>
        <w:t>.1造影成像</w:t>
      </w:r>
    </w:p>
    <w:p w14:paraId="58F69D2C">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.1.1造影成像功能支持腹部探头、浅表探头、腔内探头</w:t>
      </w:r>
    </w:p>
    <w:p w14:paraId="7C5B49DB">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.1.2支持实时显示组织图像和造影图像，支持造影击碎，支持斑点噪声抑制，具备混合模式，支持造影图像和组织图像位置互换</w:t>
      </w:r>
    </w:p>
    <w:p w14:paraId="63954BAF">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.1.3支持微血管造影增强功能</w:t>
      </w:r>
    </w:p>
    <w:p w14:paraId="0FF433D6">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.1.4支持低机械指数造影</w:t>
      </w:r>
    </w:p>
    <w:p w14:paraId="2490665F">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.1.5具有双计时器</w:t>
      </w:r>
    </w:p>
    <w:p w14:paraId="7F5411C1">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.1.6支持向后存储≥8分钟电影</w:t>
      </w:r>
    </w:p>
    <w:p w14:paraId="789BF0A3">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.1.7造影定量分析功能，支持时间强度分析曲线，以表格的形式显示数据，取样点可跟踪感兴趣区运动，≥8个ROI</w:t>
      </w:r>
    </w:p>
    <w:p w14:paraId="22D87239">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实时造影时，支持对组织灰阶图像进行标记，标记点同步映射到造影的图像上，便于观察</w:t>
      </w:r>
    </w:p>
    <w:p w14:paraId="03DAFE2D">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.1.10  支持容积造影功能</w:t>
      </w:r>
    </w:p>
    <w:p w14:paraId="1F24273F">
      <w:pPr>
        <w:widowControl/>
        <w:tabs>
          <w:tab w:val="left" w:pos="946"/>
        </w:tabs>
        <w:ind w:left="210" w:leftChars="100" w:right="210" w:rightChars="100"/>
        <w:contextualSpacing/>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3</w:t>
      </w:r>
      <w:r>
        <w:rPr>
          <w:rFonts w:hint="eastAsia" w:asciiTheme="minorEastAsia" w:hAnsiTheme="minorEastAsia" w:eastAsiaTheme="minorEastAsia" w:cstheme="minorEastAsia"/>
          <w:b w:val="0"/>
          <w:bCs w:val="0"/>
          <w:kern w:val="0"/>
          <w:sz w:val="21"/>
          <w:szCs w:val="21"/>
        </w:rPr>
        <w:t>.2</w:t>
      </w:r>
      <w:r>
        <w:rPr>
          <w:rFonts w:hint="eastAsia" w:asciiTheme="minorEastAsia" w:hAnsiTheme="minorEastAsia" w:eastAsiaTheme="minorEastAsia" w:cstheme="minorEastAsia"/>
          <w:b w:val="0"/>
          <w:bCs w:val="0"/>
          <w:kern w:val="0"/>
          <w:sz w:val="21"/>
          <w:szCs w:val="21"/>
        </w:rPr>
        <w:tab/>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lang w:eastAsia="zh-CN"/>
        </w:rPr>
        <w:t>3D/4D成像</w:t>
      </w:r>
    </w:p>
    <w:p w14:paraId="1624EAA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 xml:space="preserve"> </w:t>
      </w:r>
      <w:r>
        <w:rPr>
          <w:rFonts w:hint="eastAsia" w:asciiTheme="minorEastAsia" w:hAnsiTheme="minorEastAsia" w:eastAsiaTheme="minorEastAsia" w:cstheme="minorEastAsia"/>
          <w:kern w:val="0"/>
          <w:sz w:val="21"/>
          <w:szCs w:val="21"/>
          <w:lang w:val="en-US" w:eastAsia="zh-CN"/>
        </w:rPr>
        <w:t xml:space="preserve"> 3</w:t>
      </w:r>
      <w:r>
        <w:rPr>
          <w:rFonts w:hint="eastAsia" w:asciiTheme="minorEastAsia" w:hAnsiTheme="minorEastAsia" w:eastAsiaTheme="minorEastAsia" w:cstheme="minorEastAsia"/>
          <w:kern w:val="0"/>
          <w:sz w:val="21"/>
          <w:szCs w:val="21"/>
        </w:rPr>
        <w:t>.2.1</w:t>
      </w:r>
      <w:r>
        <w:rPr>
          <w:rFonts w:hint="eastAsia" w:asciiTheme="minorEastAsia" w:hAnsiTheme="minorEastAsia" w:eastAsiaTheme="minorEastAsia" w:cstheme="minorEastAsia"/>
          <w:kern w:val="0"/>
          <w:sz w:val="21"/>
          <w:szCs w:val="21"/>
          <w:lang w:val="en-US" w:eastAsia="zh-CN"/>
        </w:rPr>
        <w:t>支持妇产场景自动容积成像功能，通过自动识别当前切面的器官类型，自适应调节3D/4D扫描相关参数（例如取样框大小与位置、扫描质量、角度等），数据采集完成后自动选择适当的后处理方式（例如渲染模式、切面自动成像等），支持产科、妇科、生殖、盆底等应用</w:t>
      </w:r>
    </w:p>
    <w:p w14:paraId="5DE38A4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 xml:space="preserve">  </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.2.2</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lang w:val="en-US" w:eastAsia="zh-CN"/>
        </w:rPr>
        <w:t>容积光源渲染成像，通过虚拟光源位置的改变可得到常规容积成像难以获得的多方位容积增强显示，提供更多临床信息（可调节阴影强度及移动光源）</w:t>
      </w:r>
    </w:p>
    <w:p w14:paraId="7449032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 xml:space="preserve">  </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.2.3</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lang w:val="en-US" w:eastAsia="zh-CN"/>
        </w:rPr>
        <w:t>胎儿面部自动容积成像，可以自动的去除胎儿颜面部前面的遮挡物，使胎儿三维颜面部显示更清晰。同时可以一键调整胎儿面部的显示方向，支持正/反向橡皮擦</w:t>
      </w:r>
    </w:p>
    <w:p w14:paraId="2F960E36">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.2.4▲</w:t>
      </w:r>
      <w:r>
        <w:rPr>
          <w:rFonts w:hint="eastAsia" w:asciiTheme="minorEastAsia" w:hAnsiTheme="minorEastAsia" w:eastAsiaTheme="minorEastAsia" w:cstheme="minorEastAsia"/>
          <w:kern w:val="0"/>
          <w:sz w:val="21"/>
          <w:szCs w:val="21"/>
          <w:lang w:val="en-US" w:eastAsia="zh-CN"/>
        </w:rPr>
        <w:t>支持盆底超声智能解决方案，支持盆底前盆腔的自动测量，可一键实现从二维盆底切面至容积全自动识别评估肛提肌裂孔、肛门括约肌及自动测量等</w:t>
      </w:r>
    </w:p>
    <w:p w14:paraId="73BF9C83">
      <w:pPr>
        <w:widowControl/>
        <w:tabs>
          <w:tab w:val="left" w:pos="946"/>
        </w:tabs>
        <w:ind w:left="210" w:leftChars="100" w:right="210" w:rightChars="100"/>
        <w:contextualSpacing/>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.2.5▲</w:t>
      </w:r>
      <w:r>
        <w:rPr>
          <w:rFonts w:hint="eastAsia" w:asciiTheme="minorEastAsia" w:hAnsiTheme="minorEastAsia" w:eastAsiaTheme="minorEastAsia" w:cstheme="minorEastAsia"/>
          <w:kern w:val="0"/>
          <w:sz w:val="21"/>
          <w:szCs w:val="21"/>
          <w:lang w:val="en-US" w:eastAsia="zh-CN"/>
        </w:rPr>
        <w:t>子宫内膜自动成像与容积分析功能，可自动识别并呈现子宫内膜冠状面成像、自动进行子宫内膜容积和厚度测量</w:t>
      </w:r>
    </w:p>
    <w:p w14:paraId="2A0F577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 xml:space="preserve">  </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eastAsia="zh-CN"/>
        </w:rPr>
        <w:t>6</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lang w:val="en-US" w:eastAsia="zh-CN"/>
        </w:rPr>
        <w:t>支持胎儿脊柱自动识别评估，可一键自动拆分椎弓和椎体，同时支持脊髓圆椎横切面参考线自动显示，方便定位计数及减少临床漏诊</w:t>
      </w:r>
    </w:p>
    <w:p w14:paraId="326ED063">
      <w:pPr>
        <w:widowControl/>
        <w:tabs>
          <w:tab w:val="left" w:pos="946"/>
        </w:tabs>
        <w:ind w:left="0" w:leftChars="0" w:right="210" w:rightChars="100" w:firstLine="0" w:firstLineChars="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 xml:space="preserve">  </w:t>
      </w:r>
      <w:r>
        <w:rPr>
          <w:rFonts w:hint="eastAsia" w:asciiTheme="minorEastAsia" w:hAnsiTheme="minorEastAsia" w:eastAsiaTheme="minorEastAsia" w:cstheme="minorEastAsia"/>
          <w:kern w:val="0"/>
          <w:sz w:val="21"/>
          <w:szCs w:val="21"/>
          <w:lang w:val="en-US" w:eastAsia="zh-CN"/>
        </w:rPr>
        <w:t xml:space="preserve">    3</w:t>
      </w: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eastAsia="zh-CN"/>
        </w:rPr>
        <w:t>7</w:t>
      </w:r>
      <w:r>
        <w:rPr>
          <w:rFonts w:hint="eastAsia" w:asciiTheme="minorEastAsia" w:hAnsiTheme="minorEastAsia" w:eastAsiaTheme="minorEastAsia" w:cstheme="minorEastAsia"/>
          <w:kern w:val="0"/>
          <w:sz w:val="21"/>
          <w:szCs w:val="21"/>
        </w:rPr>
        <w:t>支持</w:t>
      </w:r>
      <w:r>
        <w:rPr>
          <w:rFonts w:hint="eastAsia" w:asciiTheme="minorEastAsia" w:hAnsiTheme="minorEastAsia" w:eastAsiaTheme="minorEastAsia" w:cstheme="minorEastAsia"/>
          <w:kern w:val="0"/>
          <w:sz w:val="21"/>
          <w:szCs w:val="21"/>
          <w:lang w:eastAsia="zh-CN"/>
        </w:rPr>
        <w:t>子宫输卵管造影软件</w:t>
      </w:r>
    </w:p>
    <w:p w14:paraId="6FEE9F24">
      <w:pPr>
        <w:widowControl/>
        <w:tabs>
          <w:tab w:val="left" w:pos="946"/>
        </w:tabs>
        <w:ind w:left="0" w:leftChars="0" w:right="210" w:rightChars="100" w:firstLine="0" w:firstLineChars="0"/>
        <w:contextualSpacing/>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四、</w:t>
      </w:r>
      <w:r>
        <w:rPr>
          <w:rFonts w:hint="eastAsia" w:asciiTheme="minorEastAsia" w:hAnsiTheme="minorEastAsia" w:eastAsiaTheme="minorEastAsia" w:cstheme="minorEastAsia"/>
          <w:b w:val="0"/>
          <w:bCs w:val="0"/>
          <w:kern w:val="0"/>
          <w:sz w:val="21"/>
          <w:szCs w:val="21"/>
        </w:rPr>
        <w:t>测量分析和报告</w:t>
      </w:r>
    </w:p>
    <w:p w14:paraId="582CF29E">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全科测量包，自动生成报告： 腹部、妇科、产科、心脏、泌尿、小器官、儿科、血管、神经、急诊科</w:t>
      </w:r>
    </w:p>
    <w:p w14:paraId="247FC960">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.2血管内中膜自动测量技术，测量数据至少包括最大值、最小值、平均值、标准差、ROI长度、测量长度及质量指标，具有IMT分析评估曲线</w:t>
      </w:r>
    </w:p>
    <w:p w14:paraId="34D653D6">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自动工作流协议（非预设条件），检查过程中可根据定义的协议自动切换图像模式，自动标记体标示意图，自动注释等，节省操作时间。操作协议可用户自定义，并可支持导出协议到其他机器上使用，有利于规范化管理。</w:t>
      </w:r>
    </w:p>
    <w:p w14:paraId="438BBE03">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全自动左心射血分数的测量，不需要连接心电图，并具有专门按键，对冻结的心脏图像，一次按键，机器自动识别左心室的舒张末期和收缩末期，并且以左右双幅图像显示，自动得出EF、SV等测量数值</w:t>
      </w:r>
    </w:p>
    <w:p w14:paraId="7AF52AB4">
      <w:pPr>
        <w:widowControl/>
        <w:tabs>
          <w:tab w:val="left" w:pos="946"/>
        </w:tabs>
        <w:ind w:left="0" w:leftChars="0" w:right="210" w:rightChars="100" w:firstLine="0" w:firstLineChars="0"/>
        <w:contextualSpacing/>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五、</w:t>
      </w:r>
      <w:r>
        <w:rPr>
          <w:rFonts w:hint="eastAsia" w:asciiTheme="minorEastAsia" w:hAnsiTheme="minorEastAsia" w:eastAsiaTheme="minorEastAsia" w:cstheme="minorEastAsia"/>
          <w:b w:val="0"/>
          <w:bCs w:val="0"/>
          <w:kern w:val="0"/>
          <w:sz w:val="21"/>
          <w:szCs w:val="21"/>
        </w:rPr>
        <w:t>电影回放、原始数据处理和检查存储管理系统</w:t>
      </w:r>
    </w:p>
    <w:p w14:paraId="4F89CE6E">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电影回放所有模式下可用，支持手动、自动回放，支持4D 电影回放</w:t>
      </w:r>
    </w:p>
    <w:p w14:paraId="17ECB3A2">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原始数据处理，最大可进行32项参数调节（包括B模式10种、M型模式6种、彩色模式7种、PW模式9种）</w:t>
      </w:r>
    </w:p>
    <w:p w14:paraId="70BE7014">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.3 在检查的同时进行同步存储图像信息至U盘记录，可以在您不中断扫查、保持检查连续性的同时，进行大容量、快速的数据备份。</w:t>
      </w:r>
    </w:p>
    <w:p w14:paraId="047F688F">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内置双硬盘设计（非外接，包括固态硬盘≥120GB和机械硬盘≥1TB），两个硬盘独立</w:t>
      </w:r>
      <w:r>
        <w:rPr>
          <w:rFonts w:hint="eastAsia" w:asciiTheme="minorEastAsia" w:hAnsiTheme="minorEastAsia" w:eastAsiaTheme="minorEastAsia" w:cstheme="minorEastAsia"/>
          <w:kern w:val="0"/>
          <w:sz w:val="21"/>
          <w:szCs w:val="21"/>
          <w:lang w:val="en-US" w:eastAsia="zh-CN"/>
        </w:rPr>
        <w:t>运</w:t>
      </w:r>
      <w:r>
        <w:rPr>
          <w:rFonts w:hint="eastAsia" w:asciiTheme="minorEastAsia" w:hAnsiTheme="minorEastAsia" w:eastAsiaTheme="minorEastAsia" w:cstheme="minorEastAsia"/>
          <w:kern w:val="0"/>
          <w:sz w:val="21"/>
          <w:szCs w:val="21"/>
        </w:rPr>
        <w:t>行</w:t>
      </w:r>
    </w:p>
    <w:p w14:paraId="038E9257">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5.5</w:t>
      </w:r>
      <w:r>
        <w:rPr>
          <w:rFonts w:hint="eastAsia" w:asciiTheme="minorEastAsia" w:hAnsiTheme="minorEastAsia" w:eastAsiaTheme="minorEastAsia" w:cstheme="minorEastAsia"/>
          <w:kern w:val="0"/>
          <w:sz w:val="21"/>
          <w:szCs w:val="21"/>
        </w:rPr>
        <w:t>电影回放：灰阶图像回放≥3000幅、回放时间≥100秒</w:t>
      </w:r>
    </w:p>
    <w:p w14:paraId="4C44B915">
      <w:pPr>
        <w:widowControl/>
        <w:tabs>
          <w:tab w:val="left" w:pos="946"/>
        </w:tabs>
        <w:ind w:left="0" w:leftChars="0" w:right="210" w:rightChars="100" w:firstLine="0" w:firstLineChars="0"/>
        <w:contextualSpacing/>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六、</w:t>
      </w:r>
      <w:r>
        <w:rPr>
          <w:rFonts w:hint="eastAsia" w:asciiTheme="minorEastAsia" w:hAnsiTheme="minorEastAsia" w:eastAsiaTheme="minorEastAsia" w:cstheme="minorEastAsia"/>
          <w:b w:val="0"/>
          <w:bCs w:val="0"/>
          <w:kern w:val="0"/>
          <w:sz w:val="21"/>
          <w:szCs w:val="21"/>
        </w:rPr>
        <w:t>系统技术参数及要求</w:t>
      </w:r>
    </w:p>
    <w:p w14:paraId="7E0E3FA2">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kern w:val="0"/>
          <w:sz w:val="21"/>
          <w:szCs w:val="21"/>
          <w:lang w:val="en-US" w:eastAsia="zh-CN"/>
        </w:rPr>
        <w:t>6</w:t>
      </w:r>
      <w:r>
        <w:rPr>
          <w:rFonts w:hint="eastAsia" w:asciiTheme="minorEastAsia" w:hAnsiTheme="minorEastAsia" w:eastAsiaTheme="minorEastAsia" w:cstheme="minorEastAsia"/>
          <w:b w:val="0"/>
          <w:bCs w:val="0"/>
          <w:kern w:val="0"/>
          <w:sz w:val="21"/>
          <w:szCs w:val="21"/>
        </w:rPr>
        <w:t>.1二维灰阶模式</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rPr>
        <w:t>数字</w:t>
      </w:r>
      <w:r>
        <w:rPr>
          <w:rFonts w:hint="eastAsia" w:asciiTheme="minorEastAsia" w:hAnsiTheme="minorEastAsia" w:eastAsiaTheme="minorEastAsia" w:cstheme="minorEastAsia"/>
          <w:kern w:val="0"/>
          <w:sz w:val="21"/>
          <w:szCs w:val="21"/>
        </w:rPr>
        <w:t>化全域动态聚焦，数字化可变孔径及动态变迹， A/D ≥ 12 bit</w:t>
      </w:r>
    </w:p>
    <w:p w14:paraId="15510127">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.1.1最大显示深度:≥40cm</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动态范围：30-260dB</w:t>
      </w:r>
    </w:p>
    <w:p w14:paraId="002D9094">
      <w:pPr>
        <w:widowControl/>
        <w:tabs>
          <w:tab w:val="left" w:pos="946"/>
        </w:tabs>
        <w:ind w:left="210" w:leftChars="100" w:right="210" w:rightChars="100" w:firstLine="128" w:firstLineChars="61"/>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val="en-US" w:eastAsia="zh-CN"/>
        </w:rPr>
        <w:t xml:space="preserve">  6</w:t>
      </w:r>
      <w:r>
        <w:rPr>
          <w:rFonts w:hint="eastAsia" w:asciiTheme="minorEastAsia" w:hAnsiTheme="minorEastAsia" w:eastAsiaTheme="minorEastAsia" w:cstheme="minorEastAsia"/>
          <w:kern w:val="0"/>
          <w:sz w:val="21"/>
          <w:szCs w:val="21"/>
        </w:rPr>
        <w:t xml:space="preserve">.1.2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TGC: ≥8段</w:t>
      </w:r>
    </w:p>
    <w:p w14:paraId="22EB037D">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.1.3</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LGC: ≥8段</w:t>
      </w:r>
    </w:p>
    <w:p w14:paraId="5EC07792">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.1.4</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腔内探头扫描角度:≥200度</w:t>
      </w:r>
    </w:p>
    <w:p w14:paraId="43728142">
      <w:pPr>
        <w:widowControl/>
        <w:tabs>
          <w:tab w:val="left" w:pos="946"/>
        </w:tabs>
        <w:ind w:left="210" w:leftChars="100" w:right="210" w:rightChars="100"/>
        <w:contextualSpacing/>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val="0"/>
          <w:bCs w:val="0"/>
          <w:kern w:val="0"/>
          <w:sz w:val="21"/>
          <w:szCs w:val="21"/>
          <w:lang w:val="en-US" w:eastAsia="zh-CN"/>
        </w:rPr>
        <w:t>6</w:t>
      </w:r>
      <w:r>
        <w:rPr>
          <w:rFonts w:hint="eastAsia" w:asciiTheme="minorEastAsia" w:hAnsiTheme="minorEastAsia" w:eastAsiaTheme="minorEastAsia" w:cstheme="minorEastAsia"/>
          <w:b w:val="0"/>
          <w:bCs w:val="0"/>
          <w:kern w:val="0"/>
          <w:sz w:val="21"/>
          <w:szCs w:val="21"/>
        </w:rPr>
        <w:t>.2彩色多普勒成像</w:t>
      </w:r>
    </w:p>
    <w:p w14:paraId="097DDFF5">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.2.1</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包括速度、速度方差、能量、方向能量显示等</w:t>
      </w:r>
    </w:p>
    <w:p w14:paraId="1E3473DE">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.2.2</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取样框偏转: ≥±30度（线阵探头）</w:t>
      </w:r>
    </w:p>
    <w:p w14:paraId="71337229">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.2.3</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支持B/C 同宽</w:t>
      </w:r>
    </w:p>
    <w:p w14:paraId="0DCDBECA">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 xml:space="preserve"> 频谱多普勒模式</w:t>
      </w:r>
    </w:p>
    <w:p w14:paraId="5B958639">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.3.1 最大速度: ≥8.60m/s（连续多普勒速度: ≥35m/s）</w:t>
      </w:r>
    </w:p>
    <w:p w14:paraId="40AB1A95">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.3.2 最小速度: ≤1 mm /s（非噪声信号）</w:t>
      </w:r>
    </w:p>
    <w:p w14:paraId="11FF1740">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.3.3</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取样容积: 0.5-30mm ，支持所有探头</w:t>
      </w:r>
    </w:p>
    <w:p w14:paraId="71706005">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.3.4</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偏转角度: ≥±30度 （线阵探头）</w:t>
      </w:r>
    </w:p>
    <w:p w14:paraId="1D84AE9F">
      <w:pPr>
        <w:widowControl/>
        <w:tabs>
          <w:tab w:val="left" w:pos="946"/>
        </w:tabs>
        <w:ind w:left="0" w:leftChars="0" w:right="210" w:rightChars="100" w:firstLine="0" w:firstLineChars="0"/>
        <w:contextualSpacing/>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七、</w:t>
      </w:r>
      <w:r>
        <w:rPr>
          <w:rFonts w:hint="eastAsia" w:asciiTheme="minorEastAsia" w:hAnsiTheme="minorEastAsia" w:eastAsiaTheme="minorEastAsia" w:cstheme="minorEastAsia"/>
          <w:b w:val="0"/>
          <w:bCs w:val="0"/>
          <w:kern w:val="0"/>
          <w:sz w:val="21"/>
          <w:szCs w:val="21"/>
        </w:rPr>
        <w:t>探头规格</w:t>
      </w:r>
    </w:p>
    <w:p w14:paraId="219C891D">
      <w:pPr>
        <w:widowControl/>
        <w:tabs>
          <w:tab w:val="left" w:pos="946"/>
        </w:tabs>
        <w:ind w:left="210" w:leftChars="100" w:right="210" w:rightChars="1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7.1</w:t>
      </w:r>
      <w:r>
        <w:rPr>
          <w:rFonts w:hint="eastAsia" w:asciiTheme="minorEastAsia" w:hAnsiTheme="minorEastAsia" w:eastAsiaTheme="minorEastAsia" w:cstheme="minorEastAsia"/>
          <w:kern w:val="0"/>
          <w:sz w:val="21"/>
          <w:szCs w:val="21"/>
        </w:rPr>
        <w:t>单晶体凸阵探头频率：1.2-6.0 MHz</w:t>
      </w:r>
    </w:p>
    <w:p w14:paraId="5C6906D0">
      <w:pPr>
        <w:widowControl/>
        <w:tabs>
          <w:tab w:val="left" w:pos="946"/>
        </w:tabs>
        <w:ind w:right="210" w:rightChars="100" w:firstLine="630" w:firstLineChars="3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7.2</w:t>
      </w:r>
      <w:r>
        <w:rPr>
          <w:rFonts w:hint="eastAsia" w:asciiTheme="minorEastAsia" w:hAnsiTheme="minorEastAsia" w:eastAsiaTheme="minorEastAsia" w:cstheme="minorEastAsia"/>
          <w:kern w:val="0"/>
          <w:sz w:val="21"/>
          <w:szCs w:val="21"/>
        </w:rPr>
        <w:t>单晶体相控阵探头频率：1.5-4.0MHZ</w:t>
      </w:r>
    </w:p>
    <w:p w14:paraId="2304FC4F">
      <w:pPr>
        <w:widowControl/>
        <w:tabs>
          <w:tab w:val="left" w:pos="946"/>
        </w:tabs>
        <w:ind w:right="210" w:rightChars="100" w:firstLine="630" w:firstLineChars="3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7.3</w:t>
      </w:r>
      <w:r>
        <w:rPr>
          <w:rFonts w:hint="eastAsia" w:asciiTheme="minorEastAsia" w:hAnsiTheme="minorEastAsia" w:eastAsiaTheme="minorEastAsia" w:cstheme="minorEastAsia"/>
          <w:kern w:val="0"/>
          <w:sz w:val="21"/>
          <w:szCs w:val="21"/>
        </w:rPr>
        <w:t>矩阵线阵探头频率：</w:t>
      </w:r>
      <w:r>
        <w:rPr>
          <w:rFonts w:hint="eastAsia" w:asciiTheme="minorEastAsia" w:hAnsiTheme="minorEastAsia" w:eastAsiaTheme="minorEastAsia" w:cstheme="minorEastAsia"/>
          <w:kern w:val="0"/>
          <w:sz w:val="21"/>
          <w:szCs w:val="21"/>
          <w:lang w:val="en-US" w:eastAsia="zh-CN"/>
        </w:rPr>
        <w:t>3.8</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0 MHz</w:t>
      </w:r>
    </w:p>
    <w:p w14:paraId="55AEC3DB">
      <w:pPr>
        <w:widowControl/>
        <w:tabs>
          <w:tab w:val="left" w:pos="946"/>
        </w:tabs>
        <w:ind w:right="210" w:rightChars="100" w:firstLine="630" w:firstLineChars="3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7.4高频</w:t>
      </w:r>
      <w:r>
        <w:rPr>
          <w:rFonts w:hint="eastAsia" w:asciiTheme="minorEastAsia" w:hAnsiTheme="minorEastAsia" w:eastAsiaTheme="minorEastAsia" w:cstheme="minorEastAsia"/>
          <w:kern w:val="0"/>
          <w:sz w:val="21"/>
          <w:szCs w:val="21"/>
        </w:rPr>
        <w:t>线阵探头频率：</w:t>
      </w:r>
      <w:r>
        <w:rPr>
          <w:rFonts w:hint="eastAsia" w:asciiTheme="minorEastAsia" w:hAnsiTheme="minorEastAsia" w:eastAsiaTheme="minorEastAsia" w:cstheme="minorEastAsia"/>
          <w:kern w:val="0"/>
          <w:sz w:val="21"/>
          <w:szCs w:val="21"/>
          <w:lang w:val="en-US" w:eastAsia="zh-CN"/>
        </w:rPr>
        <w:t>6.0</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.0 MHz</w:t>
      </w:r>
    </w:p>
    <w:p w14:paraId="6E3A67D1">
      <w:pPr>
        <w:widowControl/>
        <w:tabs>
          <w:tab w:val="left" w:pos="946"/>
        </w:tabs>
        <w:ind w:right="210" w:rightChars="100" w:firstLine="630" w:firstLineChars="300"/>
        <w:contextualSpacing/>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7.5</w:t>
      </w:r>
      <w:r>
        <w:rPr>
          <w:rFonts w:hint="eastAsia" w:asciiTheme="minorEastAsia" w:hAnsiTheme="minorEastAsia" w:eastAsiaTheme="minorEastAsia" w:cstheme="minorEastAsia"/>
          <w:kern w:val="0"/>
          <w:sz w:val="21"/>
          <w:szCs w:val="21"/>
        </w:rPr>
        <w:t>单晶体腔内探头频率:  2.0-9.0 MHz</w:t>
      </w:r>
    </w:p>
    <w:p w14:paraId="65FC2BCE">
      <w:pPr>
        <w:widowControl/>
        <w:tabs>
          <w:tab w:val="left" w:pos="946"/>
        </w:tabs>
        <w:ind w:right="210" w:rightChars="100" w:firstLine="630" w:firstLineChars="300"/>
        <w:contextualSpacing/>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1"/>
          <w:szCs w:val="21"/>
          <w:lang w:val="en-US" w:eastAsia="zh-CN"/>
        </w:rPr>
        <w:t>7.6</w:t>
      </w:r>
      <w:r>
        <w:rPr>
          <w:rFonts w:hint="eastAsia" w:asciiTheme="minorEastAsia" w:hAnsiTheme="minorEastAsia" w:eastAsiaTheme="minorEastAsia" w:cstheme="minorEastAsia"/>
          <w:kern w:val="0"/>
          <w:sz w:val="21"/>
          <w:szCs w:val="21"/>
        </w:rPr>
        <w:t>腔内容积探头频率：带宽2.0-9.0MHz，图像角度≥190°</w:t>
      </w:r>
    </w:p>
    <w:p w14:paraId="6C151207">
      <w:pPr>
        <w:rPr>
          <w:rFonts w:hint="eastAsia" w:asciiTheme="minorEastAsia" w:hAnsiTheme="minorEastAsia" w:eastAsiaTheme="minorEastAsia" w:cstheme="minorEastAsia"/>
        </w:rPr>
      </w:pPr>
    </w:p>
    <w:p w14:paraId="19AC8C33">
      <w:pPr>
        <w:numPr>
          <w:ilvl w:val="0"/>
          <w:numId w:val="0"/>
        </w:numP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二、配置要求：</w:t>
      </w:r>
    </w:p>
    <w:p w14:paraId="7B91108F">
      <w:p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配备2个超声探头穿刺架，1台彩色打印机，1台不间断UPS电源，1套适用于本院超声科的超声工作站和采集卡，1台电脑：(电脑配置至少达到I5、8G、1T、win11，27寸电脑显示屏），1张超声检查床。</w:t>
      </w:r>
    </w:p>
    <w:p w14:paraId="09ACD4D1">
      <w:pPr>
        <w:spacing w:line="240" w:lineRule="auto"/>
        <w:ind w:firstLine="0" w:firstLineChars="0"/>
        <w:rPr>
          <w:rFonts w:hint="default" w:cs="宋体" w:asciiTheme="majorEastAsia" w:hAnsiTheme="majorEastAsia" w:eastAsiaTheme="majorEastAsia"/>
          <w:szCs w:val="21"/>
          <w:lang w:val="en-US" w:eastAsia="zh-CN"/>
        </w:rPr>
      </w:pPr>
    </w:p>
    <w:p w14:paraId="3BEB8746">
      <w:pPr>
        <w:rPr>
          <w:rFonts w:hint="eastAsia" w:cs="宋体" w:asciiTheme="majorEastAsia" w:hAnsiTheme="majorEastAsia" w:eastAsiaTheme="majorEastAsia"/>
          <w:szCs w:val="21"/>
          <w:lang w:val="en-US" w:eastAsia="zh-CN"/>
        </w:rPr>
      </w:pPr>
    </w:p>
    <w:p w14:paraId="1F2A391B">
      <w:pPr>
        <w:rPr>
          <w:rFonts w:hint="eastAsia" w:cs="宋体" w:asciiTheme="majorEastAsia" w:hAnsiTheme="majorEastAsia" w:eastAsiaTheme="majorEastAsia"/>
          <w:b/>
          <w:bCs/>
          <w:sz w:val="24"/>
          <w:szCs w:val="24"/>
          <w:highlight w:val="lightGray"/>
          <w:lang w:val="en-US" w:eastAsia="zh-CN"/>
        </w:rPr>
      </w:pPr>
      <w:r>
        <w:rPr>
          <w:rFonts w:hint="eastAsia" w:cs="宋体" w:asciiTheme="majorEastAsia" w:hAnsiTheme="majorEastAsia" w:eastAsiaTheme="majorEastAsia"/>
          <w:b/>
          <w:bCs/>
          <w:sz w:val="24"/>
          <w:szCs w:val="24"/>
          <w:highlight w:val="lightGray"/>
          <w:lang w:val="en-US" w:eastAsia="zh-CN"/>
        </w:rPr>
        <w:t>七、</w:t>
      </w:r>
      <w:r>
        <w:rPr>
          <w:rFonts w:hint="eastAsia" w:ascii="宋体" w:hAnsi="宋体" w:eastAsia="宋体" w:cs="宋体"/>
          <w:b/>
          <w:bCs/>
          <w:i w:val="0"/>
          <w:iCs w:val="0"/>
          <w:color w:val="auto"/>
          <w:kern w:val="0"/>
          <w:sz w:val="24"/>
          <w:szCs w:val="24"/>
          <w:highlight w:val="lightGray"/>
          <w:u w:val="none"/>
          <w:lang w:val="en-US" w:eastAsia="zh-CN" w:bidi="ar"/>
        </w:rPr>
        <w:t>彩色多普勒超声诊断仪（1套、160万）</w:t>
      </w:r>
      <w:r>
        <w:rPr>
          <w:rFonts w:hint="eastAsia" w:cs="宋体" w:asciiTheme="majorEastAsia" w:hAnsiTheme="majorEastAsia" w:eastAsiaTheme="majorEastAsia"/>
          <w:b/>
          <w:bCs/>
          <w:sz w:val="24"/>
          <w:szCs w:val="24"/>
          <w:highlight w:val="lightGray"/>
          <w:lang w:val="en-US" w:eastAsia="zh-CN"/>
        </w:rPr>
        <w:t>：</w:t>
      </w:r>
    </w:p>
    <w:p w14:paraId="4E3F2440">
      <w:pPr>
        <w:rPr>
          <w:rFonts w:hint="eastAsia" w:asciiTheme="minorEastAsia" w:hAnsiTheme="minorEastAsia" w:eastAsiaTheme="minorEastAsia" w:cstheme="minorEastAsia"/>
        </w:rPr>
      </w:pPr>
    </w:p>
    <w:p w14:paraId="1AD505F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一、主机成像系统</w:t>
      </w:r>
    </w:p>
    <w:p w14:paraId="717EC4A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1.1高分辨率液晶显示器≥23英寸，屏幕亮度和对比度数字可调，显示器亮度可根据环境光自动调节，可上下左右任意旋转，可前后折叠。  </w:t>
      </w:r>
    </w:p>
    <w:p w14:paraId="28A283F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1.2▲操作面板具备液晶触摸屏≥15英寸。触摸屏可独立调节角度≥</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0度。</w:t>
      </w:r>
    </w:p>
    <w:p w14:paraId="38DCAB0F">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1.3触摸屏可通过手指滑动触摸屏进行翻页，可将显示器上的超声图像投影到触摸屏上，通过手指进行放大，描迹测量等操作。</w:t>
      </w:r>
    </w:p>
    <w:p w14:paraId="380C8E1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1.4控制面板全空间悬浮式调节，可同时旋转和升降，前后拉升。</w:t>
      </w:r>
    </w:p>
    <w:p w14:paraId="49EFFD9A">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1.5控制面板上可自定义按键≥10个，按键上可直接显示自定义的功能名称。</w:t>
      </w:r>
    </w:p>
    <w:p w14:paraId="7AFB665B">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1.6主机操作面板一体化耦合剂加热装置，耦合剂温度三挡可调；</w:t>
      </w:r>
    </w:p>
    <w:p w14:paraId="5A77543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1.7▲探头接口≥</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个，要求全激活、相互通用</w:t>
      </w:r>
    </w:p>
    <w:p w14:paraId="06D6447E">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1.8数字化全程动态聚焦，数字化可变孔径及动态变迹，A/D≥12 bit</w:t>
      </w:r>
    </w:p>
    <w:p w14:paraId="30E49C19">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1.9多倍信号并行处理</w:t>
      </w:r>
    </w:p>
    <w:p w14:paraId="35257645">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1.10数字化二维灰阶成像及M型显像单元；</w:t>
      </w:r>
    </w:p>
    <w:p w14:paraId="79394072">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1.11彩色多普勒成像技术；</w:t>
      </w:r>
    </w:p>
    <w:p w14:paraId="1F6B9B4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1.12彩色多普勒能量图技术；</w:t>
      </w:r>
    </w:p>
    <w:p w14:paraId="007743F6">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1.13方向性能量图技术</w:t>
      </w:r>
    </w:p>
    <w:p w14:paraId="166C26A9">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1.14解剖M型技术，要求取样线≥2条，可360度任意旋转，可在实时和冻结的二维图像上获取解剖M图像。</w:t>
      </w:r>
    </w:p>
    <w:p w14:paraId="1FDD8196">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1.15数字化频谱多普勒显示和分析单元 (包括 PW 、CW和 HPRF)</w:t>
      </w:r>
    </w:p>
    <w:p w14:paraId="1EC1E79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1.16斑点噪声抑制成像，在二维图像，造影成像模式及三维成像下可支持；</w:t>
      </w:r>
    </w:p>
    <w:p w14:paraId="61BDE46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1.17一键快速优化多种参数，自动优化图像。</w:t>
      </w:r>
    </w:p>
    <w:p w14:paraId="6B7837C9">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1.18自动血流跟踪技术，一键实时自动优化Color/Power及PW频谱图像、Color/Power框的位置和角度、PW取样门的位置、角度和大小等。</w:t>
      </w:r>
    </w:p>
    <w:p w14:paraId="289DF4A4">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1.19穿刺针增强技术，具有双屏实时对比显示，增强前后效果，并支持自适应校正角度</w:t>
      </w:r>
    </w:p>
    <w:p w14:paraId="5AD24640">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1.20速度标识功能，标识不同血流速度边界，观察血流分布及速度梯度</w:t>
      </w:r>
    </w:p>
    <w:p w14:paraId="1A448FE5">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1.21图像放大，支持前端放大和后端放大，放大倍数≥10倍</w:t>
      </w:r>
    </w:p>
    <w:p w14:paraId="425169AA">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1.22全屏放大，支持≥2种放大模式</w:t>
      </w:r>
    </w:p>
    <w:p w14:paraId="7C2D911B">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1.23线阵探头双B图像拼接</w:t>
      </w:r>
    </w:p>
    <w:p w14:paraId="5F3B2394">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1.24声功率可调，实时显示MI/TI（TIB，TIC，TIS）</w:t>
      </w:r>
    </w:p>
    <w:p w14:paraId="58FB002E">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1.25自动工作流，检查过程中可按照协议自动注释，自动标记体位图，自动切换图像模式等。</w:t>
      </w:r>
    </w:p>
    <w:p w14:paraId="46F2C53E">
      <w:pPr>
        <w:ind w:firstLine="0" w:firstLineChars="0"/>
        <w:rPr>
          <w:rFonts w:hint="eastAsia" w:asciiTheme="minorEastAsia" w:hAnsiTheme="minorEastAsia" w:eastAsiaTheme="minorEastAsia" w:cstheme="minorEastAsia"/>
        </w:rPr>
      </w:pPr>
    </w:p>
    <w:p w14:paraId="225F7AB6">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二、测量/分析和报告</w:t>
      </w:r>
    </w:p>
    <w:p w14:paraId="36F05DFB">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2.1一般测量：距离、周长、面积、体积、角度、自动频谱测量</w:t>
      </w:r>
    </w:p>
    <w:p w14:paraId="2F0B24FF">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2.2全科测量包，自动生成报告</w:t>
      </w:r>
    </w:p>
    <w:p w14:paraId="111F8755">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2.3自动产科测量，要求自动测量≥4项胎儿发育评估指标</w:t>
      </w:r>
    </w:p>
    <w:p w14:paraId="2064CEC6">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2.4自动NT测量</w:t>
      </w:r>
    </w:p>
    <w:p w14:paraId="66301E3C">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2.5血管内中膜自动测量，可同时自动描记血管前、后壁的内中膜，自动生成测量数据，测量结果参数≥7项。</w:t>
      </w:r>
    </w:p>
    <w:p w14:paraId="009C3E92">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2.6▲支持血管内中膜自动实时测量,自动获取6组IMT内膜厚度值,并实时更新。</w:t>
      </w:r>
    </w:p>
    <w:p w14:paraId="12FF9B5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2.7支持血管体位图手动编辑功能，通过手动编辑体位图，直观显示病变的位置。</w:t>
      </w:r>
    </w:p>
    <w:p w14:paraId="71E74335">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2.8智能盆底解决方案，通过选取特征点，即可快速建立参考线，并自动获取盆底超声检查所需的测量参数。</w:t>
      </w:r>
    </w:p>
    <w:p w14:paraId="4E8CEB5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2.9心功能自动测量软件,自动识别四腔心、两腔心切面，自动识别心肌边界，并进行自动描迹，无需手动选择切面和手动描记。</w:t>
      </w:r>
    </w:p>
    <w:p w14:paraId="13E08786">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2.10小儿髋关节自动测量功能，可自动计算α角,β角，自动进行临床分型。</w:t>
      </w:r>
    </w:p>
    <w:p w14:paraId="60DD9364">
      <w:pPr>
        <w:ind w:firstLine="0" w:firstLineChars="0"/>
        <w:rPr>
          <w:rFonts w:hint="eastAsia" w:asciiTheme="minorEastAsia" w:hAnsiTheme="minorEastAsia" w:eastAsiaTheme="minorEastAsia" w:cstheme="minorEastAsia"/>
        </w:rPr>
      </w:pPr>
    </w:p>
    <w:p w14:paraId="3919C1AA">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三、电影回放和数据存储</w:t>
      </w:r>
    </w:p>
    <w:p w14:paraId="5B47B177">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3.1支持二维、彩色、造影、4D等模式的手动和自动回放，电影回放支持编辑和剪接功能</w:t>
      </w:r>
    </w:p>
    <w:p w14:paraId="34720B8B">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3.2电影回放：≥1000秒</w:t>
      </w:r>
    </w:p>
    <w:p w14:paraId="29A656FB">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3.3支持向后存储和向前存储，时间长度可预置，向后存储≥6分钟的电影，对剪接和编辑的电影图像可多次存储和多次编辑；图像和电影均可以实时扫描、冻结状态下直接存储，并且具有独立的存储功能键</w:t>
      </w:r>
    </w:p>
    <w:p w14:paraId="0118168A">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3.4支持同屏对比多个不同模式的动态、静态图像</w:t>
      </w:r>
    </w:p>
    <w:p w14:paraId="6CB4A0DC">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3.5原始数据处理，支持动、静态图像冻结后，最大可进行32项参数调节。能支持二维图像离线后进行M成像。</w:t>
      </w:r>
    </w:p>
    <w:p w14:paraId="278F4B02">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3.6硬盘：≥1T硬盘，SSD固态硬盘≥128G</w:t>
      </w:r>
    </w:p>
    <w:p w14:paraId="4AB96437">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3.7多种导出图像格式：动态图像、静态图像以PC格式直接导出。导出、备份图像数据资料同时，可进行实时检查，不影响检查操作</w:t>
      </w:r>
    </w:p>
    <w:p w14:paraId="712FF053">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3.8支持一键传输图片到智能手机终端或PC端</w:t>
      </w:r>
    </w:p>
    <w:p w14:paraId="12AF0F5A">
      <w:pPr>
        <w:ind w:firstLine="0" w:firstLineChars="0"/>
        <w:rPr>
          <w:rFonts w:hint="eastAsia" w:asciiTheme="minorEastAsia" w:hAnsiTheme="minorEastAsia" w:eastAsiaTheme="minorEastAsia" w:cstheme="minorEastAsia"/>
        </w:rPr>
      </w:pPr>
    </w:p>
    <w:p w14:paraId="39446E03">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四、连通性要求</w:t>
      </w:r>
    </w:p>
    <w:p w14:paraId="28B57B44">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4.1支持网络连接，能开放DICOM 3.0接口满足任何厂家PACS联网传输；</w:t>
      </w:r>
    </w:p>
    <w:p w14:paraId="797E7352">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4.2支持移动设备无线传输，一键传输图片到智能手机终端或PC端。支持手机等移动终端APP远程操作设备；</w:t>
      </w:r>
    </w:p>
    <w:p w14:paraId="57EB6F5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4.3输入接口：音频输入，ECG信号输入</w:t>
      </w:r>
    </w:p>
    <w:p w14:paraId="44F08AC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4.4输出信号：HDMI视频，S-VIDEO视频, VGA视频</w:t>
      </w:r>
    </w:p>
    <w:p w14:paraId="703DF6DF">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4.5 ≥6个USB接口、DVD R/W刻录光驱、TYPE C 数据接口</w:t>
      </w:r>
    </w:p>
    <w:p w14:paraId="68A7116D">
      <w:pPr>
        <w:ind w:firstLine="0" w:firstLineChars="0"/>
        <w:rPr>
          <w:rFonts w:hint="eastAsia" w:asciiTheme="minorEastAsia" w:hAnsiTheme="minorEastAsia" w:eastAsiaTheme="minorEastAsia" w:cstheme="minorEastAsia"/>
        </w:rPr>
      </w:pPr>
    </w:p>
    <w:p w14:paraId="21C43A59">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五、系统技术参数及要求</w:t>
      </w:r>
    </w:p>
    <w:p w14:paraId="1125329A">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5.1二维灰阶模式</w:t>
      </w:r>
    </w:p>
    <w:p w14:paraId="7BD9E03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5.1.1数字化全程动态聚焦，数字化可变孔径及动态变迹，A/D≥12 bit</w:t>
      </w:r>
    </w:p>
    <w:p w14:paraId="20C77E6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5.1.2接收方式：发射、接收通道≥1024，多倍信号并行处理</w:t>
      </w:r>
    </w:p>
    <w:p w14:paraId="789D3BD0">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5.1.3扫描线：每帧线密度≥512超声线</w:t>
      </w:r>
    </w:p>
    <w:p w14:paraId="1C153907">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5.1.4预设条件：针对不同的检查脏器，预置最佳图像检查条件</w:t>
      </w:r>
    </w:p>
    <w:p w14:paraId="4217AD89">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5.1.5复合成像技术：采用多达9条声束偏转的复合超声成像，提升图像的细节分辨率和加强边界显示，消除伪像；</w:t>
      </w:r>
    </w:p>
    <w:p w14:paraId="44F6947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5.1.6组织特异性成像预设，针对不同脏器预设最佳声波传播速度用于计算成像，减少因成像声速值与实际声速值偏差导致图像失真</w:t>
      </w:r>
    </w:p>
    <w:p w14:paraId="0853B2B0">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5.1.7声速匹配技术，可根据人体组织真实情况，一键实时自动匹配至最佳成像声速</w:t>
      </w:r>
    </w:p>
    <w:p w14:paraId="398E753E">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5.1.8最大显示深度:≥38cm </w:t>
      </w:r>
    </w:p>
    <w:p w14:paraId="4BB2FE3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5.1.9▲ TGC: ≥8段，LGC: ≥6段</w:t>
      </w:r>
    </w:p>
    <w:p w14:paraId="25E68580">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5.1.10动态范围: ≥200 </w:t>
      </w:r>
    </w:p>
    <w:p w14:paraId="46DA3896">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5.1.11增益调节: B/M/D分别独立可调，≥100，可视可调步进≤1db</w:t>
      </w:r>
    </w:p>
    <w:p w14:paraId="3765948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5.1.12伪彩图谱: ≥8种</w:t>
      </w:r>
    </w:p>
    <w:p w14:paraId="5A9BF0A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5.1.13最大帧率: ≥1000 帧/秒</w:t>
      </w:r>
    </w:p>
    <w:p w14:paraId="5883BB4A">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5.1.14成像速度：相控阵探头，18CM深度时, 扫描角度90度，帧率≥50帧/秒；凸阵探头，18CM深度时, 扫描角度最大， 帧率≥20帧/秒</w:t>
      </w:r>
    </w:p>
    <w:p w14:paraId="0005E00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5.2彩色多普勒成像</w:t>
      </w:r>
    </w:p>
    <w:p w14:paraId="030B88C0">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5.2.1包括速度、速度方差、能量、方向能量显示等</w:t>
      </w:r>
    </w:p>
    <w:p w14:paraId="21084AB7">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5.2.2显示方式：B/C、B/C/M、B/POWER、B/C/PW</w:t>
      </w:r>
    </w:p>
    <w:p w14:paraId="73041C00">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5.2.3取样框偏转: ≥±30度，取样框可根据探头血流方向自动调节</w:t>
      </w:r>
    </w:p>
    <w:p w14:paraId="46FBC47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5.2.4速度标识功能，标识不同血流速度边界，观察血流分布及速度梯度</w:t>
      </w:r>
    </w:p>
    <w:p w14:paraId="33B1022B">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5.2.5最大帧率: ≥260 帧/秒</w:t>
      </w:r>
    </w:p>
    <w:p w14:paraId="689DC01C">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5.2.6成像速度：凸阵探头, 彩色取样框全视野，18CM深度时 , 帧率≥5帧/秒</w:t>
      </w:r>
    </w:p>
    <w:p w14:paraId="4713913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5.3频谱多普勒模式</w:t>
      </w:r>
    </w:p>
    <w:p w14:paraId="771E3020">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5.3.1包括脉冲多普勒、高脉冲重复频率、连续多普勒</w:t>
      </w:r>
    </w:p>
    <w:p w14:paraId="1926E1FC">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5.3.2显示方式：B, PW，B/PW, B/C/PW, B/CW, B/C/CW等等</w:t>
      </w:r>
    </w:p>
    <w:p w14:paraId="6F6572E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5.3.3最大速度: ≥7.60m/s（连续多普勒速度: ≥30m/s）</w:t>
      </w:r>
    </w:p>
    <w:p w14:paraId="23FD5B4B">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5.3.4最小速度: ≤1 mm /s（非噪声信号）</w:t>
      </w:r>
    </w:p>
    <w:p w14:paraId="67E0B899">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5.3.5取样容积: 0.5-20mm ,支持所有探头</w:t>
      </w:r>
    </w:p>
    <w:p w14:paraId="0D9CD104">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5.3.6偏转角度: ≥±30度 (线阵探头) ，并支持快速角度校正</w:t>
      </w:r>
    </w:p>
    <w:p w14:paraId="0C0B040F">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5.3.7零位移动：≥8 级</w:t>
      </w:r>
    </w:p>
    <w:p w14:paraId="7BF63AA9">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5.3.8支持频谱自动测量</w:t>
      </w:r>
    </w:p>
    <w:p w14:paraId="491D2124">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5.4探头规格</w:t>
      </w:r>
    </w:p>
    <w:p w14:paraId="7DFA6B6C">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5.4.1频率：超宽频带或变频探头，所配探头均为宽频变频探头,二维、谐波、彩色及频谱多普勒模式分别独立变频，≥3段</w:t>
      </w:r>
    </w:p>
    <w:p w14:paraId="62A70D3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5.4.2探头配置：腹部探头、浅表探头、心脏探头、腔内探头、腔内容积探头</w:t>
      </w:r>
    </w:p>
    <w:p w14:paraId="7115B563">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5.4.3凸阵探头：带宽: 1.2-6.0MHz，角度≥72°；</w:t>
      </w:r>
    </w:p>
    <w:p w14:paraId="1482A14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5.4.4高频线阵探头：带宽: 3-13 MHz； </w:t>
      </w:r>
    </w:p>
    <w:p w14:paraId="6892676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5.4.5相控阵探头：带宽: 1-6 MHz；</w:t>
      </w:r>
    </w:p>
    <w:p w14:paraId="28133493">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5.4.6腔内容积探头：带宽：2-9MHz；</w:t>
      </w:r>
    </w:p>
    <w:p w14:paraId="54D5D914">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5.4.7腔内探头：带宽: 3-11 MHz</w:t>
      </w:r>
    </w:p>
    <w:p w14:paraId="121CC75C">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5.4.8穿刺引导，凸阵、线阵、相控阵具备多角度穿刺引导功能</w:t>
      </w:r>
    </w:p>
    <w:p w14:paraId="359314D7">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5.5应变式弹性成像</w:t>
      </w:r>
    </w:p>
    <w:p w14:paraId="10D57DC4">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5.5.1▲支持探头：浅表探头、腔内探头</w:t>
      </w:r>
    </w:p>
    <w:p w14:paraId="0165BF7E">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5.5.2弹性成像图谱≥5种可选。</w:t>
      </w:r>
    </w:p>
    <w:p w14:paraId="3FF828FA">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5.5.3弹性模式具有压力操作提示图标。</w:t>
      </w:r>
    </w:p>
    <w:p w14:paraId="718E87E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5.5.4具备组织硬度定量分析软件，支持多种比值分析，柱状图分析。</w:t>
      </w:r>
    </w:p>
    <w:p w14:paraId="46A52893">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5.5.5具备肿块周边组织弹性定量分析功能。</w:t>
      </w:r>
    </w:p>
    <w:p w14:paraId="1CA7C6F2">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5.5.6具备定量测量映射分析，即在组织图测量时弹性图同步测量。</w:t>
      </w:r>
    </w:p>
    <w:p w14:paraId="271ECD32">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5.6▲剪切波弹性成像</w:t>
      </w:r>
    </w:p>
    <w:p w14:paraId="46565047">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5.6.1支持探头：凸阵探头，线阵探头；</w:t>
      </w:r>
    </w:p>
    <w:p w14:paraId="62CC703F">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5.6.2支持二维实时剪切波和单点式剪切波成像</w:t>
      </w:r>
    </w:p>
    <w:p w14:paraId="76BEEB53">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5.6.3实时剪切波弹性成像取样框大小可调，可得到取样框内杨氏模量值等定量数据。</w:t>
      </w:r>
    </w:p>
    <w:p w14:paraId="54F0C34F">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5.6.4实时剪切波弹性成像及二维成像双实时成像，图像布局包括上下，左右多种方式可调。</w:t>
      </w:r>
    </w:p>
    <w:p w14:paraId="6E13DBCE">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5.6.5同时输出以kPa和m/s为单位的组织硬度定量数据，保证临床可以使用硬度数据进行临床诊断和科研工作。</w:t>
      </w:r>
    </w:p>
    <w:p w14:paraId="585D695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5.6.6支持肿块周边组织定量分析功能。</w:t>
      </w:r>
    </w:p>
    <w:p w14:paraId="369EB10C">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5.7造影成像及定量分析功能</w:t>
      </w:r>
    </w:p>
    <w:p w14:paraId="11F17C5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5.7.1支持多种探头：凸阵探头、线阵探头，腔内探头</w:t>
      </w:r>
    </w:p>
    <w:p w14:paraId="42E56717">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5.7.2支持微血管造影增强功能</w:t>
      </w:r>
    </w:p>
    <w:p w14:paraId="123B1FD5">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5.7.3双计时器</w:t>
      </w:r>
    </w:p>
    <w:p w14:paraId="55CB4B4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5.7.4支持向后存储，≥6分钟电影；支持向前存储</w:t>
      </w:r>
    </w:p>
    <w:p w14:paraId="3D0E5562">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5.7.5具备混合模式</w:t>
      </w:r>
    </w:p>
    <w:p w14:paraId="54A49FB6">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5.7.6支持造影图像和组织图像位置互换</w:t>
      </w:r>
    </w:p>
    <w:p w14:paraId="1F337E60">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5.7.7造影定量分析：取样点可跟踪感兴趣区运动、提供TIC时间强度曲线分析、可选择原始曲线和拟合曲线、具有表格报告分析。</w:t>
      </w:r>
    </w:p>
    <w:p w14:paraId="10940B53">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5.8 TDI组织多普勒成像</w:t>
      </w:r>
    </w:p>
    <w:p w14:paraId="16638ECB">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5.8.1 TDI成像模式：彩色速度模式图、能量模式图、频谱模式图、M型模式图</w:t>
      </w:r>
    </w:p>
    <w:p w14:paraId="6C880766">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5.8.2组织多普勒定量分析软件：支持运动追踪功能；同步显示≥6段心肌组织运动速度曲线图</w:t>
      </w:r>
    </w:p>
    <w:p w14:paraId="0E844D3C">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5.9 3D/4D成像</w:t>
      </w:r>
    </w:p>
    <w:p w14:paraId="44BFF854">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5.9.1常规成像模式：表面模式、最大模式、最小模式、X-Ray模式</w:t>
      </w:r>
    </w:p>
    <w:p w14:paraId="08612E8F">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5.9.2断层切片成像，同屏显示≥24幅不同深度图像，断层间距0.5mm-2.0mm可调</w:t>
      </w:r>
    </w:p>
    <w:p w14:paraId="649A58C0">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5.9.3容积厚层成像，包括任意剖面成像功能</w:t>
      </w:r>
    </w:p>
    <w:p w14:paraId="45032ACA">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5.9.4支持3D/4D数据离线处理，对存储的数据再调节成像再存储</w:t>
      </w:r>
    </w:p>
    <w:p w14:paraId="67150BC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5.9.5自动容积测量</w:t>
      </w:r>
    </w:p>
    <w:p w14:paraId="6BB724EF">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5.9.6支持三维裁剪、修复等功能，容积图像支持斑点噪声抑制</w:t>
      </w:r>
    </w:p>
    <w:p w14:paraId="632E5304">
      <w:pPr>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5.9.7高级自动容积测量，可通过在三个正交剖面上画至少两个轮廓，自动分割出子宫内膜内膜冠状面成像以及容积测量</w:t>
      </w:r>
    </w:p>
    <w:p w14:paraId="506C04C2">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、外设和附件</w:t>
      </w:r>
    </w:p>
    <w:p w14:paraId="0F80B2DB">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6.1耦合剂加热器</w:t>
      </w:r>
    </w:p>
    <w:p w14:paraId="48D57DF7">
      <w:pPr>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w:t>
      </w:r>
      <w:r>
        <w:rPr>
          <w:rFonts w:hint="eastAsia" w:asciiTheme="minorEastAsia" w:hAnsiTheme="minorEastAsia" w:eastAsiaTheme="minorEastAsia" w:cstheme="minorEastAsia"/>
          <w:lang w:val="en-US" w:eastAsia="zh-CN"/>
        </w:rPr>
        <w:t>2提供配套彩超相应功能</w:t>
      </w:r>
      <w:r>
        <w:rPr>
          <w:rFonts w:hint="eastAsia" w:asciiTheme="minorEastAsia" w:hAnsiTheme="minorEastAsia" w:eastAsiaTheme="minorEastAsia" w:cstheme="minorEastAsia"/>
          <w:lang w:eastAsia="zh-CN"/>
        </w:rPr>
        <w:t>的最新软件资源。</w:t>
      </w:r>
    </w:p>
    <w:p w14:paraId="31ABB893">
      <w:pPr>
        <w:ind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七、质量要求</w:t>
      </w:r>
    </w:p>
    <w:p w14:paraId="6473DA96">
      <w:pPr>
        <w:ind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投标人应保证所提供的货物是全新的、未使用过的，并完全符合招标文件规定的技术指标、质量、规格要求。</w:t>
      </w:r>
    </w:p>
    <w:p w14:paraId="21E8B7B1">
      <w:pPr>
        <w:ind w:firstLine="0" w:firstLineChars="0"/>
        <w:rPr>
          <w:rFonts w:hint="eastAsia" w:asciiTheme="minorEastAsia" w:hAnsiTheme="minorEastAsia" w:eastAsiaTheme="minorEastAsia" w:cstheme="minorEastAsia"/>
          <w:lang w:val="en-US" w:eastAsia="zh-CN"/>
        </w:rPr>
      </w:pPr>
    </w:p>
    <w:p w14:paraId="6A427B7F">
      <w:pPr>
        <w:numPr>
          <w:ilvl w:val="0"/>
          <w:numId w:val="0"/>
        </w:numP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二、配置要求：</w:t>
      </w:r>
    </w:p>
    <w:p w14:paraId="60188D99">
      <w:p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配备2个超声探头穿刺架，1台彩色打印机，1台不间断UPS电源，1套适用于本院超声科的超声工作站和采集卡，1台电脑：(电脑配置至少达到I5、8G、1T、win11，27寸电脑显示屏），1张超声检查床。</w:t>
      </w:r>
    </w:p>
    <w:p w14:paraId="61B1E0A1">
      <w:pPr>
        <w:rPr>
          <w:rFonts w:hint="default" w:cs="宋体" w:asciiTheme="majorEastAsia" w:hAnsiTheme="majorEastAsia" w:eastAsiaTheme="majorEastAsia"/>
          <w:szCs w:val="21"/>
          <w:lang w:val="en-US" w:eastAsia="zh-CN"/>
        </w:rPr>
      </w:pPr>
    </w:p>
    <w:p w14:paraId="2C012B3E">
      <w:pPr>
        <w:rPr>
          <w:rFonts w:hint="default" w:cs="宋体" w:asciiTheme="majorEastAsia" w:hAnsiTheme="majorEastAsia" w:eastAsiaTheme="majorEastAsia"/>
          <w:szCs w:val="21"/>
          <w:lang w:val="en-US" w:eastAsia="zh-CN"/>
        </w:rPr>
      </w:pPr>
    </w:p>
    <w:p w14:paraId="1866B5FA">
      <w:pPr>
        <w:numPr>
          <w:ilvl w:val="0"/>
          <w:numId w:val="0"/>
        </w:numPr>
        <w:rPr>
          <w:rFonts w:hint="default" w:cs="宋体" w:asciiTheme="majorEastAsia" w:hAnsiTheme="majorEastAsia" w:eastAsiaTheme="majorEastAsia"/>
          <w:szCs w:val="21"/>
          <w:lang w:val="en-US" w:eastAsia="zh-CN"/>
        </w:rPr>
      </w:pPr>
    </w:p>
    <w:p w14:paraId="7519C5C4">
      <w:pPr>
        <w:rPr>
          <w:rFonts w:hint="eastAsia" w:cs="宋体" w:asciiTheme="majorEastAsia" w:hAnsiTheme="majorEastAsia" w:eastAsiaTheme="majorEastAsia"/>
          <w:szCs w:val="21"/>
          <w:lang w:val="en-US" w:eastAsia="zh-CN"/>
        </w:rPr>
      </w:pPr>
    </w:p>
    <w:p w14:paraId="6A03F0A0">
      <w:pPr>
        <w:rPr>
          <w:rFonts w:hint="eastAsia" w:cs="宋体" w:asciiTheme="majorEastAsia" w:hAnsiTheme="majorEastAsia" w:eastAsiaTheme="majorEastAsia"/>
          <w:b/>
          <w:bCs/>
          <w:sz w:val="24"/>
          <w:szCs w:val="24"/>
          <w:highlight w:val="lightGray"/>
          <w:lang w:val="en-US" w:eastAsia="zh-CN"/>
        </w:rPr>
      </w:pPr>
      <w:r>
        <w:rPr>
          <w:rFonts w:hint="eastAsia" w:cs="宋体" w:asciiTheme="majorEastAsia" w:hAnsiTheme="majorEastAsia" w:eastAsiaTheme="majorEastAsia"/>
          <w:b/>
          <w:bCs/>
          <w:sz w:val="24"/>
          <w:szCs w:val="24"/>
          <w:highlight w:val="lightGray"/>
          <w:lang w:val="en-US" w:eastAsia="zh-CN"/>
        </w:rPr>
        <w:t>八、麻醉机（3台、共120万）：</w:t>
      </w:r>
    </w:p>
    <w:p w14:paraId="4F21B3DF">
      <w:pPr>
        <w:pStyle w:val="19"/>
        <w:numPr>
          <w:ilvl w:val="0"/>
          <w:numId w:val="8"/>
        </w:numPr>
        <w:spacing w:line="300" w:lineRule="auto"/>
        <w:ind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▲≥15.6英寸彩色触摸屏，屏幕采用外挂式非内嵌式设计，外挂式触控屏可以根据操作位置的需要，可多角度旋转调节，可折叠。提供图片证明</w:t>
      </w:r>
    </w:p>
    <w:p w14:paraId="68FB1E51">
      <w:pPr>
        <w:pStyle w:val="19"/>
        <w:numPr>
          <w:ilvl w:val="0"/>
          <w:numId w:val="8"/>
        </w:numPr>
        <w:spacing w:line="300" w:lineRule="auto"/>
        <w:ind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麻醉机适用于全年龄段病人，包含成人、小儿、新生儿。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提供注册证</w:t>
      </w:r>
      <w:r>
        <w:rPr>
          <w:rFonts w:hint="eastAsia" w:asciiTheme="minorEastAsia" w:hAnsiTheme="minorEastAsia" w:eastAsiaTheme="minorEastAsia" w:cstheme="minorEastAsia"/>
          <w:lang w:eastAsia="zh-CN"/>
        </w:rPr>
        <w:t>）</w:t>
      </w:r>
    </w:p>
    <w:p w14:paraId="350970A5">
      <w:pPr>
        <w:pStyle w:val="19"/>
        <w:numPr>
          <w:ilvl w:val="0"/>
          <w:numId w:val="8"/>
        </w:numPr>
        <w:spacing w:line="300"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流量计类型：全电子流量计，</w:t>
      </w:r>
      <w:r>
        <w:rPr>
          <w:rFonts w:hint="eastAsia" w:asciiTheme="minorEastAsia" w:hAnsiTheme="minorEastAsia" w:eastAsiaTheme="minorEastAsia" w:cstheme="minorEastAsia"/>
          <w:color w:val="000000"/>
        </w:rPr>
        <w:t>具有新鲜气体流量水平指示功能，可直接设定氧浓度，电子自动混合。氧气与空气混合时，氧浓度设定范围21%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000000"/>
        </w:rPr>
        <w:t>100%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并配备备用旋钮式电子流量计，在主流量计面板故障时，也能正常使用流量计。</w:t>
      </w:r>
    </w:p>
    <w:p w14:paraId="45C18ACE">
      <w:pPr>
        <w:pStyle w:val="19"/>
        <w:numPr>
          <w:ilvl w:val="0"/>
          <w:numId w:val="8"/>
        </w:numPr>
        <w:spacing w:line="300"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▲配备锂电池，单节锂电池使用时间&gt;150分钟，配</w:t>
      </w:r>
      <w:r>
        <w:rPr>
          <w:rFonts w:hint="eastAsia" w:asciiTheme="minorEastAsia" w:hAnsiTheme="minorEastAsia" w:eastAsiaTheme="minorEastAsia" w:cstheme="minorEastAsia"/>
          <w:szCs w:val="21"/>
          <w:lang w:val="en-US" w:eastAsia="zh-CN"/>
        </w:rPr>
        <w:t>一块</w:t>
      </w:r>
      <w:r>
        <w:rPr>
          <w:rFonts w:hint="eastAsia" w:asciiTheme="minorEastAsia" w:hAnsiTheme="minorEastAsia" w:eastAsiaTheme="minorEastAsia" w:cstheme="minorEastAsia"/>
          <w:szCs w:val="21"/>
        </w:rPr>
        <w:t>电池，延长医院断电时设备使用时长，保障麻醉安全。</w:t>
      </w:r>
    </w:p>
    <w:p w14:paraId="4354CC3C">
      <w:pPr>
        <w:pStyle w:val="19"/>
        <w:numPr>
          <w:ilvl w:val="0"/>
          <w:numId w:val="8"/>
        </w:numPr>
        <w:spacing w:line="300"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具备≥3个模块插槽，支持≥3个模块同时使用，模块可与同品牌的插件式监护仪实现共享</w:t>
      </w:r>
      <w:r>
        <w:rPr>
          <w:rStyle w:val="16"/>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监测CO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、AG、BIS、O2等参数。</w:t>
      </w:r>
    </w:p>
    <w:p w14:paraId="7E36ECCD">
      <w:pPr>
        <w:pStyle w:val="19"/>
        <w:numPr>
          <w:ilvl w:val="0"/>
          <w:numId w:val="8"/>
        </w:numPr>
        <w:spacing w:line="300"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具备氧气，笑气，空气电子流量计，快速直观，调节范围：0-1</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L/min，调节精度为0.05L，适用于成人、小儿和新生儿低微流量麻醉手术。</w:t>
      </w:r>
    </w:p>
    <w:p w14:paraId="131288CE">
      <w:pPr>
        <w:pStyle w:val="19"/>
        <w:numPr>
          <w:ilvl w:val="0"/>
          <w:numId w:val="8"/>
        </w:numPr>
        <w:spacing w:line="300"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▲气动电控呼吸机，通气模式：手动，VCV，PCV</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可选叹息功能、呼气保持、吸气保持PRVC、SIMV-VC、SIMV-PC、SIMV-PRVC、PSVPro、APRV、AMV。</w:t>
      </w:r>
    </w:p>
    <w:p w14:paraId="5BB08AE8">
      <w:pPr>
        <w:pStyle w:val="19"/>
        <w:numPr>
          <w:ilvl w:val="0"/>
          <w:numId w:val="8"/>
        </w:numPr>
        <w:spacing w:line="300"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控制通气模式下：</w:t>
      </w:r>
    </w:p>
    <w:p w14:paraId="34B72344">
      <w:pPr>
        <w:pStyle w:val="19"/>
        <w:autoSpaceDE w:val="0"/>
        <w:autoSpaceDN w:val="0"/>
        <w:adjustRightInd w:val="0"/>
        <w:spacing w:line="300" w:lineRule="auto"/>
        <w:ind w:left="856"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8.1  ▲VCV模式下潮气量设定范围：10～1500ml,可选PRVC下5ml～1500ml。</w:t>
      </w:r>
    </w:p>
    <w:p w14:paraId="14BA3037">
      <w:pPr>
        <w:pStyle w:val="19"/>
        <w:autoSpaceDE w:val="0"/>
        <w:autoSpaceDN w:val="0"/>
        <w:adjustRightInd w:val="0"/>
        <w:spacing w:line="300" w:lineRule="auto"/>
        <w:ind w:left="856"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8.2  呼吸频率设定范围：2～100次/min。</w:t>
      </w:r>
    </w:p>
    <w:p w14:paraId="588D7DAF">
      <w:pPr>
        <w:pStyle w:val="19"/>
        <w:autoSpaceDE w:val="0"/>
        <w:autoSpaceDN w:val="0"/>
        <w:adjustRightInd w:val="0"/>
        <w:spacing w:line="300" w:lineRule="auto"/>
        <w:ind w:left="856"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8.3  ▲吸呼比调节范围：4:1到1:10。</w:t>
      </w:r>
    </w:p>
    <w:p w14:paraId="7702A7E2">
      <w:pPr>
        <w:pStyle w:val="19"/>
        <w:autoSpaceDE w:val="0"/>
        <w:autoSpaceDN w:val="0"/>
        <w:adjustRightInd w:val="0"/>
        <w:spacing w:line="300" w:lineRule="auto"/>
        <w:ind w:left="856"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8.4  吸呼比监测范围：4:1到1:12。</w:t>
      </w:r>
    </w:p>
    <w:p w14:paraId="1DB17E62">
      <w:pPr>
        <w:pStyle w:val="19"/>
        <w:autoSpaceDE w:val="0"/>
        <w:autoSpaceDN w:val="0"/>
        <w:adjustRightInd w:val="0"/>
        <w:spacing w:line="300" w:lineRule="auto"/>
        <w:ind w:left="856" w:firstLine="0" w:firstLineChars="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8.5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000000"/>
          <w:szCs w:val="21"/>
        </w:rPr>
        <w:t>PEEP</w:t>
      </w:r>
      <w:r>
        <w:rPr>
          <w:rFonts w:hint="eastAsia" w:asciiTheme="minorEastAsia" w:hAnsiTheme="minorEastAsia" w:eastAsiaTheme="minorEastAsia" w:cstheme="minorEastAsia"/>
          <w:szCs w:val="21"/>
        </w:rPr>
        <w:t>设定范围</w:t>
      </w:r>
      <w:r>
        <w:rPr>
          <w:rFonts w:hint="eastAsia" w:asciiTheme="minorEastAsia" w:hAnsiTheme="minorEastAsia" w:eastAsiaTheme="minorEastAsia" w:cstheme="minorEastAsia"/>
          <w:color w:val="000000"/>
          <w:szCs w:val="21"/>
        </w:rPr>
        <w:t>：OFF，3</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000000"/>
          <w:szCs w:val="21"/>
        </w:rPr>
        <w:t>50 cmH</w:t>
      </w:r>
      <w:r>
        <w:rPr>
          <w:rFonts w:hint="eastAsia" w:asciiTheme="minorEastAsia" w:hAnsiTheme="minorEastAsia" w:eastAsiaTheme="minorEastAsia" w:cstheme="minorEastAsia"/>
          <w:color w:val="000000"/>
          <w:szCs w:val="21"/>
          <w:vertAlign w:val="subscript"/>
        </w:rPr>
        <w:t>2</w:t>
      </w:r>
      <w:r>
        <w:rPr>
          <w:rFonts w:hint="eastAsia" w:asciiTheme="minorEastAsia" w:hAnsiTheme="minorEastAsia" w:eastAsiaTheme="minorEastAsia" w:cstheme="minorEastAsia"/>
          <w:color w:val="000000"/>
          <w:szCs w:val="21"/>
        </w:rPr>
        <w:t>O</w:t>
      </w:r>
    </w:p>
    <w:p w14:paraId="70525508">
      <w:pPr>
        <w:pStyle w:val="19"/>
        <w:numPr>
          <w:ilvl w:val="0"/>
          <w:numId w:val="8"/>
        </w:numPr>
        <w:spacing w:line="300"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具备流量暂停功能，便于给临床吸痰，配</w:t>
      </w:r>
      <w:r>
        <w:rPr>
          <w:rFonts w:hint="eastAsia" w:asciiTheme="minorEastAsia" w:hAnsiTheme="minorEastAsia" w:eastAsiaTheme="minorEastAsia" w:cstheme="minorEastAsia"/>
          <w:lang w:val="en-US" w:eastAsia="zh-CN"/>
        </w:rPr>
        <w:t>备</w:t>
      </w:r>
      <w:r>
        <w:rPr>
          <w:rFonts w:hint="eastAsia" w:asciiTheme="minorEastAsia" w:hAnsiTheme="minorEastAsia" w:eastAsiaTheme="minorEastAsia" w:cstheme="minorEastAsia"/>
          <w:szCs w:val="21"/>
        </w:rPr>
        <w:t>一键冲洗麻醉气体。</w:t>
      </w:r>
    </w:p>
    <w:p w14:paraId="6C1A8EBF">
      <w:pPr>
        <w:pStyle w:val="19"/>
        <w:autoSpaceDE w:val="0"/>
        <w:autoSpaceDN w:val="0"/>
        <w:adjustRightInd w:val="0"/>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  ▲呼吸力学监测：压力波形、流速波形、容量波形，能够≥</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道波形同屏显示，</w:t>
      </w:r>
      <w:r>
        <w:rPr>
          <w:rFonts w:hint="eastAsia" w:asciiTheme="minorEastAsia" w:hAnsiTheme="minorEastAsia" w:eastAsiaTheme="minorEastAsia" w:cstheme="minorEastAsia"/>
          <w:szCs w:val="21"/>
          <w:lang w:val="en-US" w:eastAsia="zh-CN"/>
        </w:rPr>
        <w:t>最多显示5道波形，</w:t>
      </w:r>
      <w:r>
        <w:rPr>
          <w:rFonts w:hint="eastAsia" w:asciiTheme="minorEastAsia" w:hAnsiTheme="minorEastAsia" w:eastAsiaTheme="minorEastAsia" w:cstheme="minorEastAsia"/>
          <w:szCs w:val="21"/>
        </w:rPr>
        <w:t>可选配二氧化碳环图，顺应性环图。</w:t>
      </w:r>
    </w:p>
    <w:p w14:paraId="201E6732">
      <w:pPr>
        <w:pStyle w:val="19"/>
        <w:autoSpaceDE w:val="0"/>
        <w:autoSpaceDN w:val="0"/>
        <w:adjustRightInd w:val="0"/>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  集成式、一体化回路，无需工具可徒手拆卸，回路与主机无管路连接，回路内部铜质，便于临床消毒无腐蚀，回路容积≤2.5L，小回路容积降低死腔量，回路可旋转360°，满足临床术种需要。</w:t>
      </w:r>
    </w:p>
    <w:p w14:paraId="222B5640">
      <w:pPr>
        <w:pStyle w:val="19"/>
        <w:autoSpaceDE w:val="0"/>
        <w:autoSpaceDN w:val="0"/>
        <w:adjustRightInd w:val="0"/>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具备肺复张工具，防止肺不张，保护患者肺功能。</w:t>
      </w:r>
    </w:p>
    <w:p w14:paraId="328EBAB1">
      <w:pPr>
        <w:pStyle w:val="19"/>
        <w:autoSpaceDE w:val="0"/>
        <w:autoSpaceDN w:val="0"/>
        <w:adjustRightInd w:val="0"/>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  标配回路加热功能，回路加温可关闭，不接受冷凝处理，消除水汽冷凝，增强病人呼吸舒适性，便于设备维护。</w:t>
      </w:r>
    </w:p>
    <w:p w14:paraId="04C7C14A">
      <w:pPr>
        <w:pStyle w:val="19"/>
        <w:autoSpaceDE w:val="0"/>
        <w:autoSpaceDN w:val="0"/>
        <w:adjustRightInd w:val="0"/>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  智能化Bypass旁路功能，支持术中更换钠石灰，不影响麻醉机的运行，且无麻醉药泄漏，钠石灰罐具备在位提醒功能，保证麻醉安全</w:t>
      </w:r>
    </w:p>
    <w:p w14:paraId="4C9106F4">
      <w:pPr>
        <w:pStyle w:val="19"/>
        <w:autoSpaceDE w:val="0"/>
        <w:autoSpaceDN w:val="0"/>
        <w:adjustRightInd w:val="0"/>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  ▲回路泄漏量</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szCs w:val="21"/>
        </w:rPr>
        <w:t>49.5ml/min。</w:t>
      </w:r>
    </w:p>
    <w:p w14:paraId="29FBF6E2">
      <w:pPr>
        <w:pStyle w:val="19"/>
        <w:autoSpaceDE w:val="0"/>
        <w:autoSpaceDN w:val="0"/>
        <w:adjustRightInd w:val="0"/>
        <w:spacing w:line="300" w:lineRule="auto"/>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16.  ▲双挥发罐罐位，容量≥3</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0ml,具备</w:t>
      </w:r>
      <w:r>
        <w:rPr>
          <w:rFonts w:hint="eastAsia" w:asciiTheme="minorEastAsia" w:hAnsiTheme="minorEastAsia" w:eastAsiaTheme="minorEastAsia" w:cstheme="minorEastAsia"/>
          <w:szCs w:val="21"/>
          <w:lang w:val="en-US" w:eastAsia="zh-CN"/>
        </w:rPr>
        <w:t>安全</w:t>
      </w:r>
      <w:r>
        <w:rPr>
          <w:rFonts w:hint="eastAsia" w:asciiTheme="minorEastAsia" w:hAnsiTheme="minorEastAsia" w:eastAsiaTheme="minorEastAsia" w:cstheme="minorEastAsia"/>
          <w:szCs w:val="21"/>
        </w:rPr>
        <w:t>互锁功能，标配七氟醚挥发罐1只，具备温度、压力、流量补偿</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具备转运T模式，转运无需排空麻药。</w:t>
      </w:r>
    </w:p>
    <w:p w14:paraId="0CA32FB2">
      <w:pPr>
        <w:pStyle w:val="19"/>
        <w:autoSpaceDE w:val="0"/>
        <w:autoSpaceDN w:val="0"/>
        <w:adjustRightInd w:val="0"/>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17. </w:t>
      </w:r>
      <w:r>
        <w:rPr>
          <w:rFonts w:hint="eastAsia" w:asciiTheme="minorEastAsia" w:hAnsiTheme="minorEastAsia" w:eastAsiaTheme="minorEastAsia" w:cstheme="minorEastAsia"/>
          <w:szCs w:val="21"/>
          <w:lang w:val="en-US" w:eastAsia="zh-CN"/>
        </w:rPr>
        <w:t>配备</w:t>
      </w:r>
      <w:r>
        <w:rPr>
          <w:rFonts w:hint="eastAsia" w:asciiTheme="minorEastAsia" w:hAnsiTheme="minorEastAsia" w:eastAsiaTheme="minorEastAsia" w:cstheme="minorEastAsia"/>
          <w:szCs w:val="21"/>
        </w:rPr>
        <w:t>三个抽屉</w:t>
      </w:r>
    </w:p>
    <w:p w14:paraId="6E0865DD">
      <w:pPr>
        <w:pStyle w:val="19"/>
        <w:autoSpaceDE w:val="0"/>
        <w:autoSpaceDN w:val="0"/>
        <w:adjustRightInd w:val="0"/>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r>
        <w:rPr>
          <w:rFonts w:hint="eastAsia" w:asciiTheme="minorEastAsia" w:hAnsiTheme="minorEastAsia" w:eastAsiaTheme="minorEastAsia" w:cstheme="minorEastAsia"/>
          <w:szCs w:val="21"/>
          <w:lang w:val="en-US" w:eastAsia="zh-CN"/>
        </w:rPr>
        <w:t>具备</w:t>
      </w:r>
      <w:r>
        <w:rPr>
          <w:rFonts w:hint="eastAsia" w:asciiTheme="minorEastAsia" w:hAnsiTheme="minorEastAsia" w:eastAsiaTheme="minorEastAsia" w:cstheme="minorEastAsia"/>
          <w:szCs w:val="21"/>
        </w:rPr>
        <w:t>体外循环CPB</w:t>
      </w:r>
    </w:p>
    <w:p w14:paraId="11B0E35D">
      <w:pPr>
        <w:pStyle w:val="19"/>
        <w:autoSpaceDE w:val="0"/>
        <w:autoSpaceDN w:val="0"/>
        <w:adjustRightInd w:val="0"/>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 具备顺应性监测、弹性监测、阻力监测</w:t>
      </w:r>
    </w:p>
    <w:p w14:paraId="044BD410">
      <w:pPr>
        <w:pStyle w:val="19"/>
        <w:autoSpaceDE w:val="0"/>
        <w:autoSpaceDN w:val="0"/>
        <w:adjustRightInd w:val="0"/>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 具备30分钟趋势图、趋势表。</w:t>
      </w:r>
    </w:p>
    <w:p w14:paraId="51722F03">
      <w:pPr>
        <w:pStyle w:val="19"/>
        <w:autoSpaceDE w:val="0"/>
        <w:autoSpaceDN w:val="0"/>
        <w:adjustRightInd w:val="0"/>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 具备BMI、基础代谢率计算。</w:t>
      </w:r>
    </w:p>
    <w:p w14:paraId="4D6FB1F8">
      <w:pPr>
        <w:spacing w:line="240" w:lineRule="auto"/>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22. ▲可升级打印功能，打印趋势表趋势图报告，捕捉未被发现的临床风险。</w:t>
      </w:r>
    </w:p>
    <w:p w14:paraId="202AE148">
      <w:pPr>
        <w:numPr>
          <w:ilvl w:val="0"/>
          <w:numId w:val="0"/>
        </w:numPr>
        <w:spacing w:line="240" w:lineRule="auto"/>
        <w:rPr>
          <w:rFonts w:hint="eastAsia" w:cs="宋体" w:asciiTheme="majorEastAsia" w:hAnsiTheme="majorEastAsia" w:eastAsiaTheme="majorEastAsia"/>
          <w:b/>
          <w:bCs/>
          <w:sz w:val="28"/>
          <w:szCs w:val="28"/>
          <w:highlight w:val="lightGray"/>
          <w:lang w:val="en-US" w:eastAsia="zh-CN"/>
        </w:rPr>
      </w:pPr>
    </w:p>
    <w:p w14:paraId="44CD4FB8">
      <w:pPr>
        <w:spacing w:line="240" w:lineRule="auto"/>
        <w:ind w:firstLine="0" w:firstLineChars="0"/>
        <w:rPr>
          <w:rFonts w:hint="eastAsia" w:cs="宋体" w:asciiTheme="majorEastAsia" w:hAnsiTheme="majorEastAsia" w:eastAsiaTheme="majorEastAsia"/>
          <w:szCs w:val="21"/>
          <w:lang w:val="en-US" w:eastAsia="zh-CN"/>
        </w:rPr>
      </w:pPr>
    </w:p>
    <w:p w14:paraId="5B9842DF">
      <w:pPr>
        <w:spacing w:line="240" w:lineRule="auto"/>
        <w:ind w:firstLine="0" w:firstLineChars="0"/>
        <w:rPr>
          <w:rFonts w:hint="eastAsia" w:cs="宋体" w:asciiTheme="majorEastAsia" w:hAnsiTheme="majorEastAsia" w:eastAsiaTheme="majorEastAsia"/>
          <w:b/>
          <w:bCs/>
          <w:sz w:val="24"/>
          <w:szCs w:val="24"/>
          <w:highlight w:val="lightGray"/>
          <w:lang w:val="en-US" w:eastAsia="zh-CN"/>
        </w:rPr>
      </w:pPr>
      <w:r>
        <w:rPr>
          <w:rFonts w:hint="eastAsia" w:cs="宋体" w:asciiTheme="majorEastAsia" w:hAnsiTheme="majorEastAsia" w:eastAsiaTheme="majorEastAsia"/>
          <w:b/>
          <w:bCs/>
          <w:sz w:val="24"/>
          <w:szCs w:val="24"/>
          <w:highlight w:val="lightGray"/>
          <w:lang w:val="en-US" w:eastAsia="zh-CN"/>
        </w:rPr>
        <w:t>九、</w:t>
      </w:r>
      <w:r>
        <w:rPr>
          <w:rFonts w:hint="eastAsia" w:ascii="宋体" w:hAnsi="宋体" w:eastAsia="宋体" w:cs="宋体"/>
          <w:b/>
          <w:bCs/>
          <w:i w:val="0"/>
          <w:iCs w:val="0"/>
          <w:color w:val="auto"/>
          <w:kern w:val="0"/>
          <w:sz w:val="24"/>
          <w:szCs w:val="24"/>
          <w:highlight w:val="lightGray"/>
          <w:u w:val="none"/>
          <w:lang w:val="en-US" w:eastAsia="zh-CN" w:bidi="ar"/>
        </w:rPr>
        <w:t>第三代基因测序仪</w:t>
      </w:r>
      <w:r>
        <w:rPr>
          <w:rFonts w:hint="eastAsia" w:cs="宋体" w:asciiTheme="majorEastAsia" w:hAnsiTheme="majorEastAsia" w:eastAsiaTheme="majorEastAsia"/>
          <w:b/>
          <w:bCs/>
          <w:sz w:val="24"/>
          <w:szCs w:val="24"/>
          <w:highlight w:val="lightGray"/>
          <w:lang w:val="en-US" w:eastAsia="zh-CN"/>
        </w:rPr>
        <w:t>（1套、共600万元）</w:t>
      </w:r>
    </w:p>
    <w:p w14:paraId="28CF1B0A">
      <w:pPr>
        <w:spacing w:line="240" w:lineRule="auto"/>
        <w:ind w:firstLine="0" w:firstLineChars="0"/>
        <w:rPr>
          <w:rFonts w:hint="eastAsia" w:cs="宋体" w:asciiTheme="majorEastAsia" w:hAnsiTheme="majorEastAsia" w:eastAsiaTheme="majorEastAsia"/>
          <w:szCs w:val="21"/>
        </w:rPr>
      </w:pPr>
    </w:p>
    <w:p w14:paraId="2E33A390">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测序数据中半数数据读长≥45kb，最长读长不少于100kb。</w:t>
      </w:r>
    </w:p>
    <w:p w14:paraId="651281B6">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测序过程及建库无需PCR扩增模板，可实现单分子测序，不会因为PCR产生测序误差。</w:t>
      </w:r>
    </w:p>
    <w:p w14:paraId="468CA841">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▲测序通量：每张测序芯片最大产出≥300Gb。</w:t>
      </w:r>
    </w:p>
    <w:p w14:paraId="0B7DD11B">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▲一致性准确度≥99.999</w:t>
      </w:r>
      <w:r>
        <w:rPr>
          <w:rFonts w:hint="eastAsia" w:asciiTheme="minorEastAsia" w:hAnsiTheme="minorEastAsia" w:eastAsiaTheme="minorEastAsia" w:cstheme="minorEastAsia"/>
          <w:lang w:val="en-US" w:eastAsia="zh-CN"/>
        </w:rPr>
        <w:t>%。</w:t>
      </w:r>
    </w:p>
    <w:p w14:paraId="7A3742C7">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测序时长：0.5-30小时可选，芯片支持最长30小时的数据采集时间。</w:t>
      </w:r>
    </w:p>
    <w:p w14:paraId="0FC70C83">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运行通量：最多上机芯片数量不少于8个。</w:t>
      </w:r>
    </w:p>
    <w:p w14:paraId="56056C57">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可用于基因组DNA、cDNA和PCR产物及其它方法捕获或者扩增得靶向测序。</w:t>
      </w:r>
    </w:p>
    <w:p w14:paraId="0BDD9285">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系统可以实现对原始DNA进行单分子实时测序，便于最大程度排除系统误差并获得真实可靠的变异信息</w:t>
      </w:r>
      <w:r>
        <w:rPr>
          <w:rFonts w:hint="eastAsia" w:asciiTheme="minorEastAsia" w:hAnsiTheme="minorEastAsia" w:eastAsiaTheme="minorEastAsia" w:cstheme="minorEastAsia"/>
          <w:lang w:eastAsia="zh-CN"/>
        </w:rPr>
        <w:t>。</w:t>
      </w:r>
    </w:p>
    <w:p w14:paraId="5460AA96">
      <w:pPr>
        <w:pStyle w:val="17"/>
        <w:numPr>
          <w:ilvl w:val="0"/>
          <w:numId w:val="9"/>
        </w:numPr>
        <w:spacing w:line="360" w:lineRule="auto"/>
        <w:ind w:left="417" w:leftChars="104" w:hanging="199" w:hangingChars="9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测序反应结果不受样本GC/AT含量影响，均匀覆盖整个样本基因组，可测定极端高GC（如CGG重复序列）或者高AT含量区域（如poly-A区域）</w:t>
      </w:r>
      <w:r>
        <w:rPr>
          <w:rFonts w:hint="eastAsia" w:asciiTheme="minorEastAsia" w:hAnsiTheme="minorEastAsia" w:eastAsiaTheme="minorEastAsia" w:cstheme="minorEastAsia"/>
          <w:lang w:eastAsia="zh-CN"/>
        </w:rPr>
        <w:t>。</w:t>
      </w:r>
    </w:p>
    <w:p w14:paraId="272032A8">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可用于全长16S/18SrRNA测序进行微生物群落分析，极大改善宏基因组样品的分析精度，可用于转录组全长测序，测序结果无需拼接，可直接分析转录本可变剪切模式。</w:t>
      </w:r>
    </w:p>
    <w:p w14:paraId="2082209E">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▲内置全自动加样系统完成测序，保证上样的稳定性。</w:t>
      </w:r>
    </w:p>
    <w:p w14:paraId="121E1573">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厂家官方提供可通过Barcode测序，实现长扩增子测序方案。</w:t>
      </w:r>
    </w:p>
    <w:p w14:paraId="6CA21D55">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厂家官方提供自主知识产权的标准配套分析软件，并免费提供厂家开发的数据分析方案，例如用于全基因组De novo拼接</w:t>
      </w:r>
      <w:r>
        <w:rPr>
          <w:rFonts w:hint="eastAsia" w:asciiTheme="minorEastAsia" w:hAnsiTheme="minorEastAsia" w:eastAsiaTheme="minorEastAsia" w:cstheme="minorEastAsia"/>
          <w:lang w:eastAsia="zh-CN"/>
        </w:rPr>
        <w:t>。</w:t>
      </w:r>
    </w:p>
    <w:p w14:paraId="01B3755B">
      <w:pPr>
        <w:pStyle w:val="17"/>
        <w:numPr>
          <w:ilvl w:val="0"/>
          <w:numId w:val="9"/>
        </w:numPr>
        <w:spacing w:line="360" w:lineRule="auto"/>
        <w:ind w:left="567" w:leftChars="100" w:hanging="357" w:hangingChars="17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▲测序完成后，原始数据无需额外分析可直接获取大于Q20（99%）数据。</w:t>
      </w:r>
    </w:p>
    <w:p w14:paraId="6CC82ADD">
      <w:pPr>
        <w:pStyle w:val="17"/>
        <w:numPr>
          <w:ilvl w:val="0"/>
          <w:numId w:val="9"/>
        </w:numPr>
        <w:spacing w:line="360" w:lineRule="auto"/>
        <w:ind w:left="210" w:leftChars="100"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▲设备需在国内生产，以保证供货周期。</w:t>
      </w:r>
    </w:p>
    <w:p w14:paraId="04C97DB6">
      <w:pPr>
        <w:numPr>
          <w:ilvl w:val="0"/>
          <w:numId w:val="0"/>
        </w:numPr>
        <w:ind w:left="210" w:leftChars="100" w:firstLine="420" w:firstLineChars="200"/>
        <w:jc w:val="both"/>
        <w:rPr>
          <w:rFonts w:hint="eastAsia" w:asciiTheme="minorEastAsia" w:hAnsiTheme="minorEastAsia" w:eastAsiaTheme="minorEastAsia" w:cstheme="minorEastAsia"/>
          <w:sz w:val="21"/>
          <w:szCs w:val="21"/>
          <w:lang w:val="en-US" w:eastAsia="zh-CN"/>
        </w:rPr>
      </w:pPr>
    </w:p>
    <w:p w14:paraId="1D55EEF3">
      <w:pPr>
        <w:numPr>
          <w:ilvl w:val="0"/>
          <w:numId w:val="0"/>
        </w:numPr>
        <w:ind w:left="210" w:leftChars="10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二、配置要求</w:t>
      </w:r>
    </w:p>
    <w:p w14:paraId="1E7D8B29">
      <w:pPr>
        <w:numPr>
          <w:ilvl w:val="0"/>
          <w:numId w:val="0"/>
        </w:numPr>
        <w:ind w:left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1.计算与储存设备：配置不低于 4C 74 core CPU 512G内存，SAS 600GB*2 1000TB以上可用空间</w:t>
      </w:r>
    </w:p>
    <w:p w14:paraId="2476C72C">
      <w:pPr>
        <w:numPr>
          <w:ilvl w:val="0"/>
          <w:numId w:val="0"/>
        </w:numPr>
        <w:ind w:left="210" w:left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（一个cell下机数据与分析需2T） 10G网卡（电口）双电源。</w:t>
      </w:r>
    </w:p>
    <w:p w14:paraId="6EF3D035">
      <w:pPr>
        <w:numPr>
          <w:ilvl w:val="0"/>
          <w:numId w:val="0"/>
        </w:numPr>
        <w:ind w:left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2.LINK服务器：配置不低于 2C 32core CPU 64G内存，1T*2SSD固态硬盘，10G网卡（电</w:t>
      </w:r>
    </w:p>
    <w:p w14:paraId="41072AC8">
      <w:pPr>
        <w:numPr>
          <w:ilvl w:val="0"/>
          <w:numId w:val="0"/>
        </w:numPr>
        <w:ind w:left="210" w:left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口），双电源。</w:t>
      </w:r>
    </w:p>
    <w:p w14:paraId="5C209240">
      <w:pPr>
        <w:numPr>
          <w:ilvl w:val="0"/>
          <w:numId w:val="0"/>
        </w:numPr>
        <w:ind w:left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3.基因测序仪。</w:t>
      </w:r>
    </w:p>
    <w:p w14:paraId="66CEB34C">
      <w:pPr>
        <w:numPr>
          <w:ilvl w:val="0"/>
          <w:numId w:val="0"/>
        </w:numPr>
        <w:ind w:left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4.全自动汇流排。</w:t>
      </w:r>
    </w:p>
    <w:p w14:paraId="3C5C93DD">
      <w:pPr>
        <w:numPr>
          <w:ilvl w:val="0"/>
          <w:numId w:val="0"/>
        </w:numPr>
        <w:ind w:left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5.氮气瓶。</w:t>
      </w:r>
    </w:p>
    <w:p w14:paraId="7083B429">
      <w:pPr>
        <w:numPr>
          <w:ilvl w:val="0"/>
          <w:numId w:val="0"/>
        </w:numPr>
        <w:ind w:left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6.电脑。</w:t>
      </w:r>
    </w:p>
    <w:p w14:paraId="1A535EC2">
      <w:pPr>
        <w:numPr>
          <w:ilvl w:val="0"/>
          <w:numId w:val="0"/>
        </w:numPr>
        <w:ind w:left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7.打印机：</w:t>
      </w:r>
      <w:r>
        <w:rPr>
          <w:rFonts w:hint="eastAsia" w:asciiTheme="minorEastAsia" w:hAnsiTheme="minorEastAsia" w:eastAsiaTheme="minorEastAsia" w:cstheme="minorEastAsia"/>
          <w:color w:val="auto"/>
          <w:lang w:val="en-US" w:eastAsia="zh-CN"/>
        </w:rPr>
        <w:t>彩色自动双面无线激光一体机，支持有线&amp;无线网络打印，支持输稿器，输稿器最大支持50页。</w:t>
      </w:r>
    </w:p>
    <w:p w14:paraId="7E6BF700">
      <w:pPr>
        <w:spacing w:line="240" w:lineRule="auto"/>
        <w:ind w:firstLine="0" w:firstLineChars="0"/>
        <w:rPr>
          <w:rFonts w:hint="eastAsia" w:cs="宋体" w:asciiTheme="majorEastAsia" w:hAnsiTheme="majorEastAsia" w:eastAsiaTheme="majorEastAsia"/>
          <w:szCs w:val="21"/>
          <w:lang w:val="en-US" w:eastAsia="zh-CN"/>
        </w:rPr>
      </w:pPr>
    </w:p>
    <w:p w14:paraId="60CD9B19">
      <w:pPr>
        <w:spacing w:line="240" w:lineRule="auto"/>
        <w:ind w:firstLine="0" w:firstLineChars="0"/>
        <w:rPr>
          <w:rFonts w:hint="eastAsia" w:cs="宋体" w:asciiTheme="majorEastAsia" w:hAnsiTheme="majorEastAsia" w:eastAsiaTheme="majorEastAsia"/>
          <w:szCs w:val="21"/>
          <w:highlight w:val="lightGray"/>
          <w:lang w:val="en-US" w:eastAsia="zh-CN"/>
        </w:rPr>
      </w:pPr>
    </w:p>
    <w:p w14:paraId="46A5B672">
      <w:pPr>
        <w:numPr>
          <w:ilvl w:val="0"/>
          <w:numId w:val="0"/>
        </w:numPr>
        <w:spacing w:line="240" w:lineRule="auto"/>
        <w:rPr>
          <w:rFonts w:hint="eastAsia" w:cs="宋体" w:asciiTheme="majorEastAsia" w:hAnsiTheme="majorEastAsia" w:eastAsiaTheme="majorEastAsia"/>
          <w:b/>
          <w:bCs/>
          <w:sz w:val="24"/>
          <w:szCs w:val="24"/>
          <w:highlight w:val="lightGray"/>
          <w:lang w:val="en-US" w:eastAsia="zh-CN"/>
        </w:rPr>
      </w:pPr>
      <w:r>
        <w:rPr>
          <w:rFonts w:hint="eastAsia" w:cs="宋体" w:asciiTheme="majorEastAsia" w:hAnsiTheme="majorEastAsia" w:eastAsiaTheme="majorEastAsia"/>
          <w:b/>
          <w:bCs/>
          <w:sz w:val="24"/>
          <w:szCs w:val="24"/>
          <w:highlight w:val="lightGray"/>
          <w:lang w:val="en-US" w:eastAsia="zh-CN"/>
        </w:rPr>
        <w:t>十、</w:t>
      </w:r>
      <w:r>
        <w:rPr>
          <w:rFonts w:hint="eastAsia" w:ascii="宋体" w:hAnsi="宋体" w:eastAsia="宋体" w:cs="宋体"/>
          <w:b/>
          <w:bCs/>
          <w:i w:val="0"/>
          <w:iCs w:val="0"/>
          <w:color w:val="auto"/>
          <w:kern w:val="0"/>
          <w:sz w:val="24"/>
          <w:szCs w:val="24"/>
          <w:highlight w:val="lightGray"/>
          <w:u w:val="none"/>
          <w:lang w:val="en-US" w:eastAsia="zh-CN" w:bidi="ar"/>
        </w:rPr>
        <w:t>全自动染色体收获制片系统</w:t>
      </w:r>
      <w:r>
        <w:rPr>
          <w:rFonts w:hint="eastAsia" w:cs="宋体" w:asciiTheme="majorEastAsia" w:hAnsiTheme="majorEastAsia" w:eastAsiaTheme="majorEastAsia"/>
          <w:b/>
          <w:bCs/>
          <w:sz w:val="24"/>
          <w:szCs w:val="24"/>
          <w:highlight w:val="lightGray"/>
          <w:lang w:val="en-US" w:eastAsia="zh-CN"/>
        </w:rPr>
        <w:t>（一套、共240万元）</w:t>
      </w:r>
    </w:p>
    <w:p w14:paraId="02AC8AAB">
      <w:pPr>
        <w:numPr>
          <w:ilvl w:val="0"/>
          <w:numId w:val="0"/>
        </w:numPr>
        <w:spacing w:line="240" w:lineRule="auto"/>
        <w:rPr>
          <w:rFonts w:hint="eastAsia" w:cs="宋体" w:asciiTheme="majorEastAsia" w:hAnsiTheme="majorEastAsia" w:eastAsiaTheme="majorEastAsia"/>
          <w:b/>
          <w:bCs/>
          <w:sz w:val="24"/>
          <w:szCs w:val="24"/>
          <w:lang w:val="en-US" w:eastAsia="zh-CN"/>
        </w:rPr>
      </w:pPr>
    </w:p>
    <w:p w14:paraId="7C07A7DE">
      <w:pPr>
        <w:spacing w:line="240" w:lineRule="auto"/>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设备性能需求（购置参数）：</w:t>
      </w:r>
    </w:p>
    <w:p w14:paraId="4C858834">
      <w:pPr>
        <w:widowControl w:val="0"/>
        <w:spacing w:after="120" w:line="380" w:lineRule="exact"/>
        <w:ind w:firstLine="422" w:firstLineChars="200"/>
        <w:jc w:val="both"/>
        <w:rPr>
          <w:rFonts w:hint="eastAsia" w:asciiTheme="minorEastAsia" w:hAnsiTheme="minorEastAsia" w:eastAsiaTheme="minorEastAsia" w:cstheme="minorEastAsia"/>
          <w:b/>
          <w:bCs/>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全自动染色体收获仪</w:t>
      </w:r>
    </w:p>
    <w:p w14:paraId="64D5BA8F">
      <w:pPr>
        <w:widowControl w:val="0"/>
        <w:spacing w:after="120" w:line="380" w:lineRule="exact"/>
        <w:ind w:firstLine="422" w:firstLineChars="200"/>
        <w:jc w:val="both"/>
        <w:rPr>
          <w:rFonts w:hint="eastAsia" w:asciiTheme="minorEastAsia" w:hAnsiTheme="minorEastAsia" w:eastAsiaTheme="minorEastAsia" w:cstheme="minorEastAsia"/>
          <w:b/>
          <w:bCs/>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1全自动染色体收获仪功能用途：</w:t>
      </w:r>
    </w:p>
    <w:p w14:paraId="18CE8C36">
      <w:pPr>
        <w:widowControl w:val="0"/>
        <w:spacing w:after="120" w:line="380" w:lineRule="exact"/>
        <w:ind w:firstLine="420" w:firstLineChars="200"/>
        <w:jc w:val="left"/>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1.1功能：针对经过培养的外周血、骨髓等细胞培养液标本进行全自动的分离培养基、低渗液低渗、震荡再分离以及固定液固定等上述反复处理过程，最终得到中期分裂相细胞含量较高的细胞悬液。</w:t>
      </w:r>
    </w:p>
    <w:p w14:paraId="650500AB">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1.2用途：用于经过培养的细胞悬液的染色体收获。应用于产前诊断、生殖医学、血液病和辐射损伤等领域的外周血、骨髓、羊水等标本的染色体和微核收获应用。</w:t>
      </w:r>
    </w:p>
    <w:p w14:paraId="71852729">
      <w:pPr>
        <w:widowControl w:val="0"/>
        <w:spacing w:after="120" w:line="380" w:lineRule="exact"/>
        <w:ind w:firstLine="422" w:firstLineChars="200"/>
        <w:jc w:val="both"/>
        <w:rPr>
          <w:rFonts w:hint="eastAsia" w:asciiTheme="minorEastAsia" w:hAnsiTheme="minorEastAsia" w:eastAsiaTheme="minorEastAsia" w:cstheme="minorEastAsia"/>
          <w:b/>
          <w:bCs/>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2产品基本性能及技术要求：</w:t>
      </w:r>
    </w:p>
    <w:p w14:paraId="4AFF88D1">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▲样品通量：一次完成&gt;90个标本的染色体收获。以国家行政单位（如食药监局或市场监督管理局）颁发的产品备案证书为准</w:t>
      </w:r>
    </w:p>
    <w:p w14:paraId="2E6BCA7F">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▲标本载样台：可放置&gt;90个标本的吊篮。以国家行政单位（食药监局或市场监督管理局）颁发的产品备案证书为准</w:t>
      </w:r>
    </w:p>
    <w:p w14:paraId="2E4E7B53">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2.3.</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处理时间：2-2.5小时/批次</w:t>
      </w:r>
    </w:p>
    <w:p w14:paraId="08E0BFF9">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2.4.</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处理过程：不少于16步</w:t>
      </w:r>
    </w:p>
    <w:p w14:paraId="07F767C8">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2.5.</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离心分离时间设定范围：0-900秒</w:t>
      </w:r>
    </w:p>
    <w:p w14:paraId="662A882E">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2.6.</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吸上清后剩余细胞悬液体积范围：0.15-4ml</w:t>
      </w:r>
    </w:p>
    <w:p w14:paraId="320E347C">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2.7.</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标本管内液体溢出自动报警</w:t>
      </w:r>
    </w:p>
    <w:p w14:paraId="11F3496F">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2.8.</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低渗液一次注入量设定范围：0.25-10毫升（可循环多次低渗注入）</w:t>
      </w:r>
    </w:p>
    <w:p w14:paraId="4F88A5D8">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2.9.</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低渗液和固定液分别由独立的注液针头注液，非共用注液针头</w:t>
      </w:r>
    </w:p>
    <w:p w14:paraId="70C79928">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2.10.</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低渗液和固定液注入精度±0.5%</w:t>
      </w:r>
    </w:p>
    <w:p w14:paraId="341D5554">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2.11.</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▲通道能保证低渗液同时注液，固定液同时注液。每个注液通道由独立的注液泵单独注液，每个通道由独立管线进液。以国家行政单位（如食药监局或市场监督管理局）颁发的产品备案证书为准</w:t>
      </w:r>
    </w:p>
    <w:p w14:paraId="09293509">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2.12.</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▲通道能同时吸取上清液，具备隔膜吸液泵。以国家行政单位（如食药监局或市场监督管理局）颁发的产品备案证书为准</w:t>
      </w:r>
    </w:p>
    <w:p w14:paraId="28639565">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2.13.</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低渗循环次数设定范围：1-3次</w:t>
      </w:r>
    </w:p>
    <w:p w14:paraId="28418F58">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2.14.</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低渗总时间设定范围：5-60分钟</w:t>
      </w:r>
    </w:p>
    <w:p w14:paraId="1144852D">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2.15.</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固定液自动配置单元，自动配置固定液，并具备固定液和低渗液缺液报警功能。</w:t>
      </w:r>
    </w:p>
    <w:p w14:paraId="7AF6F3C0">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2.16.</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预固定液注入体积设定范围：0.25-6毫升</w:t>
      </w:r>
    </w:p>
    <w:p w14:paraId="55023995">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2.17.</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固定时间设定范围：0-60分钟</w:t>
      </w:r>
    </w:p>
    <w:p w14:paraId="7B6348EE">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2.18.</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固定次数设定范围（预固定除外）：1-5次</w:t>
      </w:r>
    </w:p>
    <w:p w14:paraId="2388524A">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2.19.</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开机后离心腔到达并稳定37℃所需时间：≤5分钟</w:t>
      </w:r>
    </w:p>
    <w:p w14:paraId="280A0770">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2.20.</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低渗温度控制范围及温控精度：室温-40摄氏度；温控精度±1℃</w:t>
      </w:r>
    </w:p>
    <w:p w14:paraId="2AF31C4F">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2.21.</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细胞培养液体积：5-10ml，使用标准圆底或锥底离心管。</w:t>
      </w:r>
    </w:p>
    <w:p w14:paraId="1E5AD6DD">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2.22.</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离心速度设定范围：500-1100rpm</w:t>
      </w:r>
    </w:p>
    <w:p w14:paraId="0033CE72">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2.23.</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▲具备吸液吊篮定位升降台，台升降范围：0-5cm。以国家行政单位（如食药监局或市场监督管理局）颁发的产品备案证书为准</w:t>
      </w:r>
    </w:p>
    <w:p w14:paraId="6A872F9D">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2.24.</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▲具备内置在线低渗液加热。以国家行政单位（如食药监局或市场监督管理局）颁发的产品备案证书为准</w:t>
      </w:r>
    </w:p>
    <w:p w14:paraId="4D9E0FF0">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2.25.</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震荡混匀速度范围：100-2100转/分钟</w:t>
      </w:r>
    </w:p>
    <w:p w14:paraId="135CEE91">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2.26.</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▲加注低渗液/固定液模式：脉冲加注、连续加注。以国家行政单位（如食药监局或市场监督管理局）颁发的产品备案证书为准</w:t>
      </w:r>
    </w:p>
    <w:p w14:paraId="45A2EE53">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2.27.</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▲具备旋转注液机械臂，旋转角度范围：0-180°。以国家行政单位（如食药监局或市场监督管理局）颁发的产品备案证书为准</w:t>
      </w:r>
    </w:p>
    <w:p w14:paraId="177AC95A">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2.28.</w:t>
      </w:r>
      <w:bookmarkStart w:id="5" w:name="_Hlk114472784"/>
      <w:r>
        <w:rPr>
          <w:rFonts w:hint="eastAsia" w:asciiTheme="minorEastAsia" w:hAnsiTheme="minorEastAsia" w:eastAsiaTheme="minorEastAsia" w:cstheme="minorEastAsia"/>
          <w:kern w:val="2"/>
          <w:sz w:val="21"/>
          <w:szCs w:val="22"/>
          <w:lang w:val="en-US" w:eastAsia="zh-CN" w:bidi="ar-SA"/>
        </w:rPr>
        <w:tab/>
      </w:r>
      <w:bookmarkEnd w:id="5"/>
      <w:r>
        <w:rPr>
          <w:rFonts w:hint="eastAsia" w:asciiTheme="minorEastAsia" w:hAnsiTheme="minorEastAsia" w:eastAsiaTheme="minorEastAsia" w:cstheme="minorEastAsia"/>
          <w:kern w:val="2"/>
          <w:sz w:val="21"/>
          <w:szCs w:val="22"/>
          <w:lang w:val="en-US" w:eastAsia="zh-CN" w:bidi="ar-SA"/>
        </w:rPr>
        <w:t>▲具备细胞上清液与针头清洗液分流排放功能。以国家行政单位（如食药监局或市场监督管理局）颁发的产品备案证书为准</w:t>
      </w:r>
    </w:p>
    <w:p w14:paraId="03FCF19B">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2.29.</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配置HEPA过滤器，能够同时过滤挥发有机蒸汽和尘埃粒子</w:t>
      </w:r>
    </w:p>
    <w:p w14:paraId="3FF2A700">
      <w:pPr>
        <w:spacing w:line="380" w:lineRule="exact"/>
        <w:ind w:firstLine="42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2.30.</w:t>
      </w:r>
      <w:r>
        <w:rPr>
          <w:rFonts w:hint="eastAsia" w:asciiTheme="minorEastAsia" w:hAnsiTheme="minorEastAsia" w:eastAsiaTheme="minorEastAsia" w:cstheme="minorEastAsia"/>
          <w:szCs w:val="22"/>
        </w:rPr>
        <w:tab/>
      </w:r>
      <w:r>
        <w:rPr>
          <w:rFonts w:hint="eastAsia" w:asciiTheme="minorEastAsia" w:hAnsiTheme="minorEastAsia" w:eastAsiaTheme="minorEastAsia" w:cstheme="minorEastAsia"/>
          <w:szCs w:val="22"/>
        </w:rPr>
        <w:t>内置计算机、触摸屏控制界面，内置外周血等标准操作程序并可修改</w:t>
      </w:r>
    </w:p>
    <w:p w14:paraId="07F85916">
      <w:pPr>
        <w:spacing w:line="400" w:lineRule="exact"/>
        <w:ind w:firstLine="422" w:firstLineChars="200"/>
        <w:jc w:val="left"/>
        <w:rPr>
          <w:rFonts w:hint="eastAsia" w:asciiTheme="minorEastAsia" w:hAnsiTheme="minorEastAsia" w:eastAsiaTheme="minorEastAsia" w:cstheme="minorEastAsia"/>
          <w:b/>
          <w:bCs/>
          <w:szCs w:val="22"/>
        </w:rPr>
      </w:pPr>
    </w:p>
    <w:p w14:paraId="52CBBBA8">
      <w:pPr>
        <w:spacing w:line="400" w:lineRule="exact"/>
        <w:ind w:firstLine="422" w:firstLineChars="200"/>
        <w:jc w:val="left"/>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b/>
          <w:bCs/>
          <w:szCs w:val="22"/>
        </w:rPr>
        <w:t>全自动染色体滴片仪</w:t>
      </w:r>
    </w:p>
    <w:p w14:paraId="320C5D43">
      <w:pPr>
        <w:spacing w:line="380" w:lineRule="exact"/>
        <w:ind w:firstLine="420" w:firstLineChars="200"/>
        <w:rPr>
          <w:rFonts w:hint="eastAsia" w:asciiTheme="minorEastAsia" w:hAnsiTheme="minorEastAsia" w:eastAsiaTheme="minorEastAsia" w:cstheme="minorEastAsia"/>
          <w:szCs w:val="22"/>
        </w:rPr>
      </w:pPr>
    </w:p>
    <w:p w14:paraId="1E930841">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1</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全自动染色体滴片仪功能用途：</w:t>
      </w:r>
    </w:p>
    <w:p w14:paraId="5CAD920F">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1.1</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功能：针对收获出来的外周血、骨髓等细胞悬液标本进行全自动的滴片、分散。</w:t>
      </w:r>
    </w:p>
    <w:p w14:paraId="1E2A24D9">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1.2</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用途：用于产前诊断、生殖、血液病等细胞遗传实验室的染色体滴片分散。</w:t>
      </w:r>
    </w:p>
    <w:p w14:paraId="1D7CB9D4">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产品基本性能及技术要求：</w:t>
      </w:r>
    </w:p>
    <w:p w14:paraId="275D067B">
      <w:pPr>
        <w:widowControl w:val="0"/>
        <w:spacing w:after="120" w:line="380" w:lineRule="exact"/>
        <w:ind w:firstLine="422"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2.1</w:t>
      </w:r>
      <w:r>
        <w:rPr>
          <w:rFonts w:hint="eastAsia" w:asciiTheme="minorEastAsia" w:hAnsiTheme="minorEastAsia" w:eastAsiaTheme="minorEastAsia" w:cstheme="minorEastAsia"/>
          <w:b/>
          <w:bCs/>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▲样品通量：一次完成≤64管标本的染色体滴片。以国家行政单位（食药监局或市场监督管理局）颁发的产品备案证书为准。</w:t>
      </w:r>
    </w:p>
    <w:p w14:paraId="4E4E1896">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2.2</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独立压缩机制冷温湿度控制</w:t>
      </w:r>
    </w:p>
    <w:p w14:paraId="79871C06">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2.3</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处理时间：1小时/批次</w:t>
      </w:r>
    </w:p>
    <w:p w14:paraId="1BD7F118">
      <w:pPr>
        <w:widowControl w:val="0"/>
        <w:spacing w:after="120" w:line="380" w:lineRule="exact"/>
        <w:ind w:firstLine="422"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2.4</w:t>
      </w:r>
      <w:r>
        <w:rPr>
          <w:rFonts w:hint="eastAsia" w:asciiTheme="minorEastAsia" w:hAnsiTheme="minorEastAsia" w:eastAsiaTheme="minorEastAsia" w:cstheme="minorEastAsia"/>
          <w:b/>
          <w:bCs/>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▲全封闭分散室。以国家行政单位（食药监局或市场监督管理局）颁发的产品备案证书为准。</w:t>
      </w:r>
    </w:p>
    <w:p w14:paraId="795EC6D0">
      <w:pPr>
        <w:widowControl w:val="0"/>
        <w:spacing w:after="120" w:line="380" w:lineRule="exact"/>
        <w:ind w:firstLine="422"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2.5</w:t>
      </w:r>
      <w:r>
        <w:rPr>
          <w:rFonts w:hint="eastAsia" w:asciiTheme="minorEastAsia" w:hAnsiTheme="minorEastAsia" w:eastAsiaTheme="minorEastAsia" w:cstheme="minorEastAsia"/>
          <w:b/>
          <w:bCs/>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▲温度控制范围：+20℃至+40℃；精度±0.25℃；均一度±0.7℃。以国家行政单位（食药监局或市场监督管理局）颁发的产品备案证书为准。</w:t>
      </w:r>
    </w:p>
    <w:p w14:paraId="3FAC462C">
      <w:pPr>
        <w:widowControl w:val="0"/>
        <w:spacing w:after="120" w:line="380" w:lineRule="exact"/>
        <w:ind w:firstLine="422"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2.6</w:t>
      </w:r>
      <w:r>
        <w:rPr>
          <w:rFonts w:hint="eastAsia" w:asciiTheme="minorEastAsia" w:hAnsiTheme="minorEastAsia" w:eastAsiaTheme="minorEastAsia" w:cstheme="minorEastAsia"/>
          <w:b/>
          <w:bCs/>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▲湿度控制范围：25%至75% RH；精度±2% RH；均匀度±1% RH。以国家行政单位（如食药监局或市场监督管理局）颁发的产品备案证书为准。</w:t>
      </w:r>
    </w:p>
    <w:p w14:paraId="5F7501AC">
      <w:pPr>
        <w:widowControl w:val="0"/>
        <w:spacing w:after="120" w:line="380" w:lineRule="exact"/>
        <w:ind w:firstLine="422" w:firstLineChars="200"/>
        <w:jc w:val="both"/>
        <w:rPr>
          <w:rFonts w:hint="eastAsia" w:asciiTheme="minorEastAsia" w:hAnsiTheme="minorEastAsia" w:eastAsiaTheme="minorEastAsia" w:cstheme="minorEastAsia"/>
          <w:b/>
          <w:bCs/>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2.7</w:t>
      </w:r>
      <w:r>
        <w:rPr>
          <w:rFonts w:hint="eastAsia" w:asciiTheme="minorEastAsia" w:hAnsiTheme="minorEastAsia" w:eastAsiaTheme="minorEastAsia" w:cstheme="minorEastAsia"/>
          <w:b/>
          <w:bCs/>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▲位置玻片平台，一次同时平铺摆放≤64张玻片。以国家行政单位（食药监局或市场监督管理局）颁发的产品备案证书为准。</w:t>
      </w:r>
    </w:p>
    <w:p w14:paraId="47A5B810">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2.8</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标本悬液量：≥1ml</w:t>
      </w:r>
    </w:p>
    <w:p w14:paraId="7C553D7E">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2.9</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每点滴液量：10-100ul</w:t>
      </w:r>
    </w:p>
    <w:p w14:paraId="1F2B1751">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2.10</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每玻片滴液：1-2点</w:t>
      </w:r>
    </w:p>
    <w:p w14:paraId="3C910D3D">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2.11</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具备追加固定液功能</w:t>
      </w:r>
    </w:p>
    <w:p w14:paraId="24B80635">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2.12</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玻片台角度：5°、10°</w:t>
      </w:r>
    </w:p>
    <w:p w14:paraId="692EF7CA">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2.13</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具备气流可调功能</w:t>
      </w:r>
    </w:p>
    <w:p w14:paraId="7B110F45">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2.14</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干片法、湿片法可选</w:t>
      </w:r>
    </w:p>
    <w:p w14:paraId="14736529">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2.15</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具备条码扫描功能</w:t>
      </w:r>
    </w:p>
    <w:p w14:paraId="754AD771">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2.16</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自动悬液吹打混匀</w:t>
      </w:r>
    </w:p>
    <w:p w14:paraId="3139BE34">
      <w:pPr>
        <w:widowControl w:val="0"/>
        <w:spacing w:after="120" w:line="380" w:lineRule="exact"/>
        <w:ind w:firstLine="422" w:firstLineChars="200"/>
        <w:jc w:val="both"/>
        <w:rPr>
          <w:rFonts w:hint="eastAsia" w:asciiTheme="minorEastAsia" w:hAnsiTheme="minorEastAsia" w:eastAsiaTheme="minorEastAsia" w:cstheme="minorEastAsia"/>
          <w:b/>
          <w:bCs/>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 xml:space="preserve">2.17 </w:t>
      </w:r>
      <w:r>
        <w:rPr>
          <w:rFonts w:hint="eastAsia" w:asciiTheme="minorEastAsia" w:hAnsiTheme="minorEastAsia" w:eastAsiaTheme="minorEastAsia" w:cstheme="minorEastAsia"/>
          <w:kern w:val="2"/>
          <w:sz w:val="21"/>
          <w:szCs w:val="22"/>
          <w:lang w:val="en-US" w:eastAsia="zh-CN" w:bidi="ar-SA"/>
        </w:rPr>
        <w:t>▲超声雾化玻片表面预处理。以国家行政单位（食药监局或市场监督管理局）颁发的产品备案证书为准。</w:t>
      </w:r>
    </w:p>
    <w:p w14:paraId="2A06A7F5">
      <w:pPr>
        <w:spacing w:line="360" w:lineRule="auto"/>
        <w:ind w:left="420" w:leftChars="200" w:firstLine="0" w:firstLineChars="0"/>
        <w:rPr>
          <w:rFonts w:hint="eastAsia" w:asciiTheme="minorEastAsia" w:hAnsiTheme="minorEastAsia" w:eastAsiaTheme="minorEastAsia" w:cstheme="minorEastAsia"/>
          <w:b/>
          <w:bCs/>
          <w:szCs w:val="22"/>
        </w:rPr>
      </w:pPr>
    </w:p>
    <w:p w14:paraId="751F1164">
      <w:pPr>
        <w:spacing w:line="360" w:lineRule="auto"/>
        <w:ind w:left="420" w:leftChars="200" w:firstLine="0" w:firstLineChars="0"/>
        <w:rPr>
          <w:rFonts w:hint="eastAsia" w:asciiTheme="minorEastAsia" w:hAnsiTheme="minorEastAsia" w:eastAsiaTheme="minorEastAsia" w:cstheme="minorEastAsia"/>
          <w:b/>
          <w:bCs/>
          <w:szCs w:val="22"/>
        </w:rPr>
      </w:pPr>
      <w:r>
        <w:rPr>
          <w:rFonts w:hint="eastAsia" w:asciiTheme="minorEastAsia" w:hAnsiTheme="minorEastAsia" w:eastAsiaTheme="minorEastAsia" w:cstheme="minorEastAsia"/>
          <w:b/>
          <w:bCs/>
          <w:szCs w:val="22"/>
        </w:rPr>
        <w:t>全自动染色体染片仪</w:t>
      </w:r>
    </w:p>
    <w:p w14:paraId="146356CE">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全自动染片用途</w:t>
      </w:r>
    </w:p>
    <w:p w14:paraId="0103B47F">
      <w:pPr>
        <w:widowControl w:val="0"/>
        <w:spacing w:line="360" w:lineRule="auto"/>
        <w:ind w:firstLine="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功能</w:t>
      </w:r>
      <w:r>
        <w:rPr>
          <w:rFonts w:hint="eastAsia" w:asciiTheme="minorEastAsia" w:hAnsiTheme="minorEastAsia" w:eastAsiaTheme="minorEastAsia" w:cstheme="minorEastAsia"/>
          <w:kern w:val="2"/>
          <w:sz w:val="21"/>
          <w:szCs w:val="22"/>
          <w:lang w:val="en-US" w:eastAsia="zh-CN" w:bidi="ar-SA"/>
        </w:rPr>
        <w:t>：自动机械臂结合全自动机械抓手，全自动抓取玻片吊篮并将玻片吊篮自动连续放入胰酶消化液液缸、终止液液缸、染色液液缸，洗涤液液缸，并最后将吊篮玻片进行热风风淋吹干。</w:t>
      </w:r>
    </w:p>
    <w:p w14:paraId="4B03DBEC">
      <w:pPr>
        <w:widowControl w:val="0"/>
        <w:spacing w:line="360" w:lineRule="auto"/>
        <w:ind w:firstLine="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用途：</w:t>
      </w:r>
      <w:r>
        <w:rPr>
          <w:rFonts w:hint="eastAsia" w:asciiTheme="minorEastAsia" w:hAnsiTheme="minorEastAsia" w:eastAsiaTheme="minorEastAsia" w:cstheme="minorEastAsia"/>
          <w:kern w:val="2"/>
          <w:sz w:val="21"/>
          <w:szCs w:val="22"/>
          <w:lang w:val="en-US" w:eastAsia="zh-CN" w:bidi="ar-SA"/>
        </w:rPr>
        <w:t>用于对制片后的染色体玻片进行全自动的胰酶消化、盐水终止、染色显带、洗涤和玻片风干操作，显带后的染色体玻片用于下游的核型扫描和分析。</w:t>
      </w:r>
    </w:p>
    <w:p w14:paraId="1CCE6BC4">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▲样品通量：一次全自动完成30张左右玻片的消化、染片显带及风淋吹干操作。佐证以国家行政单位（食药监局或市场监督管理局）颁发的产品备案证书为准。</w:t>
      </w:r>
    </w:p>
    <w:p w14:paraId="1CD45BA2">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处理速度：所有玻片消化速度≤6min（依据消化和染色的时间不同而有所不同）</w:t>
      </w:r>
    </w:p>
    <w:p w14:paraId="513BE27C">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处理时间：单批次处理时间≤6分钟（依据消化和染色的时间不同而有所不同）</w:t>
      </w:r>
    </w:p>
    <w:p w14:paraId="17BDF4B2">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处理过程：不少于6步</w:t>
      </w:r>
    </w:p>
    <w:p w14:paraId="3D75B96E">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恒温水浴控制</w:t>
      </w:r>
    </w:p>
    <w:p w14:paraId="08135B8A">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胰酶消化液用量：≤200ml，每批次同时消化至少30张玻片</w:t>
      </w:r>
    </w:p>
    <w:p w14:paraId="0776B5F5">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染色液用量：≤200ml，每批次至少可以同时染30张玻片</w:t>
      </w:r>
    </w:p>
    <w:p w14:paraId="76800F4B">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终止液液缸体积：250ml左右</w:t>
      </w:r>
    </w:p>
    <w:p w14:paraId="6227AA80">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冲洗液液缸体积：250ml左右</w:t>
      </w:r>
    </w:p>
    <w:p w14:paraId="3E2D04C9">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液缸温控范围：室温-40°C</w:t>
      </w:r>
    </w:p>
    <w:p w14:paraId="7C4F7BC9">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风淋温度范围：室温-70°C</w:t>
      </w:r>
    </w:p>
    <w:p w14:paraId="0F4F82A9">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液晶屏人机界面</w:t>
      </w:r>
    </w:p>
    <w:p w14:paraId="3E962560">
      <w:pPr>
        <w:widowControl w:val="0"/>
        <w:numPr>
          <w:ilvl w:val="0"/>
          <w:numId w:val="10"/>
        </w:numPr>
        <w:spacing w:line="360" w:lineRule="auto"/>
        <w:ind w:left="780" w:hanging="420" w:firstLineChars="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安卓操作系统</w:t>
      </w:r>
    </w:p>
    <w:p w14:paraId="51EBF7B8">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p>
    <w:p w14:paraId="3B9BBCDE">
      <w:pPr>
        <w:spacing w:line="380" w:lineRule="exact"/>
        <w:ind w:firstLine="42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二、配置要求：</w:t>
      </w:r>
    </w:p>
    <w:p w14:paraId="7069EE2A">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配置清单：</w:t>
      </w:r>
    </w:p>
    <w:p w14:paraId="7D0C2AF8">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3.1</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操作控制触摸屏</w:t>
      </w:r>
    </w:p>
    <w:p w14:paraId="191E1A51">
      <w:pPr>
        <w:widowControl w:val="0"/>
        <w:spacing w:after="120" w:line="380" w:lineRule="exact"/>
        <w:ind w:firstLine="422"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b/>
          <w:bCs/>
          <w:kern w:val="2"/>
          <w:sz w:val="21"/>
          <w:szCs w:val="22"/>
          <w:lang w:val="en-US" w:eastAsia="zh-CN" w:bidi="ar-SA"/>
        </w:rPr>
        <w:t>3.2</w:t>
      </w:r>
      <w:r>
        <w:rPr>
          <w:rFonts w:hint="eastAsia" w:asciiTheme="minorEastAsia" w:hAnsiTheme="minorEastAsia" w:eastAsiaTheme="minorEastAsia" w:cstheme="minorEastAsia"/>
          <w:b/>
          <w:bCs/>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▲陶瓷加液泵</w:t>
      </w:r>
    </w:p>
    <w:p w14:paraId="50277616">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3.3</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隔膜真空吸液泵</w:t>
      </w:r>
    </w:p>
    <w:p w14:paraId="1990A069">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3.4</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吸液吊篮定位升降台</w:t>
      </w:r>
    </w:p>
    <w:p w14:paraId="6DA4A681">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3.5</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内置在线加热组件</w:t>
      </w:r>
    </w:p>
    <w:p w14:paraId="46AD991B">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3.6</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旋转注液机械臂</w:t>
      </w:r>
    </w:p>
    <w:p w14:paraId="0B98A58E">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3.7</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离心模块</w:t>
      </w:r>
    </w:p>
    <w:p w14:paraId="2500EAF6">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3.8</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离心机腔温度控制模块</w:t>
      </w:r>
    </w:p>
    <w:p w14:paraId="1223FE54">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3.9</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震荡模块</w:t>
      </w:r>
    </w:p>
    <w:p w14:paraId="01B86613">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3.10</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吸针清洗模块</w:t>
      </w:r>
    </w:p>
    <w:p w14:paraId="66C2E575">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3.11</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HEPA过滤器</w:t>
      </w:r>
    </w:p>
    <w:p w14:paraId="60FFA892">
      <w:pPr>
        <w:spacing w:line="380" w:lineRule="exact"/>
        <w:ind w:firstLine="42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3.12</w:t>
      </w:r>
      <w:r>
        <w:rPr>
          <w:rFonts w:hint="eastAsia" w:asciiTheme="minorEastAsia" w:hAnsiTheme="minorEastAsia" w:eastAsiaTheme="minorEastAsia" w:cstheme="minorEastAsia"/>
          <w:szCs w:val="22"/>
        </w:rPr>
        <w:tab/>
      </w:r>
      <w:r>
        <w:rPr>
          <w:rFonts w:hint="eastAsia" w:asciiTheme="minorEastAsia" w:hAnsiTheme="minorEastAsia" w:eastAsiaTheme="minorEastAsia" w:cstheme="minorEastAsia"/>
          <w:szCs w:val="22"/>
        </w:rPr>
        <w:t>固定液自动配液机</w:t>
      </w:r>
    </w:p>
    <w:p w14:paraId="5F82CC08">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3.13</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10英寸操作控制触摸屏</w:t>
      </w:r>
    </w:p>
    <w:p w14:paraId="1F244B8F">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3.14</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温湿度控制模块</w:t>
      </w:r>
    </w:p>
    <w:p w14:paraId="1CEDF123">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3.15</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细胞染色体转移滴片模块</w:t>
      </w:r>
    </w:p>
    <w:p w14:paraId="64526128">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3.16</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条码识别比对模块</w:t>
      </w:r>
    </w:p>
    <w:p w14:paraId="0ED032AF">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3.17</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玻片架（至少可平铺放置64张玻片）</w:t>
      </w:r>
    </w:p>
    <w:p w14:paraId="3F4A1348">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3.18</w:t>
      </w:r>
      <w:r>
        <w:rPr>
          <w:rFonts w:hint="eastAsia" w:asciiTheme="minorEastAsia" w:hAnsiTheme="minorEastAsia" w:eastAsiaTheme="minorEastAsia" w:cstheme="minorEastAsia"/>
          <w:kern w:val="2"/>
          <w:sz w:val="21"/>
          <w:szCs w:val="22"/>
          <w:lang w:val="en-US" w:eastAsia="zh-CN" w:bidi="ar-SA"/>
        </w:rPr>
        <w:tab/>
      </w:r>
      <w:r>
        <w:rPr>
          <w:rFonts w:hint="eastAsia" w:asciiTheme="minorEastAsia" w:hAnsiTheme="minorEastAsia" w:eastAsiaTheme="minorEastAsia" w:cstheme="minorEastAsia"/>
          <w:kern w:val="2"/>
          <w:sz w:val="21"/>
          <w:szCs w:val="22"/>
          <w:lang w:val="en-US" w:eastAsia="zh-CN" w:bidi="ar-SA"/>
        </w:rPr>
        <w:t>试管架（至少可放置64个试管）</w:t>
      </w:r>
    </w:p>
    <w:p w14:paraId="30398FF9">
      <w:pPr>
        <w:widowControl w:val="0"/>
        <w:spacing w:after="120" w:line="380" w:lineRule="exact"/>
        <w:ind w:firstLine="420" w:firstLineChars="200"/>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3.19自动染片机</w:t>
      </w:r>
    </w:p>
    <w:p w14:paraId="08B32625">
      <w:pPr>
        <w:spacing w:line="240" w:lineRule="auto"/>
        <w:ind w:firstLine="0" w:firstLineChars="0"/>
        <w:rPr>
          <w:rFonts w:hint="eastAsia" w:cs="宋体" w:asciiTheme="majorEastAsia" w:hAnsiTheme="majorEastAsia" w:eastAsiaTheme="majorEastAsia"/>
          <w:szCs w:val="21"/>
          <w:lang w:eastAsia="zh-CN"/>
        </w:rPr>
      </w:pPr>
    </w:p>
    <w:p w14:paraId="691A2A14">
      <w:pPr>
        <w:spacing w:line="240" w:lineRule="auto"/>
        <w:ind w:firstLine="0" w:firstLineChars="0"/>
        <w:rPr>
          <w:rFonts w:hint="eastAsia" w:cs="宋体" w:asciiTheme="majorEastAsia" w:hAnsiTheme="majorEastAsia" w:eastAsiaTheme="majorEastAsia"/>
          <w:szCs w:val="21"/>
          <w:lang w:eastAsia="zh-CN"/>
        </w:rPr>
      </w:pPr>
    </w:p>
    <w:p w14:paraId="5A3D95DF">
      <w:pPr>
        <w:widowControl/>
        <w:numPr>
          <w:ilvl w:val="0"/>
          <w:numId w:val="0"/>
        </w:numPr>
        <w:spacing w:line="400" w:lineRule="exact"/>
        <w:jc w:val="left"/>
        <w:rPr>
          <w:rFonts w:hint="default" w:ascii="宋体" w:hAnsi="宋体"/>
          <w:kern w:val="0"/>
          <w:szCs w:val="21"/>
          <w:lang w:val="en-US" w:eastAsia="zh-CN"/>
        </w:rPr>
      </w:pPr>
    </w:p>
    <w:p w14:paraId="2667E0E3">
      <w:pPr>
        <w:numPr>
          <w:ilvl w:val="0"/>
          <w:numId w:val="0"/>
        </w:numPr>
        <w:ind w:leftChars="0"/>
        <w:rPr>
          <w:rFonts w:hint="eastAsia" w:asciiTheme="minorEastAsia" w:hAnsiTheme="minorEastAsia" w:cstheme="minorEastAsia"/>
          <w:b/>
          <w:bCs/>
          <w:sz w:val="24"/>
          <w:szCs w:val="24"/>
          <w:lang w:val="en-US" w:eastAsia="zh-CN"/>
        </w:rPr>
      </w:pPr>
    </w:p>
    <w:p w14:paraId="2EFC7766">
      <w:pPr>
        <w:rPr>
          <w:rFonts w:hint="eastAsia" w:ascii="宋体" w:hAnsi="宋体"/>
          <w:color w:val="auto"/>
          <w:kern w:val="0"/>
          <w:szCs w:val="21"/>
        </w:rPr>
      </w:pPr>
    </w:p>
    <w:p w14:paraId="2C258785">
      <w:pPr>
        <w:rPr>
          <w:rFonts w:hint="eastAsia" w:ascii="宋体" w:hAnsi="宋体"/>
          <w:color w:val="auto"/>
          <w:kern w:val="0"/>
          <w:szCs w:val="21"/>
        </w:rPr>
      </w:pPr>
    </w:p>
    <w:p w14:paraId="7651CD70">
      <w:pPr>
        <w:rPr>
          <w:rFonts w:hint="eastAsia" w:ascii="宋体" w:hAnsi="宋体"/>
          <w:color w:val="auto"/>
          <w:kern w:val="0"/>
          <w:szCs w:val="21"/>
        </w:rPr>
      </w:pPr>
    </w:p>
    <w:p w14:paraId="45268F08">
      <w:pPr>
        <w:rPr>
          <w:rFonts w:hint="eastAsia" w:ascii="宋体" w:hAnsi="宋体"/>
          <w:color w:val="auto"/>
          <w:kern w:val="0"/>
          <w:szCs w:val="21"/>
        </w:rPr>
      </w:pPr>
    </w:p>
    <w:p w14:paraId="2CAD0336">
      <w:pPr>
        <w:rPr>
          <w:rFonts w:hint="eastAsia" w:ascii="宋体" w:hAnsi="宋体"/>
          <w:color w:val="auto"/>
          <w:kern w:val="0"/>
          <w:szCs w:val="21"/>
        </w:rPr>
      </w:pPr>
    </w:p>
    <w:p w14:paraId="6688DB58">
      <w:pPr>
        <w:rPr>
          <w:rFonts w:hint="eastAsia" w:ascii="宋体" w:hAnsi="宋体"/>
          <w:color w:val="auto"/>
          <w:kern w:val="0"/>
          <w:szCs w:val="21"/>
        </w:rPr>
      </w:pPr>
    </w:p>
    <w:p w14:paraId="3D731CF6">
      <w:pPr>
        <w:rPr>
          <w:rFonts w:hint="eastAsia" w:ascii="宋体" w:hAnsi="宋体"/>
          <w:color w:val="auto"/>
          <w:kern w:val="0"/>
          <w:szCs w:val="21"/>
        </w:rPr>
      </w:pPr>
    </w:p>
    <w:p w14:paraId="77A4F995">
      <w:pPr>
        <w:rPr>
          <w:rFonts w:hint="eastAsia" w:ascii="宋体" w:hAnsi="宋体"/>
          <w:color w:val="auto"/>
          <w:kern w:val="0"/>
          <w:szCs w:val="21"/>
        </w:rPr>
      </w:pPr>
    </w:p>
    <w:p w14:paraId="43BF6B2F">
      <w:pPr>
        <w:rPr>
          <w:rFonts w:hint="eastAsia" w:ascii="宋体" w:hAnsi="宋体"/>
          <w:color w:val="auto"/>
          <w:kern w:val="0"/>
          <w:szCs w:val="21"/>
        </w:rPr>
      </w:pPr>
    </w:p>
    <w:p w14:paraId="1E50D381">
      <w:pPr>
        <w:rPr>
          <w:rFonts w:hint="eastAsia" w:ascii="宋体" w:hAnsi="宋体"/>
          <w:color w:val="auto"/>
          <w:kern w:val="0"/>
          <w:szCs w:val="21"/>
        </w:rPr>
      </w:pPr>
    </w:p>
    <w:p w14:paraId="33DA8ECA">
      <w:pPr>
        <w:rPr>
          <w:rFonts w:hint="eastAsia" w:ascii="宋体" w:hAnsi="宋体"/>
          <w:color w:val="auto"/>
          <w:kern w:val="0"/>
          <w:szCs w:val="21"/>
        </w:rPr>
      </w:pPr>
    </w:p>
    <w:p w14:paraId="5EB631D9">
      <w:pPr>
        <w:rPr>
          <w:rFonts w:hint="eastAsia" w:ascii="宋体" w:hAnsi="宋体"/>
          <w:color w:val="auto"/>
          <w:kern w:val="0"/>
          <w:szCs w:val="21"/>
        </w:rPr>
      </w:pPr>
    </w:p>
    <w:p w14:paraId="1D3E0574">
      <w:pPr>
        <w:rPr>
          <w:rFonts w:hint="eastAsia" w:ascii="宋体" w:hAnsi="宋体"/>
          <w:color w:val="auto"/>
          <w:kern w:val="0"/>
          <w:szCs w:val="21"/>
        </w:rPr>
      </w:pPr>
    </w:p>
    <w:p w14:paraId="6A4F3868">
      <w:pPr>
        <w:rPr>
          <w:rFonts w:hint="eastAsia" w:ascii="宋体" w:hAnsi="宋体"/>
          <w:color w:val="auto"/>
          <w:kern w:val="0"/>
          <w:szCs w:val="21"/>
        </w:rPr>
      </w:pPr>
    </w:p>
    <w:p w14:paraId="40176661">
      <w:pPr>
        <w:rPr>
          <w:rFonts w:hint="eastAsia" w:ascii="宋体" w:hAnsi="宋体"/>
          <w:color w:val="auto"/>
          <w:kern w:val="0"/>
          <w:szCs w:val="21"/>
        </w:rPr>
      </w:pPr>
    </w:p>
    <w:p w14:paraId="6934FE20">
      <w:pPr>
        <w:rPr>
          <w:rFonts w:hint="eastAsia" w:ascii="宋体" w:hAnsi="宋体"/>
          <w:color w:val="auto"/>
          <w:kern w:val="0"/>
          <w:szCs w:val="21"/>
        </w:rPr>
      </w:pPr>
    </w:p>
    <w:p w14:paraId="5885E799">
      <w:pPr>
        <w:rPr>
          <w:rFonts w:hint="eastAsia" w:ascii="宋体" w:hAnsi="宋体"/>
          <w:color w:val="auto"/>
          <w:kern w:val="0"/>
          <w:szCs w:val="21"/>
        </w:rPr>
      </w:pPr>
    </w:p>
    <w:p w14:paraId="4E30EF8C">
      <w:pPr>
        <w:rPr>
          <w:rFonts w:hint="eastAsia" w:ascii="宋体" w:hAnsi="宋体"/>
          <w:color w:val="auto"/>
          <w:kern w:val="0"/>
          <w:szCs w:val="21"/>
        </w:rPr>
      </w:pPr>
    </w:p>
    <w:p w14:paraId="591F01E6">
      <w:pPr>
        <w:rPr>
          <w:rFonts w:hint="eastAsia" w:ascii="宋体" w:hAnsi="宋体"/>
          <w:color w:val="auto"/>
          <w:kern w:val="0"/>
          <w:szCs w:val="21"/>
        </w:rPr>
      </w:pPr>
    </w:p>
    <w:p w14:paraId="0D14E141">
      <w:pPr>
        <w:rPr>
          <w:rFonts w:hint="eastAsia" w:ascii="宋体" w:hAnsi="宋体"/>
          <w:color w:val="auto"/>
          <w:kern w:val="0"/>
          <w:szCs w:val="21"/>
        </w:rPr>
      </w:pPr>
    </w:p>
    <w:p w14:paraId="4B7AB5D5">
      <w:pPr>
        <w:rPr>
          <w:rFonts w:hint="eastAsia" w:ascii="宋体" w:hAnsi="宋体"/>
          <w:color w:val="auto"/>
          <w:kern w:val="0"/>
          <w:szCs w:val="21"/>
        </w:rPr>
      </w:pPr>
    </w:p>
    <w:p w14:paraId="244173E7">
      <w:pPr>
        <w:rPr>
          <w:rFonts w:hint="eastAsia" w:ascii="宋体" w:hAnsi="宋体"/>
          <w:color w:val="auto"/>
          <w:kern w:val="0"/>
          <w:szCs w:val="21"/>
        </w:rPr>
      </w:pPr>
    </w:p>
    <w:p w14:paraId="3C6B172A">
      <w:pPr>
        <w:rPr>
          <w:rFonts w:hint="eastAsia" w:ascii="宋体" w:hAnsi="宋体"/>
          <w:color w:val="auto"/>
          <w:kern w:val="0"/>
          <w:szCs w:val="21"/>
        </w:rPr>
      </w:pPr>
    </w:p>
    <w:p w14:paraId="31BD3B61">
      <w:pPr>
        <w:rPr>
          <w:rFonts w:hint="eastAsia" w:ascii="宋体" w:hAnsi="宋体"/>
          <w:color w:val="auto"/>
          <w:kern w:val="0"/>
          <w:szCs w:val="21"/>
        </w:rPr>
      </w:pPr>
    </w:p>
    <w:p w14:paraId="11AF19B8">
      <w:pPr>
        <w:rPr>
          <w:rFonts w:hint="eastAsia" w:ascii="宋体" w:hAnsi="宋体"/>
          <w:color w:val="auto"/>
          <w:kern w:val="0"/>
          <w:szCs w:val="21"/>
        </w:rPr>
      </w:pPr>
    </w:p>
    <w:p w14:paraId="4E667C68">
      <w:pPr>
        <w:rPr>
          <w:rFonts w:hint="eastAsia" w:ascii="宋体" w:hAnsi="宋体"/>
          <w:color w:val="auto"/>
          <w:kern w:val="0"/>
          <w:szCs w:val="21"/>
        </w:rPr>
      </w:pPr>
    </w:p>
    <w:p w14:paraId="6B4B6067">
      <w:pPr>
        <w:rPr>
          <w:rFonts w:hint="eastAsia" w:ascii="宋体" w:hAnsi="宋体"/>
          <w:color w:val="auto"/>
          <w:kern w:val="0"/>
          <w:szCs w:val="21"/>
        </w:rPr>
      </w:pPr>
    </w:p>
    <w:p w14:paraId="1C87BA56">
      <w:pPr>
        <w:rPr>
          <w:rFonts w:hint="eastAsia" w:ascii="宋体" w:hAnsi="宋体"/>
          <w:color w:val="auto"/>
          <w:kern w:val="0"/>
          <w:szCs w:val="21"/>
        </w:rPr>
      </w:pPr>
    </w:p>
    <w:p w14:paraId="0CF2E51F">
      <w:pPr>
        <w:rPr>
          <w:rFonts w:hint="eastAsia" w:ascii="宋体" w:hAnsi="宋体"/>
          <w:color w:val="auto"/>
          <w:kern w:val="0"/>
          <w:szCs w:val="21"/>
        </w:rPr>
      </w:pPr>
    </w:p>
    <w:p w14:paraId="656961BC">
      <w:pPr>
        <w:rPr>
          <w:rFonts w:hint="eastAsia" w:ascii="宋体" w:hAnsi="宋体"/>
          <w:color w:val="auto"/>
          <w:kern w:val="0"/>
          <w:szCs w:val="21"/>
        </w:rPr>
      </w:pPr>
    </w:p>
    <w:p w14:paraId="7A0C12CC">
      <w:pPr>
        <w:rPr>
          <w:rFonts w:hint="eastAsia" w:ascii="宋体" w:hAnsi="宋体"/>
          <w:color w:val="auto"/>
          <w:kern w:val="0"/>
          <w:szCs w:val="21"/>
        </w:rPr>
      </w:pPr>
    </w:p>
    <w:p w14:paraId="54553E81">
      <w:pPr>
        <w:rPr>
          <w:rFonts w:hint="eastAsia" w:ascii="宋体" w:hAnsi="宋体"/>
          <w:color w:val="auto"/>
          <w:kern w:val="0"/>
          <w:szCs w:val="21"/>
        </w:rPr>
      </w:pPr>
    </w:p>
    <w:p w14:paraId="49DA59AD">
      <w:pPr>
        <w:rPr>
          <w:rFonts w:hint="eastAsia" w:ascii="宋体" w:hAnsi="宋体"/>
          <w:color w:val="auto"/>
          <w:kern w:val="0"/>
          <w:szCs w:val="21"/>
        </w:rPr>
      </w:pPr>
    </w:p>
    <w:p w14:paraId="76B5523A">
      <w:pPr>
        <w:rPr>
          <w:rFonts w:hint="eastAsia" w:ascii="宋体" w:hAnsi="宋体"/>
          <w:color w:val="auto"/>
          <w:kern w:val="0"/>
          <w:szCs w:val="21"/>
        </w:rPr>
      </w:pPr>
    </w:p>
    <w:p w14:paraId="76F95F40">
      <w:pPr>
        <w:rPr>
          <w:rFonts w:hint="eastAsia" w:ascii="宋体" w:hAnsi="宋体"/>
          <w:color w:val="auto"/>
          <w:kern w:val="0"/>
          <w:szCs w:val="21"/>
        </w:rPr>
      </w:pPr>
    </w:p>
    <w:p w14:paraId="722A82F5">
      <w:pPr>
        <w:tabs>
          <w:tab w:val="left" w:pos="2520"/>
        </w:tabs>
        <w:jc w:val="center"/>
        <w:rPr>
          <w:rFonts w:ascii="宋体" w:hAnsi="宋体" w:cs="宋体"/>
          <w:b/>
          <w:sz w:val="52"/>
          <w:szCs w:val="52"/>
        </w:rPr>
      </w:pPr>
      <w:r>
        <w:rPr>
          <w:rFonts w:hint="eastAsia" w:ascii="宋体" w:hAnsi="宋体" w:cs="宋体"/>
          <w:b/>
          <w:sz w:val="52"/>
          <w:szCs w:val="52"/>
        </w:rPr>
        <w:t>报 名 表</w:t>
      </w:r>
    </w:p>
    <w:p w14:paraId="43764C72">
      <w:pPr>
        <w:spacing w:line="240" w:lineRule="exact"/>
        <w:jc w:val="center"/>
        <w:rPr>
          <w:b/>
          <w:sz w:val="44"/>
          <w:szCs w:val="44"/>
          <w:u w:val="single"/>
        </w:rPr>
      </w:pPr>
    </w:p>
    <w:tbl>
      <w:tblPr>
        <w:tblStyle w:val="13"/>
        <w:tblW w:w="954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16BA7C3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540" w:type="dxa"/>
            <w:vAlign w:val="center"/>
          </w:tcPr>
          <w:p w14:paraId="0BDA5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ascii="仿宋" w:hAnsi="仿宋" w:eastAsia="仿宋" w:cs="仿宋"/>
                <w:sz w:val="28"/>
                <w:szCs w:val="28"/>
              </w:rPr>
            </w:pPr>
            <w:r>
              <w:rPr>
                <w:rFonts w:hint="eastAsia" w:ascii="仿宋" w:hAnsi="仿宋" w:eastAsia="仿宋" w:cs="仿宋"/>
                <w:b w:val="0"/>
                <w:bCs w:val="0"/>
                <w:kern w:val="2"/>
                <w:sz w:val="28"/>
                <w:szCs w:val="28"/>
                <w:lang w:val="en-US" w:eastAsia="zh-CN" w:bidi="ar-SA"/>
              </w:rPr>
              <w:t>项目名称（设备名称）：</w:t>
            </w:r>
          </w:p>
        </w:tc>
      </w:tr>
      <w:tr w14:paraId="5CF28DA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540" w:type="dxa"/>
            <w:vAlign w:val="center"/>
          </w:tcPr>
          <w:p w14:paraId="45D14814">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lang w:val="en-US" w:eastAsia="zh-CN"/>
              </w:rPr>
              <w:t>使用部门</w:t>
            </w:r>
            <w:r>
              <w:rPr>
                <w:rFonts w:hint="eastAsia" w:ascii="仿宋" w:hAnsi="仿宋" w:eastAsia="仿宋" w:cs="仿宋"/>
                <w:sz w:val="28"/>
                <w:szCs w:val="28"/>
              </w:rPr>
              <w:t>：</w:t>
            </w:r>
          </w:p>
        </w:tc>
      </w:tr>
      <w:tr w14:paraId="782E29E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540" w:type="dxa"/>
            <w:vAlign w:val="center"/>
          </w:tcPr>
          <w:p w14:paraId="415EF4ED">
            <w:pPr>
              <w:rPr>
                <w:rFonts w:hint="default" w:ascii="仿宋" w:hAnsi="仿宋" w:eastAsia="仿宋" w:cs="仿宋"/>
                <w:sz w:val="28"/>
                <w:szCs w:val="28"/>
                <w:lang w:val="en-US" w:eastAsia="zh-CN"/>
              </w:rPr>
            </w:pPr>
            <w:r>
              <w:rPr>
                <w:rFonts w:hint="eastAsia" w:ascii="仿宋" w:hAnsi="仿宋" w:eastAsia="仿宋" w:cs="仿宋"/>
                <w:sz w:val="28"/>
                <w:szCs w:val="28"/>
              </w:rPr>
              <w:t>供应商单位名称：</w:t>
            </w:r>
          </w:p>
        </w:tc>
      </w:tr>
      <w:tr w14:paraId="47F64AE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540" w:type="dxa"/>
            <w:vAlign w:val="center"/>
          </w:tcPr>
          <w:p w14:paraId="2A7BEBF4">
            <w:pPr>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身份证号：</w:t>
            </w:r>
          </w:p>
        </w:tc>
      </w:tr>
      <w:tr w14:paraId="0A94EE1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540" w:type="dxa"/>
            <w:vAlign w:val="center"/>
          </w:tcPr>
          <w:p w14:paraId="15C3C056">
            <w:pPr>
              <w:rPr>
                <w:rFonts w:hint="default" w:ascii="仿宋" w:hAnsi="仿宋" w:eastAsia="仿宋" w:cs="仿宋"/>
                <w:sz w:val="28"/>
                <w:szCs w:val="28"/>
                <w:lang w:val="en-US" w:eastAsia="zh-CN"/>
              </w:rPr>
            </w:pPr>
            <w:r>
              <w:rPr>
                <w:rFonts w:hint="eastAsia" w:ascii="仿宋" w:hAnsi="仿宋" w:eastAsia="仿宋" w:cs="仿宋"/>
                <w:sz w:val="28"/>
                <w:szCs w:val="28"/>
              </w:rPr>
              <w:t>办公电话：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手机号码：</w:t>
            </w:r>
          </w:p>
        </w:tc>
      </w:tr>
      <w:tr w14:paraId="744D439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9540" w:type="dxa"/>
            <w:vAlign w:val="center"/>
          </w:tcPr>
          <w:p w14:paraId="4BAF5453">
            <w:pPr>
              <w:rPr>
                <w:rFonts w:hint="default" w:ascii="仿宋" w:hAnsi="仿宋" w:eastAsia="仿宋" w:cs="仿宋"/>
                <w:sz w:val="28"/>
                <w:szCs w:val="28"/>
                <w:lang w:val="en-US" w:eastAsia="zh-CN"/>
              </w:rPr>
            </w:pPr>
            <w:r>
              <w:rPr>
                <w:rFonts w:hint="eastAsia" w:ascii="仿宋" w:hAnsi="仿宋" w:eastAsia="仿宋" w:cs="仿宋"/>
                <w:sz w:val="28"/>
                <w:szCs w:val="28"/>
              </w:rPr>
              <w:t>电子邮箱：</w:t>
            </w:r>
          </w:p>
        </w:tc>
      </w:tr>
      <w:tr w14:paraId="19EF945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9540" w:type="dxa"/>
            <w:vAlign w:val="center"/>
          </w:tcPr>
          <w:p w14:paraId="2037CC2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厂家：</w:t>
            </w:r>
          </w:p>
        </w:tc>
      </w:tr>
      <w:tr w14:paraId="502CC8C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9540" w:type="dxa"/>
            <w:vAlign w:val="center"/>
          </w:tcPr>
          <w:p w14:paraId="45AA9C3D">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规格型号：</w:t>
            </w:r>
          </w:p>
        </w:tc>
      </w:tr>
      <w:tr w14:paraId="45DAE32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540" w:type="dxa"/>
            <w:vAlign w:val="center"/>
          </w:tcPr>
          <w:p w14:paraId="7F8CA48E">
            <w:pPr>
              <w:ind w:left="6440" w:hanging="6440" w:hangingChars="2300"/>
              <w:rPr>
                <w:rFonts w:ascii="仿宋" w:hAnsi="仿宋" w:eastAsia="仿宋" w:cs="仿宋"/>
                <w:sz w:val="28"/>
                <w:szCs w:val="28"/>
              </w:rPr>
            </w:pPr>
            <w:r>
              <w:rPr>
                <w:rFonts w:hint="eastAsia" w:ascii="仿宋" w:hAnsi="仿宋" w:eastAsia="仿宋" w:cs="仿宋"/>
                <w:sz w:val="28"/>
                <w:szCs w:val="28"/>
                <w:lang w:eastAsia="zh-CN"/>
              </w:rPr>
              <w:t>代理人</w:t>
            </w:r>
            <w:r>
              <w:rPr>
                <w:rFonts w:hint="eastAsia" w:ascii="仿宋" w:hAnsi="仿宋" w:eastAsia="仿宋" w:cs="仿宋"/>
                <w:sz w:val="28"/>
                <w:szCs w:val="28"/>
              </w:rPr>
              <w:t xml:space="preserve">签名：                            </w:t>
            </w:r>
          </w:p>
          <w:p w14:paraId="61AA77CB">
            <w:pPr>
              <w:ind w:left="6440" w:hanging="6440" w:hangingChars="2300"/>
              <w:rPr>
                <w:rFonts w:ascii="仿宋" w:hAnsi="仿宋" w:eastAsia="仿宋" w:cs="仿宋"/>
                <w:sz w:val="28"/>
                <w:szCs w:val="28"/>
              </w:rPr>
            </w:pPr>
          </w:p>
          <w:p w14:paraId="04E48CFE">
            <w:pPr>
              <w:ind w:firstLine="6160" w:firstLineChars="2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bl>
    <w:p w14:paraId="618B0123">
      <w:pPr>
        <w:rPr>
          <w:sz w:val="28"/>
          <w:szCs w:val="36"/>
        </w:rPr>
      </w:pPr>
    </w:p>
    <w:p w14:paraId="32BCD0F7">
      <w:pPr>
        <w:rPr>
          <w:rFonts w:hint="eastAsia" w:ascii="宋体" w:hAnsi="宋体"/>
          <w:color w:val="auto"/>
          <w:kern w:val="0"/>
          <w:szCs w:val="21"/>
        </w:rPr>
      </w:pPr>
    </w:p>
    <w:p w14:paraId="3244DE46">
      <w:pPr>
        <w:rPr>
          <w:rFonts w:hint="eastAsia" w:ascii="宋体" w:hAnsi="宋体"/>
          <w:color w:val="auto"/>
          <w:kern w:val="0"/>
          <w:szCs w:val="21"/>
        </w:rPr>
      </w:pPr>
    </w:p>
    <w:p w14:paraId="09F0414D">
      <w:pPr>
        <w:rPr>
          <w:rFonts w:hint="eastAsia" w:ascii="宋体" w:hAnsi="宋体"/>
          <w:color w:val="auto"/>
          <w:kern w:val="0"/>
          <w:szCs w:val="21"/>
        </w:rPr>
      </w:pPr>
    </w:p>
    <w:p w14:paraId="350C1BE3">
      <w:pPr>
        <w:pStyle w:val="7"/>
        <w:rPr>
          <w:rFonts w:hint="eastAsia"/>
        </w:rPr>
      </w:pPr>
    </w:p>
    <w:p w14:paraId="71C3706F">
      <w:pPr>
        <w:ind w:firstLine="1280" w:firstLineChars="400"/>
        <w:jc w:val="center"/>
        <w:rPr>
          <w:rFonts w:hint="eastAsia" w:ascii="宋体" w:hAnsi="宋体"/>
          <w:color w:val="auto"/>
          <w:kern w:val="0"/>
          <w:sz w:val="32"/>
          <w:szCs w:val="32"/>
          <w:lang w:val="en-US" w:eastAsia="zh-CN"/>
        </w:rPr>
      </w:pPr>
      <w:r>
        <w:rPr>
          <w:rFonts w:hint="eastAsia" w:ascii="宋体" w:hAnsi="宋体"/>
          <w:color w:val="auto"/>
          <w:kern w:val="0"/>
          <w:sz w:val="32"/>
          <w:szCs w:val="32"/>
          <w:lang w:val="en-US" w:eastAsia="zh-CN"/>
        </w:rPr>
        <w:t>询价论证文件目录及装订顺序</w:t>
      </w:r>
    </w:p>
    <w:p w14:paraId="67B23EDC">
      <w:pPr>
        <w:rPr>
          <w:rFonts w:hint="eastAsia" w:ascii="宋体" w:hAnsi="宋体"/>
          <w:color w:val="auto"/>
          <w:kern w:val="0"/>
          <w:szCs w:val="21"/>
          <w:lang w:val="en-US" w:eastAsia="zh-CN"/>
        </w:rPr>
      </w:pPr>
      <w:r>
        <w:rPr>
          <w:rFonts w:hint="eastAsia" w:ascii="宋体" w:hAnsi="宋体"/>
          <w:color w:val="auto"/>
          <w:kern w:val="0"/>
          <w:szCs w:val="21"/>
          <w:lang w:val="en-US" w:eastAsia="zh-CN"/>
        </w:rPr>
        <w:t>一、项目论证报价表(附件 1)</w:t>
      </w:r>
    </w:p>
    <w:p w14:paraId="20EAE79C">
      <w:pPr>
        <w:rPr>
          <w:rFonts w:hint="eastAsia" w:ascii="宋体" w:hAnsi="宋体"/>
          <w:color w:val="auto"/>
          <w:kern w:val="0"/>
          <w:szCs w:val="21"/>
          <w:lang w:val="en-US" w:eastAsia="zh-CN"/>
        </w:rPr>
      </w:pPr>
      <w:r>
        <w:rPr>
          <w:rFonts w:hint="eastAsia" w:ascii="宋体" w:hAnsi="宋体"/>
          <w:color w:val="auto"/>
          <w:kern w:val="0"/>
          <w:szCs w:val="21"/>
          <w:lang w:val="en-US" w:eastAsia="zh-CN"/>
        </w:rPr>
        <w:t>二、设备技术偏离表附件 2)</w:t>
      </w:r>
    </w:p>
    <w:p w14:paraId="14C1EA09">
      <w:pPr>
        <w:rPr>
          <w:rFonts w:hint="eastAsia" w:ascii="宋体" w:hAnsi="宋体"/>
          <w:color w:val="auto"/>
          <w:kern w:val="0"/>
          <w:szCs w:val="21"/>
          <w:lang w:val="en-US" w:eastAsia="zh-CN"/>
        </w:rPr>
      </w:pPr>
      <w:r>
        <w:rPr>
          <w:rFonts w:hint="eastAsia" w:ascii="宋体" w:hAnsi="宋体"/>
          <w:color w:val="auto"/>
          <w:kern w:val="0"/>
          <w:szCs w:val="21"/>
          <w:lang w:val="en-US" w:eastAsia="zh-CN"/>
        </w:rPr>
        <w:t>三、设备性能配置清单《附件 3)</w:t>
      </w:r>
    </w:p>
    <w:p w14:paraId="6A84B3B8">
      <w:pPr>
        <w:rPr>
          <w:rFonts w:hint="eastAsia" w:ascii="宋体" w:hAnsi="宋体"/>
          <w:color w:val="auto"/>
          <w:kern w:val="0"/>
          <w:szCs w:val="21"/>
          <w:lang w:val="en-US" w:eastAsia="zh-CN"/>
        </w:rPr>
      </w:pPr>
      <w:r>
        <w:rPr>
          <w:rFonts w:hint="eastAsia" w:ascii="宋体" w:hAnsi="宋体"/>
          <w:color w:val="auto"/>
          <w:kern w:val="0"/>
          <w:szCs w:val="21"/>
          <w:lang w:val="en-US" w:eastAsia="zh-CN"/>
        </w:rPr>
        <w:t>四、提供响应本项目技术及服务要求的实施方案及售后服务承诺函等:</w:t>
      </w:r>
    </w:p>
    <w:p w14:paraId="1D806EA2">
      <w:pPr>
        <w:rPr>
          <w:rFonts w:hint="eastAsia" w:ascii="宋体" w:hAnsi="宋体"/>
          <w:color w:val="auto"/>
          <w:kern w:val="0"/>
          <w:szCs w:val="21"/>
          <w:lang w:val="en-US" w:eastAsia="zh-CN"/>
        </w:rPr>
      </w:pPr>
      <w:r>
        <w:rPr>
          <w:rFonts w:hint="eastAsia" w:ascii="宋体" w:hAnsi="宋体"/>
          <w:color w:val="auto"/>
          <w:kern w:val="0"/>
          <w:szCs w:val="21"/>
          <w:lang w:val="en-US" w:eastAsia="zh-CN"/>
        </w:rPr>
        <w:t>五、详细介绍公司情况及相应产品性能或服务等特点</w:t>
      </w:r>
    </w:p>
    <w:p w14:paraId="5EA78907">
      <w:pPr>
        <w:rPr>
          <w:rFonts w:hint="eastAsia" w:ascii="宋体" w:hAnsi="宋体"/>
          <w:color w:val="auto"/>
          <w:kern w:val="0"/>
          <w:szCs w:val="21"/>
          <w:lang w:val="en-US" w:eastAsia="zh-CN"/>
        </w:rPr>
      </w:pPr>
      <w:r>
        <w:rPr>
          <w:rFonts w:hint="eastAsia" w:ascii="宋体" w:hAnsi="宋体"/>
          <w:color w:val="auto"/>
          <w:kern w:val="0"/>
          <w:szCs w:val="21"/>
          <w:lang w:val="en-US" w:eastAsia="zh-CN"/>
        </w:rPr>
        <w:t>及优势;</w:t>
      </w:r>
    </w:p>
    <w:p w14:paraId="15AFDAB3">
      <w:pPr>
        <w:numPr>
          <w:ilvl w:val="0"/>
          <w:numId w:val="11"/>
        </w:numPr>
        <w:rPr>
          <w:rFonts w:hint="eastAsia" w:ascii="宋体" w:hAnsi="宋体"/>
          <w:color w:val="auto"/>
          <w:kern w:val="0"/>
          <w:szCs w:val="21"/>
          <w:lang w:val="en-US" w:eastAsia="zh-CN"/>
        </w:rPr>
      </w:pPr>
      <w:r>
        <w:rPr>
          <w:rFonts w:hint="eastAsia" w:ascii="宋体" w:hAnsi="宋体"/>
          <w:color w:val="auto"/>
          <w:kern w:val="0"/>
          <w:szCs w:val="21"/>
          <w:lang w:val="en-US" w:eastAsia="zh-CN"/>
        </w:rPr>
        <w:t>提供同型号产品市场销售业绩和用户一览表</w:t>
      </w:r>
    </w:p>
    <w:p w14:paraId="26D14D35">
      <w:pPr>
        <w:numPr>
          <w:ilvl w:val="0"/>
          <w:numId w:val="11"/>
        </w:numPr>
        <w:rPr>
          <w:rFonts w:hint="eastAsia" w:ascii="宋体" w:hAnsi="宋体"/>
          <w:color w:val="auto"/>
          <w:kern w:val="0"/>
          <w:szCs w:val="21"/>
          <w:lang w:val="en-US" w:eastAsia="zh-CN"/>
        </w:rPr>
      </w:pPr>
      <w:r>
        <w:rPr>
          <w:rFonts w:hint="eastAsia" w:ascii="宋体" w:hAnsi="宋体"/>
          <w:color w:val="auto"/>
          <w:kern w:val="0"/>
          <w:szCs w:val="21"/>
          <w:lang w:val="en-US" w:eastAsia="zh-CN"/>
        </w:rPr>
        <w:t>公司的相关资质证书;</w:t>
      </w:r>
    </w:p>
    <w:p w14:paraId="73D6ADCB">
      <w:pPr>
        <w:numPr>
          <w:ilvl w:val="0"/>
          <w:numId w:val="0"/>
        </w:numPr>
        <w:rPr>
          <w:rFonts w:hint="eastAsia" w:ascii="宋体" w:hAnsi="宋体"/>
          <w:color w:val="auto"/>
          <w:kern w:val="0"/>
          <w:szCs w:val="21"/>
          <w:lang w:val="en-US" w:eastAsia="zh-CN"/>
        </w:rPr>
      </w:pPr>
      <w:r>
        <w:rPr>
          <w:rFonts w:hint="eastAsia" w:ascii="宋体" w:hAnsi="宋体"/>
          <w:color w:val="auto"/>
          <w:kern w:val="0"/>
          <w:szCs w:val="21"/>
          <w:lang w:val="en-US" w:eastAsia="zh-CN"/>
        </w:rPr>
        <w:t>八、业绩证明材料(近 3 年区内三甲医院或其他大型单位采购合同或中标通知书复印件)</w:t>
      </w:r>
    </w:p>
    <w:p w14:paraId="5C3A5C80">
      <w:pPr>
        <w:rPr>
          <w:rFonts w:hint="eastAsia" w:ascii="宋体" w:hAnsi="宋体"/>
          <w:color w:val="auto"/>
          <w:kern w:val="0"/>
          <w:szCs w:val="21"/>
          <w:lang w:val="en-US" w:eastAsia="zh-CN"/>
        </w:rPr>
      </w:pPr>
      <w:r>
        <w:rPr>
          <w:rFonts w:hint="eastAsia" w:ascii="宋体" w:hAnsi="宋体"/>
          <w:color w:val="auto"/>
          <w:kern w:val="0"/>
          <w:szCs w:val="21"/>
          <w:lang w:val="en-US" w:eastAsia="zh-CN"/>
        </w:rPr>
        <w:t>九、经销商《营业执照》和《税务登记证》、《组织机构代码证》或(三合一) 的复印件(加盖公章) ;</w:t>
      </w:r>
    </w:p>
    <w:p w14:paraId="0F544043">
      <w:pPr>
        <w:rPr>
          <w:rFonts w:hint="eastAsia" w:ascii="宋体" w:hAnsi="宋体"/>
          <w:color w:val="auto"/>
          <w:kern w:val="0"/>
          <w:szCs w:val="21"/>
          <w:lang w:val="en-US" w:eastAsia="zh-CN"/>
        </w:rPr>
      </w:pPr>
      <w:r>
        <w:rPr>
          <w:rFonts w:hint="eastAsia" w:ascii="宋体" w:hAnsi="宋体"/>
          <w:color w:val="auto"/>
          <w:kern w:val="0"/>
          <w:szCs w:val="21"/>
          <w:lang w:val="en-US" w:eastAsia="zh-CN"/>
        </w:rPr>
        <w:t>十、法定代表人证明书及法定代表人授权委托书:</w:t>
      </w:r>
    </w:p>
    <w:p w14:paraId="710E59FD">
      <w:pPr>
        <w:rPr>
          <w:rFonts w:hint="eastAsia" w:ascii="宋体" w:hAnsi="宋体"/>
          <w:color w:val="FF0000"/>
          <w:kern w:val="0"/>
          <w:szCs w:val="21"/>
          <w:lang w:val="en-US" w:eastAsia="zh-CN"/>
        </w:rPr>
      </w:pPr>
      <w:r>
        <w:rPr>
          <w:rFonts w:hint="eastAsia" w:ascii="宋体" w:hAnsi="宋体"/>
          <w:color w:val="FF0000"/>
          <w:kern w:val="0"/>
          <w:szCs w:val="21"/>
          <w:lang w:val="en-US" w:eastAsia="zh-CN"/>
        </w:rPr>
        <w:t>十一、</w:t>
      </w:r>
      <w:r>
        <w:rPr>
          <w:rFonts w:hint="eastAsia" w:ascii="宋体" w:hAnsi="宋体" w:eastAsia="宋体" w:cs="宋体"/>
          <w:b/>
          <w:bCs/>
          <w:i w:val="0"/>
          <w:caps w:val="0"/>
          <w:color w:val="FF0000"/>
          <w:spacing w:val="0"/>
          <w:sz w:val="30"/>
          <w:szCs w:val="30"/>
          <w:shd w:val="clear" w:color="auto" w:fill="FFFFFF"/>
          <w:lang w:val="en-US" w:eastAsia="zh-CN"/>
        </w:rPr>
        <w:t>▲</w:t>
      </w:r>
      <w:r>
        <w:rPr>
          <w:rFonts w:hint="eastAsia" w:ascii="宋体" w:hAnsi="宋体"/>
          <w:color w:val="FF0000"/>
          <w:kern w:val="0"/>
          <w:szCs w:val="21"/>
          <w:lang w:val="en-US" w:eastAsia="zh-CN"/>
        </w:rPr>
        <w:t>产品彩页、说明书、厂家设备技术参数(厂家盖章 )</w:t>
      </w:r>
    </w:p>
    <w:p w14:paraId="0A718A64">
      <w:pPr>
        <w:rPr>
          <w:rFonts w:hint="eastAsia" w:ascii="宋体" w:hAnsi="宋体"/>
          <w:color w:val="auto"/>
          <w:kern w:val="0"/>
          <w:szCs w:val="21"/>
          <w:lang w:val="en-US" w:eastAsia="zh-CN"/>
        </w:rPr>
      </w:pPr>
      <w:r>
        <w:rPr>
          <w:rFonts w:hint="eastAsia" w:ascii="宋体" w:hAnsi="宋体"/>
          <w:color w:val="auto"/>
          <w:kern w:val="0"/>
          <w:szCs w:val="21"/>
          <w:lang w:val="en-US" w:eastAsia="zh-CN"/>
        </w:rPr>
        <w:t>注: 以上目录是编制供应商响应文件的基本格式要求</w:t>
      </w:r>
    </w:p>
    <w:p w14:paraId="1430DF28">
      <w:pPr>
        <w:rPr>
          <w:rFonts w:hint="eastAsia" w:ascii="宋体" w:hAnsi="宋体"/>
          <w:color w:val="auto"/>
          <w:kern w:val="0"/>
          <w:szCs w:val="21"/>
          <w:lang w:val="en-US" w:eastAsia="zh-CN"/>
        </w:rPr>
      </w:pPr>
      <w:r>
        <w:rPr>
          <w:rFonts w:hint="eastAsia" w:ascii="宋体" w:hAnsi="宋体"/>
          <w:color w:val="auto"/>
          <w:kern w:val="0"/>
          <w:szCs w:val="21"/>
          <w:lang w:val="en-US" w:eastAsia="zh-CN"/>
        </w:rPr>
        <w:t>各供应商可根据自身情况进一步细化。</w:t>
      </w:r>
    </w:p>
    <w:p w14:paraId="6A9064C0">
      <w:pPr>
        <w:snapToGrid w:val="0"/>
        <w:spacing w:before="50" w:line="360" w:lineRule="auto"/>
        <w:jc w:val="left"/>
        <w:rPr>
          <w:rFonts w:hint="default" w:ascii="宋体" w:hAnsi="宋体"/>
          <w:color w:val="FF0000"/>
          <w:kern w:val="0"/>
          <w:szCs w:val="21"/>
          <w:lang w:val="en-US" w:eastAsia="zh-CN"/>
        </w:rPr>
      </w:pPr>
      <w:r>
        <w:rPr>
          <w:rFonts w:hint="eastAsia" w:ascii="宋体" w:hAnsi="宋体" w:eastAsia="宋体" w:cs="宋体"/>
          <w:b/>
          <w:bCs/>
          <w:i w:val="0"/>
          <w:caps w:val="0"/>
          <w:color w:val="FF0000"/>
          <w:spacing w:val="0"/>
          <w:sz w:val="30"/>
          <w:szCs w:val="30"/>
          <w:shd w:val="clear" w:color="auto" w:fill="FFFFFF"/>
          <w:lang w:val="en-US" w:eastAsia="zh-CN"/>
        </w:rPr>
        <w:t>▲</w:t>
      </w:r>
      <w:r>
        <w:rPr>
          <w:rFonts w:hint="eastAsia" w:ascii="宋体" w:hAnsi="宋体"/>
          <w:color w:val="FF0000"/>
          <w:kern w:val="0"/>
          <w:szCs w:val="21"/>
          <w:lang w:val="en-US" w:eastAsia="zh-CN"/>
        </w:rPr>
        <w:t>注意:设备技术偏离表(附件 2) 必须如实填写产品偏离情况，不可直接复制本项目要求,如直接复制且未提供产品彩页说明书或厂家设备技术参数进行证明，按照不符合项目需求处理。标星项需提供支撑材料所处位置（详见第几页）。</w:t>
      </w:r>
    </w:p>
    <w:p w14:paraId="4C640785">
      <w:pPr>
        <w:snapToGrid w:val="0"/>
        <w:spacing w:before="50" w:line="360" w:lineRule="auto"/>
        <w:jc w:val="left"/>
        <w:rPr>
          <w:rFonts w:hint="eastAsia" w:ascii="仿宋_GB2312" w:hAnsi="宋体" w:eastAsia="仿宋_GB2312"/>
          <w:b/>
          <w:color w:val="auto"/>
          <w:sz w:val="28"/>
          <w:szCs w:val="28"/>
          <w:lang w:eastAsia="zh-CN"/>
        </w:rPr>
      </w:pPr>
    </w:p>
    <w:p w14:paraId="1F823482">
      <w:pPr>
        <w:snapToGrid w:val="0"/>
        <w:spacing w:before="50" w:line="360" w:lineRule="auto"/>
        <w:jc w:val="left"/>
        <w:rPr>
          <w:rFonts w:hint="eastAsia" w:ascii="仿宋_GB2312" w:hAnsi="宋体" w:eastAsia="仿宋_GB2312"/>
          <w:b/>
          <w:color w:val="auto"/>
          <w:sz w:val="28"/>
          <w:szCs w:val="28"/>
          <w:lang w:eastAsia="zh-CN"/>
        </w:rPr>
      </w:pPr>
    </w:p>
    <w:p w14:paraId="31789BAD">
      <w:pPr>
        <w:snapToGrid w:val="0"/>
        <w:spacing w:before="50" w:line="360" w:lineRule="auto"/>
        <w:jc w:val="left"/>
        <w:rPr>
          <w:rFonts w:hint="eastAsia" w:ascii="仿宋_GB2312" w:hAnsi="宋体" w:eastAsia="仿宋_GB2312"/>
          <w:b/>
          <w:color w:val="auto"/>
          <w:sz w:val="28"/>
          <w:szCs w:val="28"/>
          <w:lang w:eastAsia="zh-CN"/>
        </w:rPr>
      </w:pPr>
    </w:p>
    <w:p w14:paraId="06F04D41">
      <w:pPr>
        <w:snapToGrid w:val="0"/>
        <w:spacing w:before="50" w:line="360" w:lineRule="auto"/>
        <w:jc w:val="left"/>
        <w:rPr>
          <w:rFonts w:hint="eastAsia" w:ascii="仿宋_GB2312" w:hAnsi="宋体" w:eastAsia="仿宋_GB2312"/>
          <w:b/>
          <w:bCs w:val="0"/>
          <w:color w:val="auto"/>
          <w:sz w:val="28"/>
          <w:szCs w:val="28"/>
        </w:rPr>
      </w:pPr>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1：</w:t>
      </w:r>
      <w:r>
        <w:rPr>
          <w:rFonts w:hint="eastAsia" w:ascii="仿宋_GB2312" w:hAnsi="宋体" w:eastAsia="仿宋_GB2312"/>
          <w:b/>
          <w:color w:val="auto"/>
          <w:sz w:val="28"/>
          <w:szCs w:val="28"/>
          <w:lang w:eastAsia="zh-CN"/>
        </w:rPr>
        <w:t>论证价格估算表</w:t>
      </w:r>
    </w:p>
    <w:p w14:paraId="4B28C200">
      <w:pPr>
        <w:jc w:val="both"/>
        <w:rPr>
          <w:rFonts w:hint="eastAsia" w:ascii="仿宋_GB2312" w:hAnsi="宋体" w:eastAsia="仿宋_GB2312"/>
          <w:b/>
          <w:color w:val="auto"/>
          <w:sz w:val="21"/>
          <w:szCs w:val="21"/>
        </w:rPr>
      </w:pPr>
    </w:p>
    <w:tbl>
      <w:tblPr>
        <w:tblStyle w:val="14"/>
        <w:tblpPr w:leftFromText="180" w:rightFromText="180" w:vertAnchor="text" w:horzAnchor="page" w:tblpX="1225" w:tblpY="355"/>
        <w:tblOverlap w:val="never"/>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946"/>
        <w:gridCol w:w="1194"/>
        <w:gridCol w:w="1194"/>
        <w:gridCol w:w="1194"/>
        <w:gridCol w:w="764"/>
        <w:gridCol w:w="914"/>
        <w:gridCol w:w="1281"/>
        <w:gridCol w:w="720"/>
        <w:gridCol w:w="720"/>
        <w:gridCol w:w="720"/>
      </w:tblGrid>
      <w:tr w14:paraId="059C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7" w:type="dxa"/>
            <w:noWrap w:val="0"/>
            <w:vAlign w:val="top"/>
          </w:tcPr>
          <w:p w14:paraId="3CADD0F3">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项目名称</w:t>
            </w:r>
          </w:p>
        </w:tc>
        <w:tc>
          <w:tcPr>
            <w:tcW w:w="946" w:type="dxa"/>
            <w:noWrap w:val="0"/>
            <w:vAlign w:val="top"/>
          </w:tcPr>
          <w:p w14:paraId="6A7609D5">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生产厂家（品牌）</w:t>
            </w:r>
          </w:p>
        </w:tc>
        <w:tc>
          <w:tcPr>
            <w:tcW w:w="1194" w:type="dxa"/>
            <w:noWrap w:val="0"/>
            <w:vAlign w:val="top"/>
          </w:tcPr>
          <w:p w14:paraId="711A5213">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进口/国产</w:t>
            </w:r>
          </w:p>
        </w:tc>
        <w:tc>
          <w:tcPr>
            <w:tcW w:w="1194" w:type="dxa"/>
            <w:noWrap w:val="0"/>
            <w:vAlign w:val="top"/>
          </w:tcPr>
          <w:p w14:paraId="230F01AE">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规格型号</w:t>
            </w:r>
          </w:p>
        </w:tc>
        <w:tc>
          <w:tcPr>
            <w:tcW w:w="1194" w:type="dxa"/>
            <w:noWrap w:val="0"/>
            <w:vAlign w:val="top"/>
          </w:tcPr>
          <w:p w14:paraId="6D9AE5E2">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参会单位</w:t>
            </w:r>
          </w:p>
        </w:tc>
        <w:tc>
          <w:tcPr>
            <w:tcW w:w="764" w:type="dxa"/>
            <w:noWrap w:val="0"/>
            <w:vAlign w:val="top"/>
          </w:tcPr>
          <w:p w14:paraId="53193ACD">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数量</w:t>
            </w:r>
          </w:p>
        </w:tc>
        <w:tc>
          <w:tcPr>
            <w:tcW w:w="914" w:type="dxa"/>
            <w:noWrap w:val="0"/>
            <w:vAlign w:val="top"/>
          </w:tcPr>
          <w:p w14:paraId="6C4206DD">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估算价（单价）</w:t>
            </w:r>
          </w:p>
          <w:p w14:paraId="08743E38">
            <w:pPr>
              <w:widowControl/>
              <w:jc w:val="left"/>
              <w:rPr>
                <w:rFonts w:hint="default" w:ascii="仿宋_GB2312" w:hAnsi="仿宋_GB2312" w:cs="仿宋_GB2312"/>
                <w:bCs/>
                <w:color w:val="auto"/>
                <w:kern w:val="0"/>
                <w:szCs w:val="28"/>
                <w:highlight w:val="none"/>
                <w:vertAlign w:val="baseline"/>
                <w:lang w:val="en-US" w:eastAsia="zh-CN"/>
              </w:rPr>
            </w:pPr>
          </w:p>
        </w:tc>
        <w:tc>
          <w:tcPr>
            <w:tcW w:w="1281" w:type="dxa"/>
            <w:noWrap w:val="0"/>
            <w:vAlign w:val="top"/>
          </w:tcPr>
          <w:p w14:paraId="26FBC334">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估算价（总金额）</w:t>
            </w:r>
          </w:p>
          <w:p w14:paraId="352D2743">
            <w:pPr>
              <w:widowControl/>
              <w:jc w:val="left"/>
              <w:rPr>
                <w:rFonts w:hint="default" w:ascii="仿宋_GB2312" w:hAnsi="仿宋_GB2312" w:cs="仿宋_GB2312"/>
                <w:bCs/>
                <w:color w:val="auto"/>
                <w:kern w:val="0"/>
                <w:szCs w:val="28"/>
                <w:highlight w:val="none"/>
                <w:vertAlign w:val="baseline"/>
                <w:lang w:val="en-US" w:eastAsia="zh-CN"/>
              </w:rPr>
            </w:pPr>
          </w:p>
        </w:tc>
        <w:tc>
          <w:tcPr>
            <w:tcW w:w="720" w:type="dxa"/>
            <w:noWrap w:val="0"/>
            <w:vAlign w:val="top"/>
          </w:tcPr>
          <w:p w14:paraId="20EA282B">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备注（质保期）</w:t>
            </w:r>
          </w:p>
        </w:tc>
        <w:tc>
          <w:tcPr>
            <w:tcW w:w="720" w:type="dxa"/>
            <w:noWrap w:val="0"/>
            <w:vAlign w:val="top"/>
          </w:tcPr>
          <w:p w14:paraId="3AA4F552">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联系人</w:t>
            </w:r>
          </w:p>
        </w:tc>
        <w:tc>
          <w:tcPr>
            <w:tcW w:w="720" w:type="dxa"/>
            <w:noWrap w:val="0"/>
            <w:vAlign w:val="top"/>
          </w:tcPr>
          <w:p w14:paraId="3CE94485">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联系方式</w:t>
            </w:r>
          </w:p>
        </w:tc>
      </w:tr>
      <w:tr w14:paraId="2EA2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dxa"/>
            <w:noWrap w:val="0"/>
            <w:vAlign w:val="top"/>
          </w:tcPr>
          <w:p w14:paraId="39FC42DF">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14:paraId="29F89956">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403BFCC1">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7078A600">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06A05611">
            <w:pPr>
              <w:widowControl/>
              <w:jc w:val="left"/>
              <w:rPr>
                <w:rFonts w:hint="eastAsia" w:ascii="仿宋_GB2312" w:hAnsi="仿宋_GB2312" w:cs="仿宋_GB2312"/>
                <w:bCs/>
                <w:color w:val="auto"/>
                <w:kern w:val="0"/>
                <w:szCs w:val="28"/>
                <w:highlight w:val="none"/>
                <w:vertAlign w:val="baseline"/>
                <w:lang w:eastAsia="zh-CN"/>
              </w:rPr>
            </w:pPr>
          </w:p>
        </w:tc>
        <w:tc>
          <w:tcPr>
            <w:tcW w:w="764" w:type="dxa"/>
            <w:noWrap w:val="0"/>
            <w:vAlign w:val="top"/>
          </w:tcPr>
          <w:p w14:paraId="56CA9131">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14:paraId="0987C284">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14:paraId="20262563">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454E7A37">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758D0846">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6E0DDF4F">
            <w:pPr>
              <w:widowControl/>
              <w:jc w:val="left"/>
              <w:rPr>
                <w:rFonts w:hint="eastAsia" w:ascii="仿宋_GB2312" w:hAnsi="仿宋_GB2312" w:cs="仿宋_GB2312"/>
                <w:bCs/>
                <w:color w:val="auto"/>
                <w:kern w:val="0"/>
                <w:szCs w:val="28"/>
                <w:highlight w:val="none"/>
                <w:vertAlign w:val="baseline"/>
                <w:lang w:eastAsia="zh-CN"/>
              </w:rPr>
            </w:pPr>
          </w:p>
        </w:tc>
      </w:tr>
      <w:tr w14:paraId="4663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dxa"/>
            <w:noWrap w:val="0"/>
            <w:vAlign w:val="top"/>
          </w:tcPr>
          <w:p w14:paraId="4CDB68E9">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14:paraId="442872C3">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7FB31361">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64E2C443">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27AAD8CC">
            <w:pPr>
              <w:widowControl/>
              <w:jc w:val="left"/>
              <w:rPr>
                <w:rFonts w:hint="eastAsia" w:ascii="仿宋_GB2312" w:hAnsi="仿宋_GB2312" w:cs="仿宋_GB2312"/>
                <w:bCs/>
                <w:color w:val="auto"/>
                <w:kern w:val="0"/>
                <w:szCs w:val="28"/>
                <w:highlight w:val="none"/>
                <w:vertAlign w:val="baseline"/>
                <w:lang w:eastAsia="zh-CN"/>
              </w:rPr>
            </w:pPr>
          </w:p>
        </w:tc>
        <w:tc>
          <w:tcPr>
            <w:tcW w:w="764" w:type="dxa"/>
            <w:noWrap w:val="0"/>
            <w:vAlign w:val="top"/>
          </w:tcPr>
          <w:p w14:paraId="0A1FA68E">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14:paraId="35C9EA90">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14:paraId="5F526E93">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062CA851">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7CFE5C92">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44C69819">
            <w:pPr>
              <w:widowControl/>
              <w:jc w:val="left"/>
              <w:rPr>
                <w:rFonts w:hint="eastAsia" w:ascii="仿宋_GB2312" w:hAnsi="仿宋_GB2312" w:cs="仿宋_GB2312"/>
                <w:bCs/>
                <w:color w:val="auto"/>
                <w:kern w:val="0"/>
                <w:szCs w:val="28"/>
                <w:highlight w:val="none"/>
                <w:vertAlign w:val="baseline"/>
                <w:lang w:eastAsia="zh-CN"/>
              </w:rPr>
            </w:pPr>
          </w:p>
        </w:tc>
      </w:tr>
      <w:tr w14:paraId="3F82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dxa"/>
            <w:noWrap w:val="0"/>
            <w:vAlign w:val="top"/>
          </w:tcPr>
          <w:p w14:paraId="571DE503">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14:paraId="574755F8">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6D2F5079">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4B4F436B">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777E394E">
            <w:pPr>
              <w:widowControl/>
              <w:jc w:val="left"/>
              <w:rPr>
                <w:rFonts w:hint="eastAsia" w:ascii="仿宋_GB2312" w:hAnsi="仿宋_GB2312" w:cs="仿宋_GB2312"/>
                <w:bCs/>
                <w:color w:val="auto"/>
                <w:kern w:val="0"/>
                <w:szCs w:val="28"/>
                <w:highlight w:val="none"/>
                <w:vertAlign w:val="baseline"/>
                <w:lang w:eastAsia="zh-CN"/>
              </w:rPr>
            </w:pPr>
          </w:p>
        </w:tc>
        <w:tc>
          <w:tcPr>
            <w:tcW w:w="764" w:type="dxa"/>
            <w:noWrap w:val="0"/>
            <w:vAlign w:val="top"/>
          </w:tcPr>
          <w:p w14:paraId="5072AA4F">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14:paraId="1BE6E1CD">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14:paraId="1B1AAD39">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7930D9F8">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270C1C65">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1D362600">
            <w:pPr>
              <w:widowControl/>
              <w:jc w:val="left"/>
              <w:rPr>
                <w:rFonts w:hint="eastAsia" w:ascii="仿宋_GB2312" w:hAnsi="仿宋_GB2312" w:cs="仿宋_GB2312"/>
                <w:bCs/>
                <w:color w:val="auto"/>
                <w:kern w:val="0"/>
                <w:szCs w:val="28"/>
                <w:highlight w:val="none"/>
                <w:vertAlign w:val="baseline"/>
                <w:lang w:eastAsia="zh-CN"/>
              </w:rPr>
            </w:pPr>
          </w:p>
        </w:tc>
      </w:tr>
      <w:tr w14:paraId="41C0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975" w:type="dxa"/>
            <w:gridSpan w:val="5"/>
            <w:noWrap w:val="0"/>
            <w:vAlign w:val="top"/>
          </w:tcPr>
          <w:p w14:paraId="0B2D6206">
            <w:pPr>
              <w:widowControl/>
              <w:ind w:firstLine="840" w:firstLineChars="400"/>
              <w:jc w:val="left"/>
              <w:rPr>
                <w:rFonts w:hint="eastAsia" w:ascii="仿宋_GB2312" w:hAnsi="仿宋_GB2312" w:cs="仿宋_GB2312"/>
                <w:bCs/>
                <w:color w:val="auto"/>
                <w:kern w:val="0"/>
                <w:szCs w:val="28"/>
                <w:highlight w:val="none"/>
                <w:vertAlign w:val="baseline"/>
                <w:lang w:eastAsia="zh-CN"/>
              </w:rPr>
            </w:pPr>
            <w:r>
              <w:rPr>
                <w:rFonts w:hint="eastAsia" w:ascii="仿宋_GB2312" w:hAnsi="仿宋_GB2312" w:cs="仿宋_GB2312"/>
                <w:bCs/>
                <w:color w:val="auto"/>
                <w:kern w:val="0"/>
                <w:szCs w:val="28"/>
                <w:highlight w:val="none"/>
                <w:vertAlign w:val="baseline"/>
                <w:lang w:eastAsia="zh-CN"/>
              </w:rPr>
              <w:t>合计</w:t>
            </w:r>
          </w:p>
        </w:tc>
        <w:tc>
          <w:tcPr>
            <w:tcW w:w="764" w:type="dxa"/>
            <w:noWrap w:val="0"/>
            <w:vAlign w:val="top"/>
          </w:tcPr>
          <w:p w14:paraId="73D39E77">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14:paraId="0FA3601C">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14:paraId="127C0A3F">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6F1A7FE9">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12A2DE5E">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5425E556">
            <w:pPr>
              <w:widowControl/>
              <w:jc w:val="left"/>
              <w:rPr>
                <w:rFonts w:hint="eastAsia" w:ascii="仿宋_GB2312" w:hAnsi="仿宋_GB2312" w:cs="仿宋_GB2312"/>
                <w:bCs/>
                <w:color w:val="auto"/>
                <w:kern w:val="0"/>
                <w:szCs w:val="28"/>
                <w:highlight w:val="none"/>
                <w:vertAlign w:val="baseline"/>
                <w:lang w:eastAsia="zh-CN"/>
              </w:rPr>
            </w:pPr>
          </w:p>
        </w:tc>
      </w:tr>
    </w:tbl>
    <w:p w14:paraId="2D65711C">
      <w:pPr>
        <w:snapToGrid w:val="0"/>
        <w:spacing w:before="50"/>
        <w:jc w:val="both"/>
        <w:rPr>
          <w:rFonts w:hint="eastAsia" w:ascii="仿宋_GB2312" w:hAnsi="宋体" w:eastAsia="仿宋_GB2312"/>
          <w:color w:val="auto"/>
          <w:sz w:val="28"/>
          <w:szCs w:val="28"/>
        </w:rPr>
      </w:pPr>
    </w:p>
    <w:p w14:paraId="6C71FA30">
      <w:pPr>
        <w:jc w:val="both"/>
        <w:rPr>
          <w:rFonts w:hint="eastAsia" w:ascii="宋体" w:hAnsi="宋体" w:eastAsia="宋体" w:cs="宋体"/>
          <w:color w:val="auto"/>
          <w:sz w:val="21"/>
          <w:szCs w:val="21"/>
          <w:lang w:val="en-US" w:eastAsia="zh-CN"/>
        </w:rPr>
      </w:pPr>
    </w:p>
    <w:p w14:paraId="1171150D">
      <w:pPr>
        <w:jc w:val="both"/>
        <w:rPr>
          <w:rFonts w:hint="eastAsia" w:ascii="宋体" w:hAnsi="宋体" w:eastAsia="宋体" w:cs="宋体"/>
          <w:color w:val="auto"/>
          <w:sz w:val="21"/>
          <w:szCs w:val="21"/>
          <w:lang w:val="en-US" w:eastAsia="zh-CN"/>
        </w:rPr>
      </w:pPr>
    </w:p>
    <w:p w14:paraId="2A58A059">
      <w:pPr>
        <w:spacing w:line="360" w:lineRule="auto"/>
        <w:ind w:firstLine="3780" w:firstLineChars="1800"/>
        <w:rPr>
          <w:rFonts w:hint="eastAsia" w:ascii="宋体" w:hAnsi="宋体" w:eastAsia="宋体" w:cs="宋体"/>
          <w:color w:val="auto"/>
          <w:sz w:val="21"/>
          <w:szCs w:val="21"/>
          <w:lang w:val="en-US" w:eastAsia="zh-CN"/>
        </w:rPr>
      </w:pPr>
      <w:r>
        <w:rPr>
          <w:rFonts w:hint="eastAsia" w:ascii="仿宋_GB2312" w:hAnsi="宋体" w:eastAsia="仿宋_GB2312"/>
          <w:color w:val="auto"/>
          <w:sz w:val="21"/>
          <w:szCs w:val="21"/>
          <w:lang w:eastAsia="zh-CN"/>
        </w:rPr>
        <w:t>参会单位</w:t>
      </w:r>
      <w:r>
        <w:rPr>
          <w:rFonts w:hint="eastAsia" w:ascii="仿宋_GB2312" w:hAnsi="宋体" w:eastAsia="仿宋_GB2312"/>
          <w:color w:val="auto"/>
          <w:sz w:val="21"/>
          <w:szCs w:val="21"/>
        </w:rPr>
        <w:t>：</w:t>
      </w:r>
    </w:p>
    <w:p w14:paraId="587971D8">
      <w:pPr>
        <w:spacing w:line="360" w:lineRule="auto"/>
        <w:ind w:firstLine="3780" w:firstLineChars="1800"/>
        <w:rPr>
          <w:rFonts w:hint="eastAsia" w:ascii="仿宋_GB2312" w:hAnsi="宋体" w:eastAsia="仿宋_GB2312"/>
          <w:color w:val="auto"/>
          <w:sz w:val="21"/>
          <w:szCs w:val="21"/>
        </w:rPr>
      </w:pPr>
      <w:r>
        <w:rPr>
          <w:rFonts w:hint="eastAsia" w:ascii="仿宋_GB2312" w:hAnsi="宋体" w:eastAsia="仿宋_GB2312"/>
          <w:color w:val="auto"/>
          <w:sz w:val="21"/>
          <w:szCs w:val="21"/>
        </w:rPr>
        <w:t>法定代表人或授权代表（签字或盖章）：</w:t>
      </w:r>
    </w:p>
    <w:p w14:paraId="5016D6D4">
      <w:pPr>
        <w:spacing w:line="360" w:lineRule="auto"/>
        <w:ind w:firstLine="3780" w:firstLineChars="1800"/>
        <w:rPr>
          <w:rFonts w:hint="eastAsia" w:ascii="仿宋_GB2312" w:hAnsi="宋体" w:eastAsia="仿宋_GB2312"/>
          <w:color w:val="auto"/>
          <w:sz w:val="21"/>
          <w:szCs w:val="21"/>
        </w:rPr>
      </w:pPr>
      <w:r>
        <w:rPr>
          <w:rFonts w:hint="eastAsia" w:ascii="仿宋_GB2312" w:hAnsi="宋体" w:eastAsia="仿宋_GB2312"/>
          <w:color w:val="auto"/>
          <w:sz w:val="21"/>
          <w:szCs w:val="21"/>
        </w:rPr>
        <w:t>日期：年月日</w:t>
      </w:r>
    </w:p>
    <w:p w14:paraId="3DDAC3AD">
      <w:pPr>
        <w:snapToGrid w:val="0"/>
        <w:spacing w:before="120" w:beforeLines="50" w:after="50"/>
        <w:jc w:val="left"/>
        <w:rPr>
          <w:rFonts w:hint="eastAsia" w:ascii="仿宋_GB2312" w:hAnsi="宋体" w:eastAsia="仿宋_GB2312"/>
          <w:b/>
          <w:color w:val="auto"/>
          <w:sz w:val="28"/>
          <w:szCs w:val="28"/>
          <w:lang w:eastAsia="zh-CN"/>
        </w:rPr>
      </w:pPr>
    </w:p>
    <w:p w14:paraId="6B7566C0">
      <w:pPr>
        <w:snapToGrid w:val="0"/>
        <w:spacing w:before="120" w:beforeLines="50" w:after="50"/>
        <w:jc w:val="left"/>
        <w:rPr>
          <w:rFonts w:hint="eastAsia" w:ascii="仿宋_GB2312" w:hAnsi="宋体" w:eastAsia="仿宋_GB2312"/>
          <w:b/>
          <w:color w:val="auto"/>
          <w:sz w:val="28"/>
          <w:szCs w:val="28"/>
          <w:lang w:eastAsia="zh-CN"/>
        </w:rPr>
      </w:pPr>
    </w:p>
    <w:p w14:paraId="140245BB">
      <w:pPr>
        <w:snapToGrid w:val="0"/>
        <w:spacing w:before="120" w:beforeLines="50" w:after="50"/>
        <w:jc w:val="left"/>
        <w:rPr>
          <w:rFonts w:hint="eastAsia" w:ascii="宋体" w:hAnsi="宋体" w:eastAsia="宋体" w:cs="宋体"/>
          <w:b/>
          <w:color w:val="auto"/>
          <w:sz w:val="24"/>
          <w:highlight w:val="none"/>
        </w:rPr>
      </w:pPr>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2：</w:t>
      </w:r>
    </w:p>
    <w:p w14:paraId="247142C1">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设备</w:t>
      </w:r>
      <w:r>
        <w:rPr>
          <w:rFonts w:hint="eastAsia" w:ascii="宋体" w:hAnsi="宋体" w:eastAsia="宋体" w:cs="宋体"/>
          <w:b/>
          <w:color w:val="auto"/>
          <w:sz w:val="32"/>
          <w:szCs w:val="32"/>
          <w:highlight w:val="none"/>
        </w:rPr>
        <w:t>技术偏离表</w:t>
      </w:r>
    </w:p>
    <w:p w14:paraId="19EA6AB7">
      <w:pPr>
        <w:pStyle w:val="1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eastAsia="zh-CN"/>
        </w:rPr>
        <w:t>报</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p>
    <w:tbl>
      <w:tblPr>
        <w:tblStyle w:val="1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3EA3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4B2C092A">
            <w:pPr>
              <w:pStyle w:val="10"/>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项号</w:t>
            </w:r>
          </w:p>
        </w:tc>
        <w:tc>
          <w:tcPr>
            <w:tcW w:w="2143" w:type="dxa"/>
            <w:noWrap w:val="0"/>
            <w:vAlign w:val="center"/>
          </w:tcPr>
          <w:p w14:paraId="1E6AAE9B">
            <w:pPr>
              <w:pStyle w:val="10"/>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标的的名称</w:t>
            </w:r>
          </w:p>
        </w:tc>
        <w:tc>
          <w:tcPr>
            <w:tcW w:w="1834" w:type="dxa"/>
            <w:noWrap w:val="0"/>
            <w:vAlign w:val="center"/>
          </w:tcPr>
          <w:p w14:paraId="66F5D104">
            <w:pPr>
              <w:pStyle w:val="10"/>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技术要求</w:t>
            </w:r>
          </w:p>
        </w:tc>
        <w:tc>
          <w:tcPr>
            <w:tcW w:w="2181" w:type="dxa"/>
            <w:noWrap w:val="0"/>
            <w:vAlign w:val="center"/>
          </w:tcPr>
          <w:p w14:paraId="473266FD">
            <w:pPr>
              <w:pStyle w:val="10"/>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是否</w:t>
            </w:r>
            <w:r>
              <w:rPr>
                <w:rFonts w:hint="eastAsia" w:ascii="宋体" w:hAnsi="宋体" w:eastAsia="宋体" w:cs="宋体"/>
                <w:color w:val="auto"/>
                <w:kern w:val="2"/>
                <w:sz w:val="24"/>
                <w:szCs w:val="24"/>
                <w:highlight w:val="none"/>
              </w:rPr>
              <w:t>响应</w:t>
            </w:r>
          </w:p>
        </w:tc>
        <w:tc>
          <w:tcPr>
            <w:tcW w:w="1934" w:type="dxa"/>
            <w:noWrap w:val="0"/>
            <w:vAlign w:val="center"/>
          </w:tcPr>
          <w:p w14:paraId="0FAC1BB8">
            <w:pPr>
              <w:pStyle w:val="10"/>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偏离说明</w:t>
            </w:r>
          </w:p>
        </w:tc>
      </w:tr>
      <w:tr w14:paraId="66F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91568A5">
            <w:pPr>
              <w:pStyle w:val="10"/>
              <w:spacing w:line="600" w:lineRule="exact"/>
              <w:jc w:val="center"/>
              <w:rPr>
                <w:rFonts w:hint="eastAsia" w:ascii="宋体" w:hAnsi="宋体" w:eastAsia="宋体" w:cs="宋体"/>
                <w:color w:val="auto"/>
                <w:kern w:val="2"/>
                <w:sz w:val="24"/>
                <w:szCs w:val="24"/>
                <w:highlight w:val="none"/>
              </w:rPr>
            </w:pPr>
          </w:p>
        </w:tc>
        <w:tc>
          <w:tcPr>
            <w:tcW w:w="2143" w:type="dxa"/>
            <w:noWrap w:val="0"/>
            <w:vAlign w:val="center"/>
          </w:tcPr>
          <w:p w14:paraId="168ADD00">
            <w:pPr>
              <w:pStyle w:val="10"/>
              <w:spacing w:line="600" w:lineRule="exact"/>
              <w:jc w:val="center"/>
              <w:rPr>
                <w:rFonts w:hint="eastAsia" w:ascii="宋体" w:hAnsi="宋体" w:eastAsia="宋体" w:cs="宋体"/>
                <w:color w:val="auto"/>
                <w:kern w:val="2"/>
                <w:sz w:val="24"/>
                <w:szCs w:val="24"/>
                <w:highlight w:val="none"/>
              </w:rPr>
            </w:pPr>
          </w:p>
        </w:tc>
        <w:tc>
          <w:tcPr>
            <w:tcW w:w="1834" w:type="dxa"/>
            <w:noWrap w:val="0"/>
            <w:vAlign w:val="center"/>
          </w:tcPr>
          <w:p w14:paraId="33B3F567">
            <w:pPr>
              <w:pStyle w:val="10"/>
              <w:spacing w:line="600" w:lineRule="exact"/>
              <w:jc w:val="center"/>
              <w:rPr>
                <w:rFonts w:hint="eastAsia" w:ascii="宋体" w:hAnsi="宋体" w:eastAsia="宋体" w:cs="宋体"/>
                <w:color w:val="auto"/>
                <w:kern w:val="2"/>
                <w:sz w:val="24"/>
                <w:szCs w:val="24"/>
                <w:highlight w:val="none"/>
              </w:rPr>
            </w:pPr>
          </w:p>
        </w:tc>
        <w:tc>
          <w:tcPr>
            <w:tcW w:w="2181" w:type="dxa"/>
            <w:noWrap w:val="0"/>
            <w:vAlign w:val="center"/>
          </w:tcPr>
          <w:p w14:paraId="7DA4BB01">
            <w:pPr>
              <w:pStyle w:val="10"/>
              <w:spacing w:line="600" w:lineRule="exact"/>
              <w:jc w:val="center"/>
              <w:rPr>
                <w:rFonts w:hint="eastAsia" w:ascii="宋体" w:hAnsi="宋体" w:eastAsia="宋体" w:cs="宋体"/>
                <w:color w:val="auto"/>
                <w:kern w:val="2"/>
                <w:sz w:val="24"/>
                <w:szCs w:val="24"/>
                <w:highlight w:val="none"/>
              </w:rPr>
            </w:pPr>
          </w:p>
        </w:tc>
        <w:tc>
          <w:tcPr>
            <w:tcW w:w="1934" w:type="dxa"/>
            <w:noWrap w:val="0"/>
            <w:vAlign w:val="center"/>
          </w:tcPr>
          <w:p w14:paraId="3EBBDCD7">
            <w:pPr>
              <w:pStyle w:val="10"/>
              <w:spacing w:line="600" w:lineRule="exact"/>
              <w:jc w:val="center"/>
              <w:rPr>
                <w:rFonts w:hint="eastAsia" w:ascii="宋体" w:hAnsi="宋体" w:eastAsia="宋体" w:cs="宋体"/>
                <w:color w:val="auto"/>
                <w:kern w:val="2"/>
                <w:sz w:val="24"/>
                <w:szCs w:val="24"/>
                <w:highlight w:val="none"/>
              </w:rPr>
            </w:pPr>
          </w:p>
        </w:tc>
      </w:tr>
      <w:tr w14:paraId="628F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939DF60">
            <w:pPr>
              <w:pStyle w:val="10"/>
              <w:spacing w:line="600" w:lineRule="exact"/>
              <w:rPr>
                <w:rFonts w:hint="eastAsia" w:ascii="宋体" w:hAnsi="宋体" w:eastAsia="宋体" w:cs="宋体"/>
                <w:color w:val="auto"/>
                <w:kern w:val="2"/>
                <w:sz w:val="24"/>
                <w:szCs w:val="24"/>
                <w:highlight w:val="none"/>
              </w:rPr>
            </w:pPr>
          </w:p>
        </w:tc>
        <w:tc>
          <w:tcPr>
            <w:tcW w:w="2143" w:type="dxa"/>
            <w:noWrap w:val="0"/>
            <w:vAlign w:val="top"/>
          </w:tcPr>
          <w:p w14:paraId="1C2040F3">
            <w:pPr>
              <w:pStyle w:val="10"/>
              <w:spacing w:line="600" w:lineRule="exact"/>
              <w:rPr>
                <w:rFonts w:hint="eastAsia" w:ascii="宋体" w:hAnsi="宋体" w:eastAsia="宋体" w:cs="宋体"/>
                <w:color w:val="auto"/>
                <w:kern w:val="2"/>
                <w:sz w:val="24"/>
                <w:szCs w:val="24"/>
                <w:highlight w:val="none"/>
              </w:rPr>
            </w:pPr>
          </w:p>
        </w:tc>
        <w:tc>
          <w:tcPr>
            <w:tcW w:w="1834" w:type="dxa"/>
            <w:noWrap w:val="0"/>
            <w:vAlign w:val="top"/>
          </w:tcPr>
          <w:p w14:paraId="5F64AED2">
            <w:pPr>
              <w:pStyle w:val="10"/>
              <w:spacing w:line="600" w:lineRule="exact"/>
              <w:rPr>
                <w:rFonts w:hint="eastAsia" w:ascii="宋体" w:hAnsi="宋体" w:eastAsia="宋体" w:cs="宋体"/>
                <w:color w:val="auto"/>
                <w:kern w:val="2"/>
                <w:sz w:val="24"/>
                <w:szCs w:val="24"/>
                <w:highlight w:val="none"/>
              </w:rPr>
            </w:pPr>
          </w:p>
        </w:tc>
        <w:tc>
          <w:tcPr>
            <w:tcW w:w="2181" w:type="dxa"/>
            <w:noWrap w:val="0"/>
            <w:vAlign w:val="top"/>
          </w:tcPr>
          <w:p w14:paraId="3F246176">
            <w:pPr>
              <w:pStyle w:val="10"/>
              <w:spacing w:line="600" w:lineRule="exact"/>
              <w:rPr>
                <w:rFonts w:hint="eastAsia" w:ascii="宋体" w:hAnsi="宋体" w:eastAsia="宋体" w:cs="宋体"/>
                <w:color w:val="auto"/>
                <w:kern w:val="2"/>
                <w:sz w:val="24"/>
                <w:szCs w:val="24"/>
                <w:highlight w:val="none"/>
              </w:rPr>
            </w:pPr>
          </w:p>
        </w:tc>
        <w:tc>
          <w:tcPr>
            <w:tcW w:w="1934" w:type="dxa"/>
            <w:noWrap w:val="0"/>
            <w:vAlign w:val="top"/>
          </w:tcPr>
          <w:p w14:paraId="0A26E404">
            <w:pPr>
              <w:pStyle w:val="10"/>
              <w:spacing w:line="600" w:lineRule="exact"/>
              <w:rPr>
                <w:rFonts w:hint="eastAsia" w:ascii="宋体" w:hAnsi="宋体" w:eastAsia="宋体" w:cs="宋体"/>
                <w:color w:val="auto"/>
                <w:kern w:val="2"/>
                <w:sz w:val="24"/>
                <w:szCs w:val="24"/>
                <w:highlight w:val="none"/>
              </w:rPr>
            </w:pPr>
          </w:p>
        </w:tc>
      </w:tr>
      <w:tr w14:paraId="5C36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E257666">
            <w:pPr>
              <w:pStyle w:val="10"/>
              <w:spacing w:line="600" w:lineRule="exact"/>
              <w:rPr>
                <w:rFonts w:hint="eastAsia" w:ascii="宋体" w:hAnsi="宋体" w:eastAsia="宋体" w:cs="宋体"/>
                <w:color w:val="auto"/>
                <w:kern w:val="2"/>
                <w:sz w:val="24"/>
                <w:szCs w:val="24"/>
                <w:highlight w:val="none"/>
              </w:rPr>
            </w:pPr>
          </w:p>
        </w:tc>
        <w:tc>
          <w:tcPr>
            <w:tcW w:w="2143" w:type="dxa"/>
            <w:noWrap w:val="0"/>
            <w:vAlign w:val="top"/>
          </w:tcPr>
          <w:p w14:paraId="172E318F">
            <w:pPr>
              <w:pStyle w:val="10"/>
              <w:spacing w:line="600" w:lineRule="exact"/>
              <w:rPr>
                <w:rFonts w:hint="eastAsia" w:ascii="宋体" w:hAnsi="宋体" w:eastAsia="宋体" w:cs="宋体"/>
                <w:color w:val="auto"/>
                <w:kern w:val="2"/>
                <w:sz w:val="24"/>
                <w:szCs w:val="24"/>
                <w:highlight w:val="none"/>
              </w:rPr>
            </w:pPr>
          </w:p>
        </w:tc>
        <w:tc>
          <w:tcPr>
            <w:tcW w:w="1834" w:type="dxa"/>
            <w:noWrap w:val="0"/>
            <w:vAlign w:val="top"/>
          </w:tcPr>
          <w:p w14:paraId="69BC3D72">
            <w:pPr>
              <w:pStyle w:val="10"/>
              <w:spacing w:line="600" w:lineRule="exact"/>
              <w:rPr>
                <w:rFonts w:hint="eastAsia" w:ascii="宋体" w:hAnsi="宋体" w:eastAsia="宋体" w:cs="宋体"/>
                <w:color w:val="auto"/>
                <w:kern w:val="2"/>
                <w:sz w:val="24"/>
                <w:szCs w:val="24"/>
                <w:highlight w:val="none"/>
              </w:rPr>
            </w:pPr>
          </w:p>
        </w:tc>
        <w:tc>
          <w:tcPr>
            <w:tcW w:w="2181" w:type="dxa"/>
            <w:noWrap w:val="0"/>
            <w:vAlign w:val="top"/>
          </w:tcPr>
          <w:p w14:paraId="0F362E5E">
            <w:pPr>
              <w:pStyle w:val="10"/>
              <w:spacing w:line="600" w:lineRule="exact"/>
              <w:rPr>
                <w:rFonts w:hint="eastAsia" w:ascii="宋体" w:hAnsi="宋体" w:eastAsia="宋体" w:cs="宋体"/>
                <w:color w:val="auto"/>
                <w:kern w:val="2"/>
                <w:sz w:val="24"/>
                <w:szCs w:val="24"/>
                <w:highlight w:val="none"/>
              </w:rPr>
            </w:pPr>
          </w:p>
        </w:tc>
        <w:tc>
          <w:tcPr>
            <w:tcW w:w="1934" w:type="dxa"/>
            <w:noWrap w:val="0"/>
            <w:vAlign w:val="top"/>
          </w:tcPr>
          <w:p w14:paraId="3F9506D0">
            <w:pPr>
              <w:pStyle w:val="10"/>
              <w:spacing w:line="600" w:lineRule="exact"/>
              <w:rPr>
                <w:rFonts w:hint="eastAsia" w:ascii="宋体" w:hAnsi="宋体" w:eastAsia="宋体" w:cs="宋体"/>
                <w:color w:val="auto"/>
                <w:kern w:val="2"/>
                <w:sz w:val="24"/>
                <w:szCs w:val="24"/>
                <w:highlight w:val="none"/>
              </w:rPr>
            </w:pPr>
          </w:p>
        </w:tc>
      </w:tr>
      <w:tr w14:paraId="61B3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FB97C05">
            <w:pPr>
              <w:pStyle w:val="10"/>
              <w:spacing w:line="600" w:lineRule="exact"/>
              <w:rPr>
                <w:rFonts w:hint="eastAsia" w:ascii="宋体" w:hAnsi="宋体" w:eastAsia="宋体" w:cs="宋体"/>
                <w:color w:val="auto"/>
                <w:kern w:val="2"/>
                <w:sz w:val="24"/>
                <w:szCs w:val="24"/>
                <w:highlight w:val="none"/>
              </w:rPr>
            </w:pPr>
          </w:p>
        </w:tc>
        <w:tc>
          <w:tcPr>
            <w:tcW w:w="2143" w:type="dxa"/>
            <w:noWrap w:val="0"/>
            <w:vAlign w:val="top"/>
          </w:tcPr>
          <w:p w14:paraId="4F780D1E">
            <w:pPr>
              <w:pStyle w:val="10"/>
              <w:spacing w:line="600" w:lineRule="exact"/>
              <w:rPr>
                <w:rFonts w:hint="eastAsia" w:ascii="宋体" w:hAnsi="宋体" w:eastAsia="宋体" w:cs="宋体"/>
                <w:color w:val="auto"/>
                <w:kern w:val="2"/>
                <w:sz w:val="24"/>
                <w:szCs w:val="24"/>
                <w:highlight w:val="none"/>
              </w:rPr>
            </w:pPr>
          </w:p>
        </w:tc>
        <w:tc>
          <w:tcPr>
            <w:tcW w:w="1834" w:type="dxa"/>
            <w:noWrap w:val="0"/>
            <w:vAlign w:val="top"/>
          </w:tcPr>
          <w:p w14:paraId="558E977E">
            <w:pPr>
              <w:pStyle w:val="10"/>
              <w:spacing w:line="600" w:lineRule="exact"/>
              <w:rPr>
                <w:rFonts w:hint="eastAsia" w:ascii="宋体" w:hAnsi="宋体" w:eastAsia="宋体" w:cs="宋体"/>
                <w:color w:val="auto"/>
                <w:kern w:val="2"/>
                <w:sz w:val="24"/>
                <w:szCs w:val="24"/>
                <w:highlight w:val="none"/>
              </w:rPr>
            </w:pPr>
          </w:p>
        </w:tc>
        <w:tc>
          <w:tcPr>
            <w:tcW w:w="2181" w:type="dxa"/>
            <w:noWrap w:val="0"/>
            <w:vAlign w:val="top"/>
          </w:tcPr>
          <w:p w14:paraId="40A877C9">
            <w:pPr>
              <w:pStyle w:val="10"/>
              <w:spacing w:line="600" w:lineRule="exact"/>
              <w:rPr>
                <w:rFonts w:hint="eastAsia" w:ascii="宋体" w:hAnsi="宋体" w:eastAsia="宋体" w:cs="宋体"/>
                <w:color w:val="auto"/>
                <w:kern w:val="2"/>
                <w:sz w:val="24"/>
                <w:szCs w:val="24"/>
                <w:highlight w:val="none"/>
              </w:rPr>
            </w:pPr>
          </w:p>
        </w:tc>
        <w:tc>
          <w:tcPr>
            <w:tcW w:w="1934" w:type="dxa"/>
            <w:noWrap w:val="0"/>
            <w:vAlign w:val="top"/>
          </w:tcPr>
          <w:p w14:paraId="51EE1D3F">
            <w:pPr>
              <w:pStyle w:val="10"/>
              <w:spacing w:line="600" w:lineRule="exact"/>
              <w:rPr>
                <w:rFonts w:hint="eastAsia" w:ascii="宋体" w:hAnsi="宋体" w:eastAsia="宋体" w:cs="宋体"/>
                <w:color w:val="auto"/>
                <w:kern w:val="2"/>
                <w:sz w:val="24"/>
                <w:szCs w:val="24"/>
                <w:highlight w:val="none"/>
              </w:rPr>
            </w:pPr>
          </w:p>
        </w:tc>
      </w:tr>
    </w:tbl>
    <w:p w14:paraId="74DBF8B5">
      <w:pPr>
        <w:pStyle w:val="6"/>
        <w:rPr>
          <w:rFonts w:hint="eastAsia" w:ascii="宋体" w:hAnsi="宋体" w:eastAsia="宋体" w:cs="宋体"/>
          <w:color w:val="auto"/>
          <w:highlight w:val="none"/>
        </w:rPr>
      </w:pPr>
      <w:r>
        <w:rPr>
          <w:rFonts w:hint="eastAsia" w:ascii="宋体" w:hAnsi="宋体" w:eastAsia="宋体" w:cs="宋体"/>
          <w:color w:val="auto"/>
          <w:highlight w:val="none"/>
        </w:rPr>
        <w:t>注：</w:t>
      </w:r>
    </w:p>
    <w:p w14:paraId="0431DACB">
      <w:pPr>
        <w:pStyle w:val="9"/>
        <w:spacing w:line="360" w:lineRule="auto"/>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1.说明：应对照文件“采购需求”中的“技术要求”逐条作明确的响应，并作出偏离说明。</w:t>
      </w:r>
    </w:p>
    <w:p w14:paraId="6047D76F">
      <w:pPr>
        <w:pStyle w:val="6"/>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参会单位</w:t>
      </w:r>
      <w:r>
        <w:rPr>
          <w:rFonts w:hint="eastAsia" w:ascii="宋体" w:hAnsi="宋体" w:eastAsia="宋体" w:cs="宋体"/>
          <w:b w:val="0"/>
          <w:bCs w:val="0"/>
          <w:color w:val="auto"/>
          <w:highlight w:val="none"/>
        </w:rPr>
        <w:t>根据货物的性能指标，对照文件技术要求，在“偏离说明”中注明“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14:paraId="5D4A09A0">
      <w:pPr>
        <w:pStyle w:val="9"/>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3.如果文件需求为小于或大于某个数值标准时，文件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不得直接复制文件需求，文件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内容应当写明货物具体参数或商务响应的具体数值，否则按无效处理。</w:t>
      </w:r>
    </w:p>
    <w:p w14:paraId="2BEAB3E0">
      <w:pPr>
        <w:snapToGrid w:val="0"/>
        <w:spacing w:before="50" w:after="50" w:line="360" w:lineRule="auto"/>
        <w:ind w:firstLine="3920" w:firstLineChars="1400"/>
        <w:rPr>
          <w:rFonts w:hint="eastAsia" w:ascii="宋体" w:hAnsi="宋体" w:eastAsia="宋体" w:cs="宋体"/>
          <w:color w:val="auto"/>
          <w:spacing w:val="20"/>
          <w:sz w:val="24"/>
          <w:highlight w:val="none"/>
          <w:lang w:eastAsia="zh-CN"/>
        </w:rPr>
      </w:pPr>
    </w:p>
    <w:p w14:paraId="4B66A7E5">
      <w:pPr>
        <w:snapToGrid w:val="0"/>
        <w:spacing w:before="50" w:after="50" w:line="360" w:lineRule="auto"/>
        <w:ind w:firstLine="3920" w:firstLineChars="14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eastAsia="zh-CN"/>
        </w:rPr>
        <w:t>参会单位</w:t>
      </w:r>
      <w:r>
        <w:rPr>
          <w:rFonts w:hint="eastAsia" w:ascii="宋体" w:hAnsi="宋体" w:eastAsia="宋体" w:cs="宋体"/>
          <w:color w:val="auto"/>
          <w:spacing w:val="20"/>
          <w:sz w:val="24"/>
          <w:highlight w:val="none"/>
        </w:rPr>
        <w:t>（盖公章）：</w:t>
      </w:r>
    </w:p>
    <w:p w14:paraId="11BDD0AA">
      <w:pPr>
        <w:snapToGrid w:val="0"/>
        <w:spacing w:before="50" w:after="50" w:line="360" w:lineRule="auto"/>
        <w:ind w:firstLine="3600" w:firstLineChars="1500"/>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14:paraId="7346BC44">
      <w:pPr>
        <w:pStyle w:val="18"/>
        <w:ind w:firstLine="3640" w:firstLineChars="1300"/>
        <w:rPr>
          <w:rFonts w:hint="eastAsia" w:ascii="宋体" w:hAnsi="宋体" w:eastAsia="宋体" w:cs="宋体"/>
          <w:color w:val="auto"/>
          <w:spacing w:val="20"/>
          <w:sz w:val="24"/>
          <w:highlight w:val="none"/>
          <w:u w:val="single"/>
          <w:lang w:eastAsia="zh-CN"/>
        </w:rPr>
      </w:pPr>
      <w:r>
        <w:rPr>
          <w:rFonts w:hint="eastAsia" w:ascii="宋体" w:hAnsi="宋体" w:eastAsia="宋体" w:cs="宋体"/>
          <w:color w:val="auto"/>
          <w:spacing w:val="20"/>
          <w:sz w:val="24"/>
          <w:highlight w:val="none"/>
        </w:rPr>
        <w:t>日期：</w:t>
      </w:r>
    </w:p>
    <w:p w14:paraId="16893C43">
      <w:pPr>
        <w:pStyle w:val="18"/>
        <w:rPr>
          <w:rFonts w:hint="eastAsia" w:ascii="宋体" w:hAnsi="宋体" w:eastAsia="宋体" w:cs="宋体"/>
          <w:color w:val="auto"/>
          <w:spacing w:val="20"/>
          <w:sz w:val="24"/>
          <w:highlight w:val="none"/>
          <w:u w:val="single"/>
        </w:rPr>
      </w:pPr>
    </w:p>
    <w:p w14:paraId="63DD7AC5">
      <w:pPr>
        <w:pStyle w:val="18"/>
        <w:rPr>
          <w:rFonts w:hint="eastAsia" w:ascii="宋体" w:hAnsi="宋体" w:eastAsia="宋体" w:cs="宋体"/>
          <w:color w:val="auto"/>
          <w:spacing w:val="20"/>
          <w:sz w:val="24"/>
          <w:highlight w:val="none"/>
          <w:u w:val="single"/>
        </w:rPr>
      </w:pPr>
    </w:p>
    <w:p w14:paraId="278F1C68">
      <w:pPr>
        <w:pStyle w:val="18"/>
        <w:rPr>
          <w:rFonts w:hint="eastAsia" w:ascii="仿宋_GB2312" w:hAnsi="宋体" w:eastAsia="仿宋_GB2312"/>
          <w:b/>
          <w:color w:val="auto"/>
          <w:sz w:val="28"/>
          <w:szCs w:val="28"/>
          <w:lang w:eastAsia="zh-CN"/>
        </w:rPr>
      </w:pPr>
    </w:p>
    <w:p w14:paraId="30700A38">
      <w:pPr>
        <w:pStyle w:val="18"/>
        <w:rPr>
          <w:rFonts w:hint="eastAsia" w:ascii="宋体" w:hAnsi="宋体" w:eastAsia="宋体" w:cs="宋体"/>
          <w:b/>
          <w:color w:val="auto"/>
          <w:sz w:val="32"/>
          <w:szCs w:val="32"/>
          <w:highlight w:val="none"/>
        </w:rPr>
      </w:pPr>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3：</w:t>
      </w:r>
      <w:r>
        <w:rPr>
          <w:rFonts w:hint="eastAsia" w:ascii="宋体" w:hAnsi="宋体" w:eastAsia="宋体" w:cs="宋体"/>
          <w:b/>
          <w:color w:val="auto"/>
          <w:sz w:val="32"/>
          <w:szCs w:val="32"/>
          <w:highlight w:val="none"/>
        </w:rPr>
        <w:t>设备性能配置清单</w:t>
      </w:r>
    </w:p>
    <w:p w14:paraId="0F3BD74E">
      <w:pPr>
        <w:pStyle w:val="1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eastAsia="zh-CN"/>
        </w:rPr>
        <w:t>报</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p>
    <w:tbl>
      <w:tblPr>
        <w:tblStyle w:val="13"/>
        <w:tblW w:w="437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4"/>
        <w:gridCol w:w="889"/>
        <w:gridCol w:w="572"/>
        <w:gridCol w:w="635"/>
        <w:gridCol w:w="1275"/>
        <w:gridCol w:w="889"/>
        <w:gridCol w:w="525"/>
        <w:gridCol w:w="1069"/>
        <w:gridCol w:w="1070"/>
      </w:tblGrid>
      <w:tr w14:paraId="33BC3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52" w:type="pct"/>
            <w:tcBorders>
              <w:top w:val="single" w:color="auto" w:sz="4" w:space="0"/>
              <w:left w:val="single" w:color="auto" w:sz="4" w:space="0"/>
              <w:bottom w:val="single" w:color="auto" w:sz="4" w:space="0"/>
              <w:right w:val="single" w:color="auto" w:sz="4" w:space="0"/>
            </w:tcBorders>
            <w:noWrap w:val="0"/>
            <w:vAlign w:val="center"/>
          </w:tcPr>
          <w:p w14:paraId="4448FB3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96" w:type="pct"/>
            <w:tcBorders>
              <w:top w:val="single" w:color="auto" w:sz="4" w:space="0"/>
              <w:left w:val="single" w:color="auto" w:sz="4" w:space="0"/>
              <w:bottom w:val="single" w:color="auto" w:sz="4" w:space="0"/>
              <w:right w:val="single" w:color="auto" w:sz="4" w:space="0"/>
            </w:tcBorders>
            <w:noWrap w:val="0"/>
            <w:vAlign w:val="center"/>
          </w:tcPr>
          <w:p w14:paraId="38DF801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A970B3E">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2C903997">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855" w:type="pct"/>
            <w:tcBorders>
              <w:top w:val="single" w:color="auto" w:sz="4" w:space="0"/>
              <w:left w:val="single" w:color="auto" w:sz="4" w:space="0"/>
              <w:bottom w:val="single" w:color="auto" w:sz="4" w:space="0"/>
              <w:right w:val="single" w:color="auto" w:sz="4" w:space="0"/>
            </w:tcBorders>
            <w:noWrap w:val="0"/>
            <w:vAlign w:val="top"/>
          </w:tcPr>
          <w:p w14:paraId="69E4402E">
            <w:pPr>
              <w:snapToGrid w:val="0"/>
              <w:spacing w:before="50" w:after="50"/>
              <w:jc w:val="center"/>
              <w:rPr>
                <w:rFonts w:hint="eastAsia" w:ascii="宋体" w:hAnsi="宋体" w:eastAsia="宋体" w:cs="宋体"/>
                <w:color w:val="auto"/>
                <w:sz w:val="24"/>
                <w:highlight w:val="none"/>
              </w:rPr>
            </w:pPr>
          </w:p>
          <w:p w14:paraId="45787565">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596" w:type="pct"/>
            <w:tcBorders>
              <w:top w:val="single" w:color="auto" w:sz="4" w:space="0"/>
              <w:left w:val="single" w:color="auto" w:sz="4" w:space="0"/>
              <w:bottom w:val="single" w:color="auto" w:sz="4" w:space="0"/>
              <w:right w:val="single" w:color="auto" w:sz="4" w:space="0"/>
            </w:tcBorders>
            <w:noWrap w:val="0"/>
            <w:vAlign w:val="center"/>
          </w:tcPr>
          <w:p w14:paraId="1531E50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272BAAD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6AD02F7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c>
          <w:tcPr>
            <w:tcW w:w="718" w:type="pct"/>
            <w:tcBorders>
              <w:top w:val="single" w:color="auto" w:sz="4" w:space="0"/>
              <w:left w:val="single" w:color="auto" w:sz="4" w:space="0"/>
              <w:bottom w:val="single" w:color="auto" w:sz="4" w:space="0"/>
              <w:right w:val="single" w:color="auto" w:sz="4" w:space="0"/>
            </w:tcBorders>
            <w:noWrap w:val="0"/>
            <w:vAlign w:val="center"/>
          </w:tcPr>
          <w:p w14:paraId="61C602EF">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有无专机专用试剂、耗材（如有请列出）</w:t>
            </w:r>
          </w:p>
        </w:tc>
      </w:tr>
      <w:tr w14:paraId="463E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52" w:type="pct"/>
            <w:tcBorders>
              <w:top w:val="single" w:color="auto" w:sz="4" w:space="0"/>
              <w:left w:val="single" w:color="auto" w:sz="4" w:space="0"/>
              <w:bottom w:val="single" w:color="auto" w:sz="4" w:space="0"/>
              <w:right w:val="single" w:color="auto" w:sz="4" w:space="0"/>
            </w:tcBorders>
            <w:noWrap w:val="0"/>
            <w:vAlign w:val="center"/>
          </w:tcPr>
          <w:p w14:paraId="57ABCE5A">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2338C2B6">
            <w:pPr>
              <w:snapToGrid w:val="0"/>
              <w:spacing w:before="50" w:after="50"/>
              <w:jc w:val="center"/>
              <w:rPr>
                <w:rFonts w:hint="eastAsia" w:ascii="宋体" w:hAnsi="宋体" w:eastAsia="宋体" w:cs="宋体"/>
                <w:color w:val="auto"/>
                <w:sz w:val="24"/>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14:paraId="24ED417F">
            <w:pPr>
              <w:snapToGrid w:val="0"/>
              <w:spacing w:before="50" w:after="50"/>
              <w:jc w:val="center"/>
              <w:rPr>
                <w:rFonts w:hint="eastAsia" w:ascii="宋体" w:hAnsi="宋体" w:eastAsia="宋体" w:cs="宋体"/>
                <w:color w:val="auto"/>
                <w:sz w:val="24"/>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11FBABF8">
            <w:pPr>
              <w:snapToGrid w:val="0"/>
              <w:spacing w:before="50" w:after="50"/>
              <w:jc w:val="center"/>
              <w:rPr>
                <w:rFonts w:hint="eastAsia" w:ascii="宋体" w:hAnsi="宋体" w:eastAsia="宋体" w:cs="宋体"/>
                <w:color w:val="auto"/>
                <w:sz w:val="24"/>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14:paraId="39EA78AC">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55B7C386">
            <w:pPr>
              <w:snapToGrid w:val="0"/>
              <w:spacing w:before="50" w:after="50"/>
              <w:jc w:val="center"/>
              <w:rPr>
                <w:rFonts w:hint="eastAsia" w:ascii="宋体" w:hAnsi="宋体" w:eastAsia="宋体" w:cs="宋体"/>
                <w:color w:val="auto"/>
                <w:sz w:val="24"/>
                <w:highlight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59FB6EBC">
            <w:pPr>
              <w:snapToGrid w:val="0"/>
              <w:spacing w:before="50" w:after="50"/>
              <w:jc w:val="center"/>
              <w:rPr>
                <w:rFonts w:hint="eastAsia" w:ascii="宋体" w:hAnsi="宋体" w:eastAsia="宋体" w:cs="宋体"/>
                <w:color w:val="auto"/>
                <w:sz w:val="24"/>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379C6D13">
            <w:pPr>
              <w:snapToGrid w:val="0"/>
              <w:spacing w:before="50" w:after="50"/>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52593A69">
            <w:pPr>
              <w:snapToGrid w:val="0"/>
              <w:spacing w:before="50" w:after="50"/>
              <w:jc w:val="center"/>
              <w:rPr>
                <w:rFonts w:hint="eastAsia" w:ascii="宋体" w:hAnsi="宋体" w:eastAsia="宋体" w:cs="宋体"/>
                <w:color w:val="auto"/>
                <w:sz w:val="24"/>
                <w:highlight w:val="none"/>
              </w:rPr>
            </w:pPr>
          </w:p>
        </w:tc>
      </w:tr>
      <w:tr w14:paraId="735C5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52" w:type="pct"/>
            <w:tcBorders>
              <w:top w:val="single" w:color="auto" w:sz="4" w:space="0"/>
              <w:left w:val="single" w:color="auto" w:sz="4" w:space="0"/>
              <w:bottom w:val="single" w:color="auto" w:sz="4" w:space="0"/>
              <w:right w:val="single" w:color="auto" w:sz="4" w:space="0"/>
            </w:tcBorders>
            <w:noWrap w:val="0"/>
            <w:vAlign w:val="center"/>
          </w:tcPr>
          <w:p w14:paraId="760E8D37">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00CB93D6">
            <w:pPr>
              <w:snapToGrid w:val="0"/>
              <w:spacing w:before="50" w:after="50"/>
              <w:jc w:val="center"/>
              <w:rPr>
                <w:rFonts w:hint="eastAsia" w:ascii="宋体" w:hAnsi="宋体" w:eastAsia="宋体" w:cs="宋体"/>
                <w:color w:val="auto"/>
                <w:sz w:val="24"/>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14:paraId="66CA2A1A">
            <w:pPr>
              <w:snapToGrid w:val="0"/>
              <w:spacing w:before="50" w:after="50"/>
              <w:jc w:val="center"/>
              <w:rPr>
                <w:rFonts w:hint="eastAsia" w:ascii="宋体" w:hAnsi="宋体" w:eastAsia="宋体" w:cs="宋体"/>
                <w:color w:val="auto"/>
                <w:sz w:val="24"/>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E02CF1D">
            <w:pPr>
              <w:snapToGrid w:val="0"/>
              <w:spacing w:before="50" w:after="50"/>
              <w:jc w:val="center"/>
              <w:rPr>
                <w:rFonts w:hint="eastAsia" w:ascii="宋体" w:hAnsi="宋体" w:eastAsia="宋体" w:cs="宋体"/>
                <w:color w:val="auto"/>
                <w:sz w:val="24"/>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14:paraId="6DBCC3CD">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5B6F81B2">
            <w:pPr>
              <w:snapToGrid w:val="0"/>
              <w:spacing w:before="50" w:after="50"/>
              <w:jc w:val="center"/>
              <w:rPr>
                <w:rFonts w:hint="eastAsia" w:ascii="宋体" w:hAnsi="宋体" w:eastAsia="宋体" w:cs="宋体"/>
                <w:color w:val="auto"/>
                <w:sz w:val="24"/>
                <w:highlight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461BA087">
            <w:pPr>
              <w:snapToGrid w:val="0"/>
              <w:spacing w:before="50" w:after="50"/>
              <w:jc w:val="center"/>
              <w:rPr>
                <w:rFonts w:hint="eastAsia" w:ascii="宋体" w:hAnsi="宋体" w:eastAsia="宋体" w:cs="宋体"/>
                <w:color w:val="auto"/>
                <w:sz w:val="24"/>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0F03CC64">
            <w:pPr>
              <w:snapToGrid w:val="0"/>
              <w:spacing w:before="50" w:after="50"/>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0179B714">
            <w:pPr>
              <w:snapToGrid w:val="0"/>
              <w:spacing w:before="50" w:after="50"/>
              <w:jc w:val="center"/>
              <w:rPr>
                <w:rFonts w:hint="eastAsia" w:ascii="宋体" w:hAnsi="宋体" w:eastAsia="宋体" w:cs="宋体"/>
                <w:color w:val="auto"/>
                <w:sz w:val="24"/>
                <w:highlight w:val="none"/>
              </w:rPr>
            </w:pPr>
          </w:p>
        </w:tc>
      </w:tr>
      <w:tr w14:paraId="23E68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52" w:type="pct"/>
            <w:tcBorders>
              <w:top w:val="single" w:color="auto" w:sz="4" w:space="0"/>
              <w:left w:val="single" w:color="auto" w:sz="4" w:space="0"/>
              <w:bottom w:val="single" w:color="auto" w:sz="4" w:space="0"/>
              <w:right w:val="single" w:color="auto" w:sz="4" w:space="0"/>
            </w:tcBorders>
            <w:noWrap w:val="0"/>
            <w:vAlign w:val="center"/>
          </w:tcPr>
          <w:p w14:paraId="5754F934">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287E914F">
            <w:pPr>
              <w:snapToGrid w:val="0"/>
              <w:spacing w:before="50" w:after="50"/>
              <w:jc w:val="center"/>
              <w:rPr>
                <w:rFonts w:hint="eastAsia" w:ascii="宋体" w:hAnsi="宋体" w:eastAsia="宋体" w:cs="宋体"/>
                <w:color w:val="auto"/>
                <w:sz w:val="24"/>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14:paraId="208C0CC3">
            <w:pPr>
              <w:snapToGrid w:val="0"/>
              <w:spacing w:before="50" w:after="50"/>
              <w:jc w:val="center"/>
              <w:rPr>
                <w:rFonts w:hint="eastAsia" w:ascii="宋体" w:hAnsi="宋体" w:eastAsia="宋体" w:cs="宋体"/>
                <w:color w:val="auto"/>
                <w:sz w:val="24"/>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9ABCB45">
            <w:pPr>
              <w:snapToGrid w:val="0"/>
              <w:spacing w:before="50" w:after="50"/>
              <w:jc w:val="center"/>
              <w:rPr>
                <w:rFonts w:hint="eastAsia" w:ascii="宋体" w:hAnsi="宋体" w:eastAsia="宋体" w:cs="宋体"/>
                <w:color w:val="auto"/>
                <w:sz w:val="24"/>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14:paraId="586CB04C">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3933B774">
            <w:pPr>
              <w:snapToGrid w:val="0"/>
              <w:spacing w:before="50" w:after="50"/>
              <w:jc w:val="center"/>
              <w:rPr>
                <w:rFonts w:hint="eastAsia" w:ascii="宋体" w:hAnsi="宋体" w:eastAsia="宋体" w:cs="宋体"/>
                <w:color w:val="auto"/>
                <w:sz w:val="24"/>
                <w:highlight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45A49352">
            <w:pPr>
              <w:snapToGrid w:val="0"/>
              <w:spacing w:before="50" w:after="50"/>
              <w:jc w:val="center"/>
              <w:rPr>
                <w:rFonts w:hint="eastAsia" w:ascii="宋体" w:hAnsi="宋体" w:eastAsia="宋体" w:cs="宋体"/>
                <w:color w:val="auto"/>
                <w:sz w:val="24"/>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4C865124">
            <w:pPr>
              <w:snapToGrid w:val="0"/>
              <w:spacing w:before="50" w:after="50"/>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60E4470F">
            <w:pPr>
              <w:snapToGrid w:val="0"/>
              <w:spacing w:before="50" w:after="50"/>
              <w:jc w:val="center"/>
              <w:rPr>
                <w:rFonts w:hint="eastAsia" w:ascii="宋体" w:hAnsi="宋体" w:eastAsia="宋体" w:cs="宋体"/>
                <w:color w:val="auto"/>
                <w:sz w:val="24"/>
                <w:highlight w:val="none"/>
              </w:rPr>
            </w:pPr>
          </w:p>
        </w:tc>
      </w:tr>
    </w:tbl>
    <w:p w14:paraId="205E6C96">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671109A8">
      <w:pPr>
        <w:spacing w:line="360" w:lineRule="auto"/>
        <w:ind w:firstLine="480" w:firstLineChars="2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auto"/>
          <w:sz w:val="24"/>
          <w:highlight w:val="none"/>
        </w:rPr>
        <w:t>的，</w:t>
      </w:r>
      <w:r>
        <w:rPr>
          <w:rFonts w:hint="eastAsia" w:ascii="宋体" w:hAnsi="宋体" w:eastAsia="宋体" w:cs="宋体"/>
          <w:b/>
          <w:color w:val="auto"/>
          <w:sz w:val="24"/>
          <w:highlight w:val="none"/>
        </w:rPr>
        <w:t>作无效处理。</w:t>
      </w:r>
      <w:r>
        <w:rPr>
          <w:rFonts w:hint="eastAsia" w:ascii="宋体" w:hAnsi="宋体" w:eastAsia="宋体" w:cs="宋体"/>
          <w:color w:val="auto"/>
          <w:sz w:val="24"/>
          <w:highlight w:val="none"/>
        </w:rPr>
        <w:t>货物名称、数量及单位、品牌必须与“</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览表”一致，</w:t>
      </w:r>
      <w:r>
        <w:rPr>
          <w:rFonts w:hint="eastAsia" w:ascii="宋体" w:hAnsi="宋体" w:eastAsia="宋体" w:cs="宋体"/>
          <w:b/>
          <w:color w:val="auto"/>
          <w:sz w:val="24"/>
          <w:highlight w:val="none"/>
        </w:rPr>
        <w:t>否则按无效处理。</w:t>
      </w:r>
    </w:p>
    <w:p w14:paraId="04AE5A9D">
      <w:pPr>
        <w:spacing w:line="360" w:lineRule="auto"/>
        <w:ind w:firstLine="480" w:firstLineChars="200"/>
        <w:contextualSpacing/>
        <w:rPr>
          <w:rFonts w:hint="eastAsia" w:ascii="宋体" w:hAnsi="宋体" w:eastAsia="宋体" w:cs="宋体"/>
          <w:color w:val="auto"/>
          <w:sz w:val="24"/>
          <w:highlight w:val="none"/>
        </w:rPr>
      </w:pPr>
    </w:p>
    <w:p w14:paraId="759A62EF">
      <w:pPr>
        <w:snapToGrid w:val="0"/>
        <w:spacing w:before="50" w:after="50" w:line="360" w:lineRule="auto"/>
        <w:ind w:firstLine="3920" w:firstLineChars="14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eastAsia="zh-CN"/>
        </w:rPr>
        <w:t>参会单位</w:t>
      </w:r>
      <w:r>
        <w:rPr>
          <w:rFonts w:hint="eastAsia" w:ascii="宋体" w:hAnsi="宋体" w:eastAsia="宋体" w:cs="宋体"/>
          <w:color w:val="auto"/>
          <w:spacing w:val="20"/>
          <w:sz w:val="24"/>
          <w:highlight w:val="none"/>
        </w:rPr>
        <w:t>（盖公章）：</w:t>
      </w:r>
    </w:p>
    <w:p w14:paraId="18E0EBCF">
      <w:pPr>
        <w:snapToGrid w:val="0"/>
        <w:spacing w:before="50" w:after="50" w:line="360" w:lineRule="auto"/>
        <w:ind w:firstLine="3600" w:firstLineChars="1500"/>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14:paraId="1C5DEBAB">
      <w:pPr>
        <w:pStyle w:val="18"/>
        <w:ind w:firstLine="4200" w:firstLineChars="15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日期：</w:t>
      </w:r>
    </w:p>
    <w:p w14:paraId="1ADB85C6"/>
    <w:p w14:paraId="1D15F14F"/>
    <w:p w14:paraId="1C74AF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5CCCC"/>
    <w:multiLevelType w:val="singleLevel"/>
    <w:tmpl w:val="BE65CCCC"/>
    <w:lvl w:ilvl="0" w:tentative="0">
      <w:start w:val="1"/>
      <w:numFmt w:val="decimal"/>
      <w:suff w:val="nothing"/>
      <w:lvlText w:val="%1、"/>
      <w:lvlJc w:val="left"/>
    </w:lvl>
  </w:abstractNum>
  <w:abstractNum w:abstractNumId="1">
    <w:nsid w:val="C05057D8"/>
    <w:multiLevelType w:val="singleLevel"/>
    <w:tmpl w:val="C05057D8"/>
    <w:lvl w:ilvl="0" w:tentative="0">
      <w:start w:val="1"/>
      <w:numFmt w:val="chineseCounting"/>
      <w:suff w:val="nothing"/>
      <w:lvlText w:val="%1、"/>
      <w:lvlJc w:val="left"/>
      <w:rPr>
        <w:rFonts w:hint="eastAsia"/>
      </w:rPr>
    </w:lvl>
  </w:abstractNum>
  <w:abstractNum w:abstractNumId="2">
    <w:nsid w:val="CB15A11C"/>
    <w:multiLevelType w:val="singleLevel"/>
    <w:tmpl w:val="CB15A11C"/>
    <w:lvl w:ilvl="0" w:tentative="0">
      <w:start w:val="6"/>
      <w:numFmt w:val="chineseCounting"/>
      <w:suff w:val="nothing"/>
      <w:lvlText w:val="%1、"/>
      <w:lvlJc w:val="left"/>
      <w:rPr>
        <w:rFonts w:hint="eastAsia"/>
      </w:rPr>
    </w:lvl>
  </w:abstractNum>
  <w:abstractNum w:abstractNumId="3">
    <w:nsid w:val="F2FC8925"/>
    <w:multiLevelType w:val="singleLevel"/>
    <w:tmpl w:val="F2FC8925"/>
    <w:lvl w:ilvl="0" w:tentative="0">
      <w:start w:val="2"/>
      <w:numFmt w:val="chineseCounting"/>
      <w:suff w:val="nothing"/>
      <w:lvlText w:val="%1、"/>
      <w:lvlJc w:val="left"/>
      <w:rPr>
        <w:rFonts w:hint="eastAsia"/>
      </w:rPr>
    </w:lvl>
  </w:abstractNum>
  <w:abstractNum w:abstractNumId="4">
    <w:nsid w:val="0000000D"/>
    <w:multiLevelType w:val="multilevel"/>
    <w:tmpl w:val="0000000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6D019A4"/>
    <w:multiLevelType w:val="multilevel"/>
    <w:tmpl w:val="06D019A4"/>
    <w:lvl w:ilvl="0" w:tentative="0">
      <w:start w:val="1"/>
      <w:numFmt w:val="decimal"/>
      <w:lvlText w:val="%1."/>
      <w:lvlJc w:val="left"/>
      <w:pPr>
        <w:ind w:left="780" w:hanging="420"/>
      </w:pPr>
      <w:rPr>
        <w:rFonts w:hint="eastAsia"/>
      </w:rPr>
    </w:lvl>
    <w:lvl w:ilvl="1" w:tentative="0">
      <w:start w:val="1"/>
      <w:numFmt w:val="bullet"/>
      <w:lvlText w:val="★"/>
      <w:lvlJc w:val="left"/>
      <w:pPr>
        <w:ind w:left="840" w:hanging="360"/>
      </w:pPr>
      <w:rPr>
        <w:rFonts w:hint="eastAsia" w:ascii="MS Mincho" w:hAnsi="MS Mincho" w:eastAsia="MS Mincho" w:cs="MS Mincho"/>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26315CED"/>
    <w:multiLevelType w:val="multilevel"/>
    <w:tmpl w:val="26315C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C14CF7"/>
    <w:multiLevelType w:val="multilevel"/>
    <w:tmpl w:val="2EC14CF7"/>
    <w:lvl w:ilvl="0" w:tentative="0">
      <w:start w:val="1"/>
      <w:numFmt w:val="chineseCountingThousand"/>
      <w:suff w:val="space"/>
      <w:lvlText w:val="%1、"/>
      <w:lvlJc w:val="left"/>
      <w:pPr>
        <w:ind w:left="0" w:firstLine="0"/>
      </w:pPr>
      <w:rPr>
        <w:rFonts w:hint="eastAsia"/>
        <w:b/>
      </w:rPr>
    </w:lvl>
    <w:lvl w:ilvl="1" w:tentative="0">
      <w:start w:val="1"/>
      <w:numFmt w:val="decimal"/>
      <w:isLgl/>
      <w:suff w:val="space"/>
      <w:lvlText w:val="%1.%2"/>
      <w:lvlJc w:val="left"/>
      <w:pPr>
        <w:ind w:left="284" w:firstLine="0"/>
      </w:pPr>
      <w:rPr>
        <w:rFonts w:hint="eastAsia"/>
        <w:spacing w:val="0"/>
        <w:w w:val="100"/>
        <w:kern w:val="21"/>
        <w:position w:val="0"/>
      </w:rPr>
    </w:lvl>
    <w:lvl w:ilvl="2" w:tentative="0">
      <w:start w:val="1"/>
      <w:numFmt w:val="decimal"/>
      <w:isLgl/>
      <w:suff w:val="space"/>
      <w:lvlText w:val="%1.%2.%3"/>
      <w:lvlJc w:val="left"/>
      <w:pPr>
        <w:ind w:left="2268" w:firstLine="0"/>
      </w:pPr>
      <w:rPr>
        <w:rFonts w:hint="eastAsia"/>
        <w:color w:val="auto"/>
      </w:rPr>
    </w:lvl>
    <w:lvl w:ilvl="3" w:tentative="0">
      <w:start w:val="1"/>
      <w:numFmt w:val="decimal"/>
      <w:lvlText w:val="%1.%2.%3.%4"/>
      <w:lvlJc w:val="left"/>
      <w:pPr>
        <w:ind w:left="852" w:firstLine="0"/>
      </w:pPr>
      <w:rPr>
        <w:rFonts w:hint="eastAsia"/>
      </w:rPr>
    </w:lvl>
    <w:lvl w:ilvl="4" w:tentative="0">
      <w:start w:val="1"/>
      <w:numFmt w:val="decimal"/>
      <w:lvlText w:val="%1.%2.%3.%4.%5"/>
      <w:lvlJc w:val="left"/>
      <w:pPr>
        <w:ind w:left="1136" w:firstLine="0"/>
      </w:pPr>
      <w:rPr>
        <w:rFonts w:hint="eastAsia"/>
      </w:rPr>
    </w:lvl>
    <w:lvl w:ilvl="5" w:tentative="0">
      <w:start w:val="1"/>
      <w:numFmt w:val="decimal"/>
      <w:lvlText w:val="%1.%2.%3.%4.%5.%6"/>
      <w:lvlJc w:val="left"/>
      <w:pPr>
        <w:ind w:left="1420" w:firstLine="0"/>
      </w:pPr>
      <w:rPr>
        <w:rFonts w:hint="eastAsia"/>
      </w:rPr>
    </w:lvl>
    <w:lvl w:ilvl="6" w:tentative="0">
      <w:start w:val="1"/>
      <w:numFmt w:val="decimal"/>
      <w:lvlText w:val="%1.%2.%3.%4.%5.%6.%7"/>
      <w:lvlJc w:val="left"/>
      <w:pPr>
        <w:ind w:left="1704" w:firstLine="0"/>
      </w:pPr>
      <w:rPr>
        <w:rFonts w:hint="eastAsia"/>
      </w:rPr>
    </w:lvl>
    <w:lvl w:ilvl="7" w:tentative="0">
      <w:start w:val="1"/>
      <w:numFmt w:val="decimal"/>
      <w:lvlText w:val="%1.%2.%3.%4.%5.%6.%7.%8"/>
      <w:lvlJc w:val="left"/>
      <w:pPr>
        <w:ind w:left="1988" w:firstLine="0"/>
      </w:pPr>
      <w:rPr>
        <w:rFonts w:hint="eastAsia"/>
      </w:rPr>
    </w:lvl>
    <w:lvl w:ilvl="8" w:tentative="0">
      <w:start w:val="1"/>
      <w:numFmt w:val="decimal"/>
      <w:lvlText w:val="%1.%2.%3.%4.%5.%6.%7.%8.%9"/>
      <w:lvlJc w:val="left"/>
      <w:pPr>
        <w:ind w:left="2272" w:firstLine="0"/>
      </w:pPr>
      <w:rPr>
        <w:rFonts w:hint="eastAsia"/>
      </w:rPr>
    </w:lvl>
  </w:abstractNum>
  <w:abstractNum w:abstractNumId="8">
    <w:nsid w:val="40C93D40"/>
    <w:multiLevelType w:val="singleLevel"/>
    <w:tmpl w:val="40C93D40"/>
    <w:lvl w:ilvl="0" w:tentative="0">
      <w:start w:val="1"/>
      <w:numFmt w:val="chineseCounting"/>
      <w:suff w:val="nothing"/>
      <w:lvlText w:val="%1、"/>
      <w:lvlJc w:val="left"/>
      <w:rPr>
        <w:rFonts w:hint="eastAsia"/>
      </w:rPr>
    </w:lvl>
  </w:abstractNum>
  <w:abstractNum w:abstractNumId="9">
    <w:nsid w:val="667C7D7B"/>
    <w:multiLevelType w:val="multilevel"/>
    <w:tmpl w:val="667C7D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FEEC5D"/>
    <w:multiLevelType w:val="singleLevel"/>
    <w:tmpl w:val="7AFEEC5D"/>
    <w:lvl w:ilvl="0" w:tentative="0">
      <w:start w:val="3"/>
      <w:numFmt w:val="chineseCounting"/>
      <w:suff w:val="nothing"/>
      <w:lvlText w:val="%1、"/>
      <w:lvlJc w:val="left"/>
      <w:rPr>
        <w:rFonts w:hint="eastAsia"/>
      </w:rPr>
    </w:lvl>
  </w:abstractNum>
  <w:num w:numId="1">
    <w:abstractNumId w:val="8"/>
  </w:num>
  <w:num w:numId="2">
    <w:abstractNumId w:val="9"/>
  </w:num>
  <w:num w:numId="3">
    <w:abstractNumId w:val="3"/>
  </w:num>
  <w:num w:numId="4">
    <w:abstractNumId w:val="0"/>
  </w:num>
  <w:num w:numId="5">
    <w:abstractNumId w:val="10"/>
  </w:num>
  <w:num w:numId="6">
    <w:abstractNumId w:val="1"/>
  </w:num>
  <w:num w:numId="7">
    <w:abstractNumId w:val="7"/>
  </w:num>
  <w:num w:numId="8">
    <w:abstractNumId w:val="4"/>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ThhMzE5M2MzYzgxMWZlNjBlMTFmYmZiYTc1YjQifQ=="/>
  </w:docVars>
  <w:rsids>
    <w:rsidRoot w:val="3B6C0DDF"/>
    <w:rsid w:val="06B6656B"/>
    <w:rsid w:val="09B71227"/>
    <w:rsid w:val="29CA2667"/>
    <w:rsid w:val="3B6C0DDF"/>
    <w:rsid w:val="4E665E39"/>
    <w:rsid w:val="519C77F4"/>
    <w:rsid w:val="5D445EE5"/>
    <w:rsid w:val="625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3">
    <w:name w:val="index 8"/>
    <w:basedOn w:val="1"/>
    <w:next w:val="1"/>
    <w:unhideWhenUsed/>
    <w:qFormat/>
    <w:uiPriority w:val="0"/>
    <w:pPr>
      <w:widowControl/>
      <w:ind w:left="1400" w:leftChars="1400"/>
    </w:pPr>
    <w:rPr>
      <w:rFonts w:ascii="宋体"/>
      <w:kern w:val="0"/>
      <w:sz w:val="34"/>
      <w:szCs w:val="22"/>
    </w:rPr>
  </w:style>
  <w:style w:type="paragraph" w:styleId="4">
    <w:name w:val="Normal Indent"/>
    <w:basedOn w:val="1"/>
    <w:qFormat/>
    <w:uiPriority w:val="0"/>
    <w:pPr>
      <w:widowControl/>
      <w:spacing w:line="360" w:lineRule="auto"/>
      <w:ind w:firstLine="0" w:firstLineChars="0"/>
      <w:jc w:val="left"/>
    </w:pPr>
    <w:rPr>
      <w:rFonts w:ascii="Times New Roman" w:hAnsi="Times New Roman" w:cs="Times New Roman"/>
      <w:kern w:val="0"/>
      <w:sz w:val="20"/>
      <w:szCs w:val="20"/>
    </w:rPr>
  </w:style>
  <w:style w:type="paragraph" w:styleId="5">
    <w:name w:val="annotation text"/>
    <w:basedOn w:val="1"/>
    <w:qFormat/>
    <w:uiPriority w:val="0"/>
    <w:pPr>
      <w:jc w:val="left"/>
    </w:pPr>
  </w:style>
  <w:style w:type="paragraph" w:styleId="6">
    <w:name w:val="Body Text 3"/>
    <w:basedOn w:val="1"/>
    <w:qFormat/>
    <w:uiPriority w:val="0"/>
    <w:pPr>
      <w:spacing w:line="500" w:lineRule="exact"/>
    </w:pPr>
    <w:rPr>
      <w:b/>
      <w:bCs/>
      <w:kern w:val="0"/>
      <w:sz w:val="24"/>
    </w:rPr>
  </w:style>
  <w:style w:type="paragraph" w:styleId="7">
    <w:name w:val="Body Text"/>
    <w:basedOn w:val="1"/>
    <w:next w:val="8"/>
    <w:qFormat/>
    <w:uiPriority w:val="99"/>
    <w:pPr>
      <w:spacing w:after="120"/>
    </w:pPr>
    <w:rPr>
      <w:rFonts w:eastAsia="楷体_GB2312"/>
      <w:sz w:val="30"/>
    </w:rPr>
  </w:style>
  <w:style w:type="paragraph" w:styleId="8">
    <w:name w:val="Date"/>
    <w:basedOn w:val="1"/>
    <w:next w:val="1"/>
    <w:qFormat/>
    <w:uiPriority w:val="0"/>
    <w:rPr>
      <w:sz w:val="24"/>
    </w:rPr>
  </w:style>
  <w:style w:type="paragraph" w:styleId="9">
    <w:name w:val="Body Text Indent"/>
    <w:basedOn w:val="1"/>
    <w:qFormat/>
    <w:uiPriority w:val="0"/>
    <w:pPr>
      <w:ind w:firstLine="830" w:firstLineChars="352"/>
    </w:pPr>
    <w:rPr>
      <w:rFonts w:ascii="仿宋_GB2312" w:eastAsia="仿宋_GB2312"/>
      <w:kern w:val="0"/>
      <w:sz w:val="32"/>
      <w:szCs w:val="20"/>
    </w:rPr>
  </w:style>
  <w:style w:type="paragraph" w:styleId="10">
    <w:name w:val="Plain Text"/>
    <w:basedOn w:val="1"/>
    <w:next w:val="3"/>
    <w:qFormat/>
    <w:uiPriority w:val="0"/>
    <w:rPr>
      <w:rFonts w:ascii="宋体" w:hAnsi="Courier New" w:cs="Courier New"/>
      <w:szCs w:val="21"/>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黑体" w:hAnsi="Courier New" w:eastAsia="黑体" w:cs="Courier New"/>
      <w:kern w:val="0"/>
      <w:sz w:val="20"/>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styleId="17">
    <w:name w:val="List Paragraph"/>
    <w:basedOn w:val="1"/>
    <w:qFormat/>
    <w:uiPriority w:val="34"/>
    <w:pPr>
      <w:spacing w:line="240" w:lineRule="auto"/>
    </w:pPr>
    <w:rPr>
      <w:rFonts w:asciiTheme="minorHAnsi" w:hAnsiTheme="minorHAnsi" w:eastAsiaTheme="minorEastAsia" w:cstheme="minorBidi"/>
    </w:rPr>
  </w:style>
  <w:style w:type="paragraph" w:customStyle="1" w:styleId="18">
    <w:name w:val="表格文字"/>
    <w:basedOn w:val="1"/>
    <w:autoRedefine/>
    <w:qFormat/>
    <w:uiPriority w:val="99"/>
    <w:pPr>
      <w:spacing w:before="25" w:after="25"/>
      <w:jc w:val="left"/>
    </w:pPr>
    <w:rPr>
      <w:bCs/>
      <w:spacing w:val="10"/>
      <w:kern w:val="0"/>
      <w:sz w:val="24"/>
    </w:rPr>
  </w:style>
  <w:style w:type="paragraph" w:customStyle="1" w:styleId="19">
    <w:name w:val="列出段落1"/>
    <w:basedOn w:val="1"/>
    <w:autoRedefine/>
    <w:qFormat/>
    <w:uiPriority w:val="0"/>
    <w:pPr>
      <w:ind w:firstLine="420" w:firstLineChars="200"/>
    </w:pPr>
  </w:style>
  <w:style w:type="paragraph" w:styleId="20">
    <w:name w:val="No Spacing"/>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17700</Words>
  <Characters>20305</Characters>
  <Lines>0</Lines>
  <Paragraphs>0</Paragraphs>
  <TotalTime>18</TotalTime>
  <ScaleCrop>false</ScaleCrop>
  <LinksUpToDate>false</LinksUpToDate>
  <CharactersWithSpaces>20858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2024-09-18T07:08:00Z</dcterms:created>
  <dc:creator>○</dc:creator>
  <cp:lastModifiedBy>路小路</cp:lastModifiedBy>
  <dcterms:modified xsi:type="dcterms:W3CDTF">2024-09-24T10:37:50Z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0266E3502DE640A3B310C60D3C0623C1_13</vt:lpwstr>
  </property>
</Properties>
</file>