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52B9">
      <w:pPr>
        <w:spacing w:line="440" w:lineRule="exact"/>
        <w:jc w:val="both"/>
        <w:rPr>
          <w:rFonts w:ascii="宋体" w:hAnsi="宋体" w:cs="宋体"/>
          <w:b/>
          <w:color w:val="000000" w:themeColor="text1"/>
          <w:sz w:val="36"/>
          <w:szCs w:val="36"/>
          <w14:textFill>
            <w14:solidFill>
              <w14:schemeClr w14:val="tx1"/>
            </w14:solidFill>
          </w14:textFill>
        </w:rPr>
      </w:pPr>
      <w:bookmarkStart w:id="0" w:name="_GoBack"/>
      <w:bookmarkEnd w:id="0"/>
    </w:p>
    <w:p w14:paraId="26606956">
      <w:pPr>
        <w:spacing w:line="44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项目需求书</w:t>
      </w:r>
    </w:p>
    <w:p w14:paraId="5BB5D1E5">
      <w:pPr>
        <w:spacing w:line="440" w:lineRule="exact"/>
        <w:ind w:firstLine="723" w:firstLineChars="200"/>
        <w:jc w:val="center"/>
        <w:rPr>
          <w:rFonts w:ascii="仿宋" w:hAnsi="仿宋" w:eastAsia="仿宋"/>
          <w:b/>
          <w:color w:val="000000" w:themeColor="text1"/>
          <w:sz w:val="36"/>
          <w:szCs w:val="36"/>
          <w14:textFill>
            <w14:solidFill>
              <w14:schemeClr w14:val="tx1"/>
            </w14:solidFill>
          </w14:textFill>
        </w:rPr>
      </w:pPr>
    </w:p>
    <w:p w14:paraId="69422D3C">
      <w:pPr>
        <w:numPr>
          <w:ilvl w:val="0"/>
          <w:numId w:val="1"/>
        </w:num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项目概况</w:t>
      </w:r>
    </w:p>
    <w:p w14:paraId="2ACE37FB">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本项目拟遴选1家桶（瓶）装饮用水供应商</w:t>
      </w:r>
      <w:r>
        <w:rPr>
          <w:rFonts w:hint="eastAsia" w:ascii="宋体" w:hAnsi="宋体" w:cs="宋体"/>
          <w:color w:val="000000" w:themeColor="text1"/>
          <w:sz w:val="28"/>
          <w:szCs w:val="28"/>
          <w:lang w:val="en-US" w:eastAsia="zh-CN"/>
          <w14:textFill>
            <w14:solidFill>
              <w14:schemeClr w14:val="tx1"/>
            </w14:solidFill>
          </w14:textFill>
        </w:rPr>
        <w:t>配送服务，</w:t>
      </w:r>
      <w:r>
        <w:rPr>
          <w:rFonts w:hint="eastAsia" w:ascii="宋体" w:hAnsi="宋体" w:cs="宋体"/>
          <w:color w:val="000000" w:themeColor="text1"/>
          <w:sz w:val="28"/>
          <w:szCs w:val="28"/>
          <w14:textFill>
            <w14:solidFill>
              <w14:schemeClr w14:val="tx1"/>
            </w14:solidFill>
          </w14:textFill>
        </w:rPr>
        <w:t>负责为医院院区、其他办公场所及宿舍等提供饮用水，服务期</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年。</w:t>
      </w:r>
    </w:p>
    <w:p w14:paraId="44466236">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项目预算</w:t>
      </w:r>
    </w:p>
    <w:p w14:paraId="5B329D23">
      <w:pPr>
        <w:spacing w:line="600" w:lineRule="exact"/>
        <w:ind w:firstLine="56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本项目预算金额为人民币</w:t>
      </w:r>
      <w:r>
        <w:rPr>
          <w:rFonts w:hint="eastAsia" w:ascii="宋体" w:hAnsi="宋体" w:cs="宋体"/>
          <w:color w:val="000000" w:themeColor="text1"/>
          <w:sz w:val="28"/>
          <w:szCs w:val="28"/>
          <w:lang w:val="en-US" w:eastAsia="zh-CN"/>
          <w14:textFill>
            <w14:solidFill>
              <w14:schemeClr w14:val="tx1"/>
            </w14:solidFill>
          </w14:textFill>
        </w:rPr>
        <w:t>36万元（</w:t>
      </w:r>
      <w:r>
        <w:rPr>
          <w:rFonts w:hint="eastAsia" w:ascii="宋体" w:hAnsi="宋体" w:cs="宋体"/>
          <w:sz w:val="28"/>
          <w:szCs w:val="28"/>
          <w:lang w:val="en-US" w:eastAsia="zh-CN"/>
        </w:rPr>
        <w:t>12</w:t>
      </w:r>
      <w:r>
        <w:rPr>
          <w:rFonts w:hint="eastAsia" w:ascii="宋体" w:hAnsi="宋体" w:cs="宋体"/>
          <w:sz w:val="28"/>
          <w:szCs w:val="28"/>
        </w:rPr>
        <w:t>万</w:t>
      </w:r>
      <w:r>
        <w:rPr>
          <w:rFonts w:hint="eastAsia" w:ascii="宋体" w:hAnsi="宋体" w:cs="宋体"/>
          <w:color w:val="000000" w:themeColor="text1"/>
          <w:sz w:val="28"/>
          <w:szCs w:val="28"/>
          <w14:textFill>
            <w14:solidFill>
              <w14:schemeClr w14:val="tx1"/>
            </w14:solidFill>
          </w14:textFill>
        </w:rPr>
        <w:t>元/年</w:t>
      </w:r>
      <w:r>
        <w:rPr>
          <w:rFonts w:hint="eastAsia" w:ascii="宋体" w:hAnsi="宋体" w:cs="宋体"/>
          <w:color w:val="000000" w:themeColor="text1"/>
          <w:sz w:val="28"/>
          <w:szCs w:val="28"/>
          <w:lang w:val="en-US" w:eastAsia="zh-CN"/>
          <w14:textFill>
            <w14:solidFill>
              <w14:schemeClr w14:val="tx1"/>
            </w14:solidFill>
          </w14:textFill>
        </w:rPr>
        <w:t>）</w:t>
      </w:r>
    </w:p>
    <w:p w14:paraId="3FC33AA8">
      <w:pPr>
        <w:spacing w:line="600" w:lineRule="exact"/>
        <w:ind w:firstLine="56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三、资格要求</w:t>
      </w:r>
    </w:p>
    <w:p w14:paraId="3FAE0AE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1、满足《中华人民共和国政府采购法》第二十二条规定；</w:t>
      </w:r>
    </w:p>
    <w:p w14:paraId="12E64CBE">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、国内注册（指按工商管理有关规定要求核准登记的）依法取得营业执照，经营范围达到本次招标的需求；</w:t>
      </w:r>
    </w:p>
    <w:p w14:paraId="55357261">
      <w:pPr>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3、投标人为生产企业的应具有《食品生产许可证》；投标人为经销商应具备有效的</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食品经营许可证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或食品安全监督管理部门备案证明。</w:t>
      </w:r>
    </w:p>
    <w:p w14:paraId="4BFBDB1F">
      <w:pPr>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、本项目不接受联合体。</w:t>
      </w:r>
    </w:p>
    <w:p w14:paraId="181222DC">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四、采购需求</w:t>
      </w:r>
    </w:p>
    <w:p w14:paraId="68B656ED">
      <w:pPr>
        <w:spacing w:line="600" w:lineRule="exact"/>
        <w:ind w:firstLine="560" w:firstLineChars="200"/>
        <w:rPr>
          <w:rFonts w:hint="default" w:ascii="宋体" w:hAnsi="宋体" w:eastAsia="宋体" w:cs="宋体"/>
          <w:b w:val="0"/>
          <w:bCs/>
          <w:color w:val="000000" w:themeColor="text1"/>
          <w:sz w:val="28"/>
          <w:szCs w:val="28"/>
          <w:lang w:val="en-US" w:eastAsia="zh-CN"/>
          <w14:textFill>
            <w14:solidFill>
              <w14:schemeClr w14:val="tx1"/>
            </w14:solidFill>
          </w14:textFill>
        </w:rPr>
      </w:pPr>
      <w:r>
        <w:rPr>
          <w:rFonts w:hint="eastAsia" w:ascii="宋体" w:hAnsi="宋体" w:cs="宋体"/>
          <w:b w:val="0"/>
          <w:bCs/>
          <w:color w:val="000000" w:themeColor="text1"/>
          <w:sz w:val="28"/>
          <w:szCs w:val="28"/>
          <w:lang w:val="en-US" w:eastAsia="zh-CN"/>
          <w14:textFill>
            <w14:solidFill>
              <w14:schemeClr w14:val="tx1"/>
            </w14:solidFill>
          </w14:textFill>
        </w:rPr>
        <w:t>配送饮用水一批</w:t>
      </w:r>
    </w:p>
    <w:tbl>
      <w:tblPr>
        <w:tblStyle w:val="7"/>
        <w:tblW w:w="8386" w:type="dxa"/>
        <w:tblInd w:w="-210" w:type="dxa"/>
        <w:tblLayout w:type="autofit"/>
        <w:tblCellMar>
          <w:top w:w="0" w:type="dxa"/>
          <w:left w:w="108" w:type="dxa"/>
          <w:bottom w:w="0" w:type="dxa"/>
          <w:right w:w="108" w:type="dxa"/>
        </w:tblCellMar>
      </w:tblPr>
      <w:tblGrid>
        <w:gridCol w:w="457"/>
        <w:gridCol w:w="879"/>
        <w:gridCol w:w="472"/>
        <w:gridCol w:w="831"/>
        <w:gridCol w:w="944"/>
        <w:gridCol w:w="4803"/>
      </w:tblGrid>
      <w:tr w14:paraId="48BE3747">
        <w:tblPrEx>
          <w:tblCellMar>
            <w:top w:w="0" w:type="dxa"/>
            <w:left w:w="108" w:type="dxa"/>
            <w:bottom w:w="0" w:type="dxa"/>
            <w:right w:w="108" w:type="dxa"/>
          </w:tblCellMar>
        </w:tblPrEx>
        <w:trPr>
          <w:trHeight w:val="283"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56DEAE5D">
            <w:pPr>
              <w:widowControl/>
              <w:jc w:val="center"/>
              <w:rPr>
                <w:rFonts w:ascii="宋体" w:hAnsi="宋体"/>
                <w:b/>
                <w:bCs/>
                <w:color w:val="000000"/>
                <w:kern w:val="0"/>
                <w:sz w:val="24"/>
                <w:szCs w:val="24"/>
              </w:rPr>
            </w:pPr>
            <w:r>
              <w:rPr>
                <w:rFonts w:hint="eastAsia" w:ascii="宋体" w:hAnsi="宋体"/>
                <w:b/>
                <w:bCs/>
                <w:color w:val="000000"/>
                <w:sz w:val="24"/>
                <w:szCs w:val="24"/>
              </w:rPr>
              <w:t>序号</w:t>
            </w:r>
          </w:p>
        </w:tc>
        <w:tc>
          <w:tcPr>
            <w:tcW w:w="879" w:type="dxa"/>
            <w:tcBorders>
              <w:top w:val="single" w:color="auto" w:sz="4" w:space="0"/>
              <w:left w:val="nil"/>
              <w:bottom w:val="single" w:color="auto" w:sz="4" w:space="0"/>
              <w:right w:val="single" w:color="auto" w:sz="4" w:space="0"/>
            </w:tcBorders>
            <w:shd w:val="clear" w:color="auto" w:fill="auto"/>
            <w:vAlign w:val="center"/>
          </w:tcPr>
          <w:p w14:paraId="6B4D6B69">
            <w:pPr>
              <w:jc w:val="center"/>
              <w:rPr>
                <w:rFonts w:ascii="宋体" w:hAnsi="宋体"/>
                <w:b/>
                <w:bCs/>
                <w:color w:val="000000"/>
                <w:sz w:val="24"/>
                <w:szCs w:val="24"/>
              </w:rPr>
            </w:pPr>
            <w:r>
              <w:rPr>
                <w:rFonts w:hint="eastAsia" w:ascii="宋体" w:hAnsi="宋体"/>
                <w:b/>
                <w:bCs/>
                <w:color w:val="000000"/>
                <w:sz w:val="24"/>
                <w:szCs w:val="24"/>
              </w:rPr>
              <w:t>名称</w:t>
            </w:r>
          </w:p>
        </w:tc>
        <w:tc>
          <w:tcPr>
            <w:tcW w:w="472" w:type="dxa"/>
            <w:tcBorders>
              <w:top w:val="single" w:color="auto" w:sz="4" w:space="0"/>
              <w:left w:val="nil"/>
              <w:bottom w:val="single" w:color="auto" w:sz="4" w:space="0"/>
              <w:right w:val="single" w:color="auto" w:sz="4" w:space="0"/>
            </w:tcBorders>
            <w:shd w:val="clear" w:color="auto" w:fill="auto"/>
            <w:vAlign w:val="center"/>
          </w:tcPr>
          <w:p w14:paraId="1EE54503">
            <w:pPr>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单位</w:t>
            </w:r>
          </w:p>
        </w:tc>
        <w:tc>
          <w:tcPr>
            <w:tcW w:w="831" w:type="dxa"/>
            <w:tcBorders>
              <w:top w:val="single" w:color="auto" w:sz="4" w:space="0"/>
              <w:left w:val="nil"/>
              <w:bottom w:val="single" w:color="auto" w:sz="4" w:space="0"/>
              <w:right w:val="single" w:color="auto" w:sz="4" w:space="0"/>
            </w:tcBorders>
            <w:shd w:val="clear" w:color="auto" w:fill="auto"/>
            <w:vAlign w:val="center"/>
          </w:tcPr>
          <w:p w14:paraId="44110124">
            <w:pPr>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预估量</w:t>
            </w:r>
          </w:p>
        </w:tc>
        <w:tc>
          <w:tcPr>
            <w:tcW w:w="944" w:type="dxa"/>
            <w:tcBorders>
              <w:top w:val="single" w:color="auto" w:sz="4" w:space="0"/>
              <w:left w:val="nil"/>
              <w:bottom w:val="single" w:color="auto" w:sz="4" w:space="0"/>
              <w:right w:val="single" w:color="auto" w:sz="4" w:space="0"/>
            </w:tcBorders>
            <w:shd w:val="clear" w:color="auto" w:fill="auto"/>
            <w:vAlign w:val="center"/>
          </w:tcPr>
          <w:p w14:paraId="038409D7">
            <w:pPr>
              <w:jc w:val="both"/>
              <w:rPr>
                <w:rFonts w:hint="eastAsia" w:ascii="宋体" w:hAnsi="宋体" w:eastAsia="宋体" w:cs="Times New Roman"/>
                <w:b/>
                <w:bCs/>
                <w:color w:val="000000"/>
                <w:kern w:val="2"/>
                <w:sz w:val="24"/>
                <w:szCs w:val="24"/>
                <w:lang w:val="en-US" w:eastAsia="zh-CN" w:bidi="ar-SA"/>
              </w:rPr>
            </w:pPr>
            <w:r>
              <w:rPr>
                <w:rFonts w:hint="eastAsia" w:ascii="宋体" w:hAnsi="宋体"/>
                <w:b/>
                <w:bCs/>
                <w:color w:val="000000"/>
                <w:sz w:val="24"/>
                <w:szCs w:val="24"/>
                <w:lang w:val="en-US" w:eastAsia="zh-CN"/>
              </w:rPr>
              <w:t>预算金额（元）</w:t>
            </w:r>
          </w:p>
        </w:tc>
        <w:tc>
          <w:tcPr>
            <w:tcW w:w="4803" w:type="dxa"/>
            <w:tcBorders>
              <w:top w:val="single" w:color="auto" w:sz="4" w:space="0"/>
              <w:left w:val="nil"/>
              <w:bottom w:val="single" w:color="auto" w:sz="4" w:space="0"/>
              <w:right w:val="single" w:color="auto" w:sz="4" w:space="0"/>
            </w:tcBorders>
            <w:shd w:val="clear" w:color="auto" w:fill="auto"/>
            <w:vAlign w:val="center"/>
          </w:tcPr>
          <w:p w14:paraId="5EFA78CE">
            <w:pPr>
              <w:jc w:val="center"/>
              <w:rPr>
                <w:rFonts w:ascii="宋体" w:hAnsi="宋体"/>
                <w:b/>
                <w:bCs/>
                <w:color w:val="000000"/>
                <w:sz w:val="24"/>
                <w:szCs w:val="24"/>
              </w:rPr>
            </w:pPr>
            <w:r>
              <w:rPr>
                <w:rFonts w:hint="eastAsia" w:ascii="宋体" w:hAnsi="宋体"/>
                <w:b/>
                <w:bCs/>
                <w:color w:val="000000"/>
                <w:sz w:val="24"/>
                <w:szCs w:val="24"/>
              </w:rPr>
              <w:t>参数</w:t>
            </w:r>
          </w:p>
        </w:tc>
      </w:tr>
      <w:tr w14:paraId="357146D6">
        <w:tblPrEx>
          <w:tblCellMar>
            <w:top w:w="0" w:type="dxa"/>
            <w:left w:w="108" w:type="dxa"/>
            <w:bottom w:w="0" w:type="dxa"/>
            <w:right w:w="108" w:type="dxa"/>
          </w:tblCellMar>
        </w:tblPrEx>
        <w:trPr>
          <w:trHeight w:val="421" w:hRule="atLeast"/>
        </w:trPr>
        <w:tc>
          <w:tcPr>
            <w:tcW w:w="457" w:type="dxa"/>
            <w:tcBorders>
              <w:top w:val="nil"/>
              <w:left w:val="single" w:color="auto" w:sz="4" w:space="0"/>
              <w:bottom w:val="single" w:color="auto" w:sz="4" w:space="0"/>
              <w:right w:val="single" w:color="auto" w:sz="4" w:space="0"/>
            </w:tcBorders>
            <w:shd w:val="clear" w:color="auto" w:fill="auto"/>
            <w:vAlign w:val="center"/>
          </w:tcPr>
          <w:p w14:paraId="1653AB7D">
            <w:pPr>
              <w:jc w:val="center"/>
              <w:rPr>
                <w:rFonts w:ascii="宋体" w:hAnsi="宋体"/>
                <w:color w:val="000000"/>
                <w:sz w:val="24"/>
                <w:szCs w:val="24"/>
              </w:rPr>
            </w:pPr>
            <w:r>
              <w:rPr>
                <w:rFonts w:hint="eastAsia" w:ascii="宋体" w:hAnsi="宋体"/>
                <w:color w:val="000000"/>
                <w:sz w:val="24"/>
                <w:szCs w:val="24"/>
              </w:rPr>
              <w:t>1</w:t>
            </w:r>
          </w:p>
        </w:tc>
        <w:tc>
          <w:tcPr>
            <w:tcW w:w="879" w:type="dxa"/>
            <w:tcBorders>
              <w:top w:val="nil"/>
              <w:left w:val="nil"/>
              <w:bottom w:val="single" w:color="auto" w:sz="4" w:space="0"/>
              <w:right w:val="single" w:color="auto" w:sz="4" w:space="0"/>
            </w:tcBorders>
            <w:shd w:val="clear" w:color="auto" w:fill="auto"/>
            <w:vAlign w:val="center"/>
          </w:tcPr>
          <w:p w14:paraId="496AAEC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9929A23">
            <w:pPr>
              <w:keepNext w:val="0"/>
              <w:keepLines w:val="0"/>
              <w:widowControl/>
              <w:suppressLineNumbers w:val="0"/>
              <w:jc w:val="left"/>
              <w:rPr>
                <w:rFonts w:hint="default"/>
                <w:sz w:val="24"/>
                <w:szCs w:val="24"/>
                <w:lang w:val="en-US"/>
              </w:rPr>
            </w:pPr>
            <w:r>
              <w:rPr>
                <w:rFonts w:hint="eastAsia" w:ascii="宋体" w:hAnsi="宋体" w:eastAsia="宋体" w:cs="宋体"/>
                <w:color w:val="000000"/>
                <w:kern w:val="0"/>
                <w:sz w:val="24"/>
                <w:szCs w:val="24"/>
                <w:lang w:val="en-US" w:eastAsia="zh-CN" w:bidi="ar"/>
              </w:rPr>
              <w:t>桶装矿泉</w:t>
            </w:r>
            <w:r>
              <w:rPr>
                <w:rFonts w:hint="eastAsia" w:ascii="宋体" w:hAnsi="宋体" w:cs="宋体"/>
                <w:color w:val="000000"/>
                <w:kern w:val="0"/>
                <w:sz w:val="24"/>
                <w:szCs w:val="24"/>
                <w:lang w:val="en-US" w:eastAsia="zh-CN" w:bidi="ar"/>
              </w:rPr>
              <w:t>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p>
          <w:p w14:paraId="393AC260">
            <w:pPr>
              <w:jc w:val="center"/>
              <w:rPr>
                <w:rFonts w:ascii="宋体" w:hAnsi="宋体"/>
                <w:color w:val="000000"/>
                <w:sz w:val="24"/>
                <w:szCs w:val="24"/>
              </w:rPr>
            </w:pPr>
          </w:p>
        </w:tc>
        <w:tc>
          <w:tcPr>
            <w:tcW w:w="472" w:type="dxa"/>
            <w:tcBorders>
              <w:top w:val="nil"/>
              <w:left w:val="nil"/>
              <w:bottom w:val="single" w:color="auto" w:sz="4" w:space="0"/>
              <w:right w:val="single" w:color="auto" w:sz="4" w:space="0"/>
            </w:tcBorders>
            <w:shd w:val="clear" w:color="auto" w:fill="auto"/>
            <w:vAlign w:val="center"/>
          </w:tcPr>
          <w:p w14:paraId="694F333F">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nil"/>
              <w:left w:val="nil"/>
              <w:bottom w:val="single" w:color="auto" w:sz="4" w:space="0"/>
              <w:right w:val="single" w:color="auto" w:sz="4" w:space="0"/>
            </w:tcBorders>
            <w:shd w:val="clear" w:color="auto" w:fill="auto"/>
            <w:vAlign w:val="center"/>
          </w:tcPr>
          <w:p w14:paraId="4661F542">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3000</w:t>
            </w:r>
          </w:p>
        </w:tc>
        <w:tc>
          <w:tcPr>
            <w:tcW w:w="944" w:type="dxa"/>
            <w:tcBorders>
              <w:top w:val="nil"/>
              <w:left w:val="nil"/>
              <w:bottom w:val="single" w:color="auto" w:sz="4" w:space="0"/>
              <w:right w:val="single" w:color="auto" w:sz="4" w:space="0"/>
            </w:tcBorders>
            <w:shd w:val="clear" w:color="auto" w:fill="auto"/>
            <w:vAlign w:val="center"/>
          </w:tcPr>
          <w:p w14:paraId="4E8ED813">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100000</w:t>
            </w:r>
          </w:p>
        </w:tc>
        <w:tc>
          <w:tcPr>
            <w:tcW w:w="4803" w:type="dxa"/>
            <w:tcBorders>
              <w:top w:val="nil"/>
              <w:left w:val="nil"/>
              <w:bottom w:val="single" w:color="auto" w:sz="4" w:space="0"/>
              <w:right w:val="single" w:color="auto" w:sz="4" w:space="0"/>
            </w:tcBorders>
            <w:shd w:val="clear" w:color="auto" w:fill="auto"/>
            <w:vAlign w:val="center"/>
          </w:tcPr>
          <w:p w14:paraId="54D074F3">
            <w:pPr>
              <w:numPr>
                <w:ilvl w:val="0"/>
                <w:numId w:val="2"/>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桶装矿泉</w:t>
            </w:r>
            <w:r>
              <w:rPr>
                <w:rFonts w:hint="eastAsia" w:ascii="宋体" w:hAnsi="宋体" w:cs="宋体"/>
                <w:color w:val="000000"/>
                <w:kern w:val="0"/>
                <w:sz w:val="24"/>
                <w:szCs w:val="24"/>
                <w:lang w:val="en-US" w:eastAsia="zh-CN" w:bidi="ar"/>
              </w:rPr>
              <w:t>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r>
              <w:rPr>
                <w:rFonts w:hint="eastAsia" w:ascii="宋体" w:hAnsi="宋体" w:cs="宋体"/>
                <w:color w:val="000000"/>
                <w:kern w:val="0"/>
                <w:sz w:val="24"/>
                <w:szCs w:val="24"/>
                <w:lang w:val="en-US" w:eastAsia="zh-CN" w:bidi="ar"/>
              </w:rPr>
              <w:t>，</w:t>
            </w:r>
            <w:r>
              <w:rPr>
                <w:rFonts w:hint="eastAsia" w:ascii="宋体" w:hAnsi="宋体"/>
                <w:color w:val="000000"/>
                <w:sz w:val="24"/>
                <w:szCs w:val="24"/>
                <w:lang w:val="en-US" w:eastAsia="zh-CN"/>
              </w:rPr>
              <w:t xml:space="preserve">规格 </w:t>
            </w:r>
            <w:r>
              <w:rPr>
                <w:rFonts w:hint="eastAsia" w:ascii="宋体" w:hAnsi="宋体" w:eastAsia="宋体" w:cs="宋体"/>
                <w:color w:val="auto"/>
                <w:sz w:val="24"/>
                <w:szCs w:val="24"/>
              </w:rPr>
              <w:t>≥</w:t>
            </w:r>
            <w:r>
              <w:rPr>
                <w:rFonts w:hint="eastAsia" w:ascii="宋体" w:hAnsi="宋体"/>
                <w:color w:val="000000"/>
                <w:sz w:val="24"/>
                <w:szCs w:val="24"/>
                <w:lang w:val="en-US" w:eastAsia="zh-CN"/>
              </w:rPr>
              <w:t xml:space="preserve">18L/桶 </w:t>
            </w:r>
          </w:p>
          <w:p w14:paraId="00283DA0">
            <w:pPr>
              <w:numPr>
                <w:ilvl w:val="0"/>
                <w:numId w:val="2"/>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GB19298-2014》或《食品安全国家标准饮用天然矿泉水 GB8537-2018》;</w:t>
            </w:r>
          </w:p>
          <w:p w14:paraId="4AA39C79">
            <w:pPr>
              <w:numPr>
                <w:ilvl w:val="0"/>
                <w:numId w:val="2"/>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配送的桶装水须有密封性外包装，所有的水桶必须达到国家卫生要求的，桶的表面保持洁净污垢，商标清晰、规范。</w:t>
            </w:r>
          </w:p>
          <w:p w14:paraId="42890456">
            <w:pPr>
              <w:numPr>
                <w:ilvl w:val="0"/>
                <w:numId w:val="2"/>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含有一定量的矿物盐和微量元素等。</w:t>
            </w:r>
          </w:p>
          <w:p w14:paraId="6083FA9E">
            <w:pPr>
              <w:pStyle w:val="2"/>
              <w:numPr>
                <w:ilvl w:val="0"/>
                <w:numId w:val="0"/>
              </w:numPr>
              <w:ind w:leftChars="0"/>
              <w:rPr>
                <w:rFonts w:hint="eastAsia"/>
              </w:rPr>
            </w:pPr>
          </w:p>
        </w:tc>
      </w:tr>
      <w:tr w14:paraId="4074981E">
        <w:tblPrEx>
          <w:tblCellMar>
            <w:top w:w="0" w:type="dxa"/>
            <w:left w:w="108" w:type="dxa"/>
            <w:bottom w:w="0" w:type="dxa"/>
            <w:right w:w="108" w:type="dxa"/>
          </w:tblCellMar>
        </w:tblPrEx>
        <w:trPr>
          <w:trHeight w:val="421" w:hRule="atLeast"/>
        </w:trPr>
        <w:tc>
          <w:tcPr>
            <w:tcW w:w="457" w:type="dxa"/>
            <w:tcBorders>
              <w:top w:val="nil"/>
              <w:left w:val="single" w:color="auto" w:sz="4" w:space="0"/>
              <w:bottom w:val="single" w:color="auto" w:sz="4" w:space="0"/>
              <w:right w:val="single" w:color="auto" w:sz="4" w:space="0"/>
            </w:tcBorders>
            <w:shd w:val="clear" w:color="auto" w:fill="auto"/>
            <w:vAlign w:val="center"/>
          </w:tcPr>
          <w:p w14:paraId="2585B23E">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879" w:type="dxa"/>
            <w:tcBorders>
              <w:top w:val="nil"/>
              <w:left w:val="nil"/>
              <w:bottom w:val="single" w:color="auto" w:sz="4" w:space="0"/>
              <w:right w:val="single" w:color="auto" w:sz="4" w:space="0"/>
            </w:tcBorders>
            <w:shd w:val="clear" w:color="auto" w:fill="auto"/>
            <w:vAlign w:val="center"/>
          </w:tcPr>
          <w:p w14:paraId="3B6AC6DF">
            <w:pPr>
              <w:jc w:val="center"/>
              <w:rPr>
                <w:rFonts w:ascii="宋体" w:hAnsi="宋体"/>
                <w:color w:val="000000"/>
                <w:sz w:val="24"/>
                <w:szCs w:val="24"/>
              </w:rPr>
            </w:pPr>
            <w:r>
              <w:rPr>
                <w:rFonts w:hint="eastAsia" w:ascii="宋体" w:hAnsi="宋体" w:eastAsia="宋体" w:cs="宋体"/>
                <w:color w:val="000000"/>
                <w:kern w:val="0"/>
                <w:sz w:val="24"/>
                <w:szCs w:val="24"/>
                <w:lang w:val="en-US" w:eastAsia="zh-CN" w:bidi="ar"/>
              </w:rPr>
              <w:t>桶装</w:t>
            </w:r>
            <w:r>
              <w:rPr>
                <w:rFonts w:hint="eastAsia" w:ascii="宋体" w:hAnsi="宋体" w:cs="宋体"/>
                <w:color w:val="000000"/>
                <w:kern w:val="0"/>
                <w:sz w:val="24"/>
                <w:szCs w:val="24"/>
                <w:lang w:val="en-US" w:eastAsia="zh-CN" w:bidi="ar"/>
              </w:rPr>
              <w:t>纯净水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p>
        </w:tc>
        <w:tc>
          <w:tcPr>
            <w:tcW w:w="472" w:type="dxa"/>
            <w:tcBorders>
              <w:top w:val="nil"/>
              <w:left w:val="nil"/>
              <w:bottom w:val="single" w:color="auto" w:sz="4" w:space="0"/>
              <w:right w:val="single" w:color="auto" w:sz="4" w:space="0"/>
            </w:tcBorders>
            <w:shd w:val="clear" w:color="auto" w:fill="auto"/>
            <w:vAlign w:val="center"/>
          </w:tcPr>
          <w:p w14:paraId="2845A2AE">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nil"/>
              <w:left w:val="nil"/>
              <w:bottom w:val="single" w:color="auto" w:sz="4" w:space="0"/>
              <w:right w:val="single" w:color="auto" w:sz="4" w:space="0"/>
            </w:tcBorders>
            <w:shd w:val="clear" w:color="auto" w:fill="auto"/>
            <w:vAlign w:val="center"/>
          </w:tcPr>
          <w:p w14:paraId="25C7FB09">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18000</w:t>
            </w:r>
          </w:p>
        </w:tc>
        <w:tc>
          <w:tcPr>
            <w:tcW w:w="944" w:type="dxa"/>
            <w:tcBorders>
              <w:top w:val="nil"/>
              <w:left w:val="nil"/>
              <w:bottom w:val="single" w:color="auto" w:sz="4" w:space="0"/>
              <w:right w:val="single" w:color="auto" w:sz="4" w:space="0"/>
            </w:tcBorders>
            <w:shd w:val="clear" w:color="auto" w:fill="auto"/>
            <w:vAlign w:val="center"/>
          </w:tcPr>
          <w:p w14:paraId="51FC4473">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220000</w:t>
            </w:r>
          </w:p>
        </w:tc>
        <w:tc>
          <w:tcPr>
            <w:tcW w:w="4803" w:type="dxa"/>
            <w:tcBorders>
              <w:top w:val="nil"/>
              <w:left w:val="nil"/>
              <w:bottom w:val="single" w:color="auto" w:sz="4" w:space="0"/>
              <w:right w:val="single" w:color="auto" w:sz="4" w:space="0"/>
            </w:tcBorders>
            <w:shd w:val="clear" w:color="auto" w:fill="auto"/>
            <w:vAlign w:val="center"/>
          </w:tcPr>
          <w:p w14:paraId="23A1023E">
            <w:pPr>
              <w:numPr>
                <w:ilvl w:val="0"/>
                <w:numId w:val="3"/>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桶装</w:t>
            </w:r>
            <w:r>
              <w:rPr>
                <w:rFonts w:hint="eastAsia" w:ascii="宋体" w:hAnsi="宋体" w:cs="宋体"/>
                <w:color w:val="000000"/>
                <w:kern w:val="0"/>
                <w:sz w:val="24"/>
                <w:szCs w:val="24"/>
                <w:lang w:val="en-US" w:eastAsia="zh-CN" w:bidi="ar"/>
              </w:rPr>
              <w:t>纯净水</w:t>
            </w:r>
            <w:r>
              <w:rPr>
                <w:rFonts w:hint="eastAsia" w:ascii="宋体" w:hAnsi="宋体" w:eastAsia="宋体" w:cs="宋体"/>
                <w:color w:val="000000"/>
                <w:kern w:val="0"/>
                <w:sz w:val="24"/>
                <w:szCs w:val="24"/>
                <w:lang w:val="en-US" w:eastAsia="zh-CN" w:bidi="ar"/>
              </w:rPr>
              <w:t>或</w:t>
            </w:r>
            <w:r>
              <w:rPr>
                <w:rFonts w:hint="eastAsia" w:ascii="宋体" w:hAnsi="宋体" w:cs="宋体"/>
                <w:color w:val="000000"/>
                <w:kern w:val="0"/>
                <w:sz w:val="24"/>
                <w:szCs w:val="24"/>
                <w:lang w:val="en-US" w:eastAsia="zh-CN" w:bidi="ar"/>
              </w:rPr>
              <w:t>天然</w:t>
            </w:r>
            <w:r>
              <w:rPr>
                <w:rFonts w:hint="eastAsia" w:ascii="宋体" w:hAnsi="宋体" w:eastAsia="宋体" w:cs="宋体"/>
                <w:color w:val="000000"/>
                <w:kern w:val="0"/>
                <w:sz w:val="24"/>
                <w:szCs w:val="24"/>
                <w:lang w:val="en-US" w:eastAsia="zh-CN" w:bidi="ar"/>
              </w:rPr>
              <w:t>泉水</w:t>
            </w:r>
            <w:r>
              <w:rPr>
                <w:rFonts w:hint="eastAsia" w:ascii="宋体" w:hAnsi="宋体" w:cs="宋体"/>
                <w:color w:val="000000"/>
                <w:kern w:val="0"/>
                <w:sz w:val="24"/>
                <w:szCs w:val="24"/>
                <w:lang w:val="en-US" w:eastAsia="zh-CN" w:bidi="ar"/>
              </w:rPr>
              <w:t>，</w:t>
            </w:r>
            <w:r>
              <w:rPr>
                <w:rFonts w:hint="eastAsia" w:ascii="宋体" w:hAnsi="宋体"/>
                <w:color w:val="000000"/>
                <w:sz w:val="24"/>
                <w:szCs w:val="24"/>
                <w:lang w:val="en-US" w:eastAsia="zh-CN"/>
              </w:rPr>
              <w:t xml:space="preserve">规格 </w:t>
            </w:r>
            <w:r>
              <w:rPr>
                <w:rFonts w:hint="eastAsia" w:ascii="宋体" w:hAnsi="宋体" w:eastAsia="宋体" w:cs="宋体"/>
                <w:color w:val="auto"/>
                <w:sz w:val="24"/>
                <w:szCs w:val="24"/>
              </w:rPr>
              <w:t>≥</w:t>
            </w:r>
            <w:r>
              <w:rPr>
                <w:rFonts w:hint="eastAsia" w:ascii="宋体" w:hAnsi="宋体"/>
                <w:color w:val="000000"/>
                <w:sz w:val="24"/>
                <w:szCs w:val="24"/>
                <w:lang w:val="en-US" w:eastAsia="zh-CN"/>
              </w:rPr>
              <w:t xml:space="preserve">18L/桶 </w:t>
            </w:r>
          </w:p>
          <w:p w14:paraId="1F6074D4">
            <w:pPr>
              <w:numPr>
                <w:ilvl w:val="0"/>
                <w:numId w:val="3"/>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GB19298-2014》或《食品安全国家标准饮用天然矿泉水 GB8537-2018》;</w:t>
            </w:r>
          </w:p>
          <w:p w14:paraId="56A607C7">
            <w:pPr>
              <w:numPr>
                <w:ilvl w:val="0"/>
                <w:numId w:val="3"/>
              </w:numPr>
              <w:ind w:left="0" w:leftChars="0" w:firstLine="0" w:firstLine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配送的桶装水须有密封性外包装，所有的水桶必须达到国家卫生要求的，桶的表面保持洁净污垢，商标清晰、规范。</w:t>
            </w:r>
          </w:p>
          <w:p w14:paraId="33DA2A1E">
            <w:pPr>
              <w:numPr>
                <w:ilvl w:val="0"/>
                <w:numId w:val="0"/>
              </w:numPr>
              <w:ind w:leftChars="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4.含有一定量的矿物盐和微量元素等。</w:t>
            </w:r>
          </w:p>
        </w:tc>
      </w:tr>
      <w:tr w14:paraId="53ABFFCD">
        <w:tblPrEx>
          <w:tblCellMar>
            <w:top w:w="0" w:type="dxa"/>
            <w:left w:w="108" w:type="dxa"/>
            <w:bottom w:w="0" w:type="dxa"/>
            <w:right w:w="108" w:type="dxa"/>
          </w:tblCellMar>
        </w:tblPrEx>
        <w:trPr>
          <w:trHeight w:val="1001"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7E338DFF">
            <w:pPr>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879" w:type="dxa"/>
            <w:tcBorders>
              <w:top w:val="single" w:color="auto" w:sz="4" w:space="0"/>
              <w:left w:val="nil"/>
              <w:bottom w:val="single" w:color="auto" w:sz="4" w:space="0"/>
              <w:right w:val="single" w:color="auto" w:sz="4" w:space="0"/>
            </w:tcBorders>
            <w:shd w:val="clear" w:color="auto" w:fill="auto"/>
            <w:vAlign w:val="center"/>
          </w:tcPr>
          <w:p w14:paraId="0BAEB84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1B5DDEF">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瓶装矿泉水或山泉水</w:t>
            </w:r>
          </w:p>
          <w:p w14:paraId="68A84BF5">
            <w:pPr>
              <w:jc w:val="center"/>
              <w:rPr>
                <w:rFonts w:ascii="宋体" w:hAnsi="宋体"/>
                <w:color w:val="000000"/>
                <w:sz w:val="24"/>
                <w:szCs w:val="24"/>
              </w:rPr>
            </w:pPr>
          </w:p>
        </w:tc>
        <w:tc>
          <w:tcPr>
            <w:tcW w:w="472" w:type="dxa"/>
            <w:tcBorders>
              <w:top w:val="single" w:color="auto" w:sz="4" w:space="0"/>
              <w:left w:val="nil"/>
              <w:bottom w:val="single" w:color="auto" w:sz="4" w:space="0"/>
              <w:right w:val="single" w:color="auto" w:sz="4" w:space="0"/>
            </w:tcBorders>
            <w:shd w:val="clear" w:color="auto" w:fill="auto"/>
            <w:vAlign w:val="center"/>
          </w:tcPr>
          <w:p w14:paraId="00EF7070">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瓶</w:t>
            </w:r>
          </w:p>
        </w:tc>
        <w:tc>
          <w:tcPr>
            <w:tcW w:w="831" w:type="dxa"/>
            <w:tcBorders>
              <w:top w:val="single" w:color="auto" w:sz="4" w:space="0"/>
              <w:left w:val="nil"/>
              <w:bottom w:val="single" w:color="auto" w:sz="4" w:space="0"/>
              <w:right w:val="single" w:color="auto" w:sz="4" w:space="0"/>
            </w:tcBorders>
            <w:shd w:val="clear" w:color="auto" w:fill="auto"/>
            <w:vAlign w:val="center"/>
          </w:tcPr>
          <w:p w14:paraId="0D271887">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15000</w:t>
            </w:r>
          </w:p>
        </w:tc>
        <w:tc>
          <w:tcPr>
            <w:tcW w:w="944" w:type="dxa"/>
            <w:tcBorders>
              <w:top w:val="single" w:color="auto" w:sz="4" w:space="0"/>
              <w:left w:val="nil"/>
              <w:bottom w:val="single" w:color="auto" w:sz="4" w:space="0"/>
              <w:right w:val="single" w:color="auto" w:sz="4" w:space="0"/>
            </w:tcBorders>
            <w:shd w:val="clear" w:color="auto" w:fill="auto"/>
            <w:vAlign w:val="center"/>
          </w:tcPr>
          <w:p w14:paraId="3B027D11">
            <w:pPr>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30000</w:t>
            </w:r>
          </w:p>
        </w:tc>
        <w:tc>
          <w:tcPr>
            <w:tcW w:w="4803" w:type="dxa"/>
            <w:tcBorders>
              <w:top w:val="single" w:color="auto" w:sz="4" w:space="0"/>
              <w:left w:val="nil"/>
              <w:bottom w:val="single" w:color="auto" w:sz="4" w:space="0"/>
              <w:right w:val="single" w:color="auto" w:sz="4" w:space="0"/>
            </w:tcBorders>
            <w:shd w:val="clear" w:color="auto" w:fill="auto"/>
            <w:vAlign w:val="center"/>
          </w:tcPr>
          <w:p w14:paraId="257E1473">
            <w:pPr>
              <w:jc w:val="left"/>
              <w:rPr>
                <w:rFonts w:hint="eastAsia" w:ascii="宋体" w:hAnsi="宋体"/>
                <w:color w:val="0000FF"/>
                <w:sz w:val="24"/>
                <w:szCs w:val="24"/>
                <w:lang w:val="en-US" w:eastAsia="zh-CN"/>
              </w:rPr>
            </w:pPr>
          </w:p>
          <w:p w14:paraId="18D620C2">
            <w:pPr>
              <w:keepNext w:val="0"/>
              <w:keepLines w:val="0"/>
              <w:widowControl/>
              <w:suppressLineNumbers w:val="0"/>
              <w:jc w:val="left"/>
              <w:rPr>
                <w:rFonts w:hint="eastAsia" w:ascii="宋体" w:hAnsi="宋体"/>
                <w:color w:val="000000"/>
                <w:sz w:val="24"/>
                <w:szCs w:val="24"/>
                <w:lang w:val="en-US" w:eastAsia="zh-CN"/>
              </w:rPr>
            </w:pPr>
            <w:r>
              <w:rPr>
                <w:rFonts w:hint="default" w:ascii="宋体" w:hAnsi="宋体"/>
                <w:color w:val="000000"/>
                <w:sz w:val="24"/>
                <w:szCs w:val="24"/>
                <w:lang w:eastAsia="zh-CN"/>
              </w:rPr>
              <w:t>1.</w:t>
            </w:r>
            <w:r>
              <w:rPr>
                <w:rFonts w:hint="eastAsia" w:ascii="宋体" w:hAnsi="宋体"/>
                <w:color w:val="000000"/>
                <w:sz w:val="24"/>
                <w:szCs w:val="24"/>
                <w:lang w:val="en-US" w:eastAsia="zh-CN"/>
              </w:rPr>
              <w:t xml:space="preserve"> </w:t>
            </w:r>
            <w:r>
              <w:rPr>
                <w:rFonts w:hint="eastAsia" w:ascii="宋体" w:hAnsi="宋体" w:eastAsia="宋体" w:cs="宋体"/>
                <w:color w:val="000000"/>
                <w:kern w:val="0"/>
                <w:sz w:val="24"/>
                <w:szCs w:val="24"/>
                <w:lang w:val="en-US" w:eastAsia="zh-CN" w:bidi="ar"/>
              </w:rPr>
              <w:t>瓶装矿泉水或山泉水</w:t>
            </w:r>
            <w:r>
              <w:rPr>
                <w:rFonts w:hint="eastAsia" w:ascii="宋体" w:hAnsi="宋体"/>
                <w:color w:val="000000"/>
                <w:sz w:val="24"/>
                <w:szCs w:val="24"/>
                <w:lang w:val="en-US" w:eastAsia="zh-CN"/>
              </w:rPr>
              <w:t xml:space="preserve"> 规格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35</w:t>
            </w:r>
            <w:r>
              <w:rPr>
                <w:rFonts w:hint="eastAsia" w:ascii="宋体" w:hAnsi="宋体" w:eastAsia="宋体" w:cs="宋体"/>
                <w:color w:val="auto"/>
                <w:sz w:val="24"/>
                <w:szCs w:val="24"/>
                <w:lang w:val="en-US" w:eastAsia="zh-CN"/>
              </w:rPr>
              <w:t>0ml/瓶</w:t>
            </w:r>
            <w:r>
              <w:rPr>
                <w:rFonts w:hint="eastAsia" w:ascii="宋体" w:hAnsi="宋体" w:cs="宋体"/>
                <w:color w:val="auto"/>
                <w:sz w:val="24"/>
                <w:szCs w:val="24"/>
                <w:lang w:val="en-US" w:eastAsia="zh-CN"/>
              </w:rPr>
              <w:t>，</w:t>
            </w:r>
          </w:p>
          <w:p w14:paraId="06350DC7">
            <w:pPr>
              <w:numPr>
                <w:ilvl w:val="0"/>
                <w:numId w:val="0"/>
              </w:numPr>
              <w:jc w:val="left"/>
              <w:rPr>
                <w:rFonts w:hint="eastAsia" w:ascii="宋体" w:hAnsi="宋体"/>
                <w:color w:val="000000"/>
                <w:sz w:val="24"/>
                <w:szCs w:val="24"/>
              </w:rPr>
            </w:pPr>
            <w:r>
              <w:rPr>
                <w:rFonts w:hint="default" w:ascii="宋体" w:hAnsi="宋体"/>
                <w:color w:val="000000"/>
                <w:sz w:val="24"/>
                <w:szCs w:val="24"/>
                <w:lang w:eastAsia="zh-CN"/>
              </w:rPr>
              <w:t>2.</w:t>
            </w:r>
            <w:r>
              <w:rPr>
                <w:rFonts w:hint="eastAsia" w:ascii="宋体" w:hAnsi="宋体"/>
                <w:color w:val="000000"/>
                <w:sz w:val="24"/>
                <w:szCs w:val="24"/>
                <w:lang w:val="en-US" w:eastAsia="zh-CN"/>
              </w:rPr>
              <w:t>须符合《食品安全国家标准包装饮用水 GB19298-2014》或《食品安全国家标准饮用天然矿泉水 GB8537-2018》;</w:t>
            </w:r>
          </w:p>
          <w:p w14:paraId="24E444FC">
            <w:pPr>
              <w:numPr>
                <w:ilvl w:val="0"/>
                <w:numId w:val="0"/>
              </w:numPr>
              <w:ind w:leftChars="0"/>
              <w:jc w:val="left"/>
              <w:rPr>
                <w:rFonts w:hint="eastAsia" w:ascii="宋体" w:hAnsi="宋体"/>
                <w:color w:val="000000"/>
                <w:sz w:val="24"/>
                <w:szCs w:val="24"/>
                <w:lang w:val="en-US" w:eastAsia="zh-CN"/>
              </w:rPr>
            </w:pPr>
            <w:r>
              <w:rPr>
                <w:rFonts w:hint="default" w:ascii="宋体" w:hAnsi="宋体"/>
                <w:color w:val="000000"/>
                <w:sz w:val="24"/>
                <w:szCs w:val="24"/>
                <w:lang w:eastAsia="zh-CN"/>
              </w:rPr>
              <w:t>3.</w:t>
            </w:r>
            <w:r>
              <w:rPr>
                <w:rFonts w:hint="eastAsia" w:ascii="宋体" w:hAnsi="宋体"/>
                <w:color w:val="000000"/>
                <w:sz w:val="24"/>
                <w:szCs w:val="24"/>
                <w:lang w:val="en-US" w:eastAsia="zh-CN"/>
              </w:rPr>
              <w:t>所有的水瓶必须达到国家卫生要求的，瓶的表面保持洁净污垢，商标清晰、规范。</w:t>
            </w:r>
          </w:p>
          <w:p w14:paraId="63B07DC5">
            <w:pPr>
              <w:jc w:val="left"/>
              <w:rPr>
                <w:rFonts w:hint="eastAsia" w:ascii="宋体" w:hAnsi="宋体"/>
                <w:color w:val="000000"/>
                <w:sz w:val="24"/>
                <w:szCs w:val="24"/>
              </w:rPr>
            </w:pPr>
            <w:r>
              <w:rPr>
                <w:rFonts w:hint="eastAsia" w:ascii="宋体" w:hAnsi="宋体"/>
                <w:color w:val="000000"/>
                <w:sz w:val="24"/>
                <w:szCs w:val="24"/>
                <w:lang w:val="en-US" w:eastAsia="zh-CN"/>
              </w:rPr>
              <w:t>4.含有一定量的矿物盐和微量元素等。</w:t>
            </w:r>
          </w:p>
        </w:tc>
      </w:tr>
      <w:tr w14:paraId="66068480">
        <w:tblPrEx>
          <w:tblCellMar>
            <w:top w:w="0" w:type="dxa"/>
            <w:left w:w="108" w:type="dxa"/>
            <w:bottom w:w="0" w:type="dxa"/>
            <w:right w:w="108" w:type="dxa"/>
          </w:tblCellMar>
        </w:tblPrEx>
        <w:trPr>
          <w:trHeight w:val="2112"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14:paraId="4B48B72D">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4</w:t>
            </w:r>
          </w:p>
        </w:tc>
        <w:tc>
          <w:tcPr>
            <w:tcW w:w="879" w:type="dxa"/>
            <w:tcBorders>
              <w:top w:val="single" w:color="auto" w:sz="4" w:space="0"/>
              <w:left w:val="nil"/>
              <w:bottom w:val="single" w:color="auto" w:sz="4" w:space="0"/>
              <w:right w:val="single" w:color="auto" w:sz="4" w:space="0"/>
            </w:tcBorders>
            <w:shd w:val="clear" w:color="auto" w:fill="auto"/>
            <w:vAlign w:val="center"/>
          </w:tcPr>
          <w:p w14:paraId="4C05F8FD">
            <w:pPr>
              <w:jc w:val="both"/>
              <w:rPr>
                <w:rFonts w:hint="default" w:ascii="宋体" w:hAnsi="宋体" w:eastAsia="宋体"/>
                <w:color w:val="000000"/>
                <w:sz w:val="24"/>
                <w:szCs w:val="24"/>
                <w:lang w:val="en-US" w:eastAsia="zh-CN"/>
              </w:rPr>
            </w:pPr>
          </w:p>
          <w:p w14:paraId="7D53F497">
            <w:pPr>
              <w:pStyle w:val="2"/>
              <w:rPr>
                <w:rFonts w:hint="default"/>
                <w:lang w:val="en-US" w:eastAsia="zh-CN"/>
              </w:rPr>
            </w:pPr>
            <w:r>
              <w:rPr>
                <w:rFonts w:hint="eastAsia" w:ascii="宋体" w:hAnsi="宋体" w:eastAsia="宋体" w:cs="宋体"/>
                <w:color w:val="000000"/>
                <w:kern w:val="0"/>
                <w:sz w:val="24"/>
                <w:szCs w:val="24"/>
                <w:lang w:val="en-US" w:eastAsia="zh-CN" w:bidi="ar"/>
              </w:rPr>
              <w:t>纯净水</w:t>
            </w:r>
          </w:p>
        </w:tc>
        <w:tc>
          <w:tcPr>
            <w:tcW w:w="472" w:type="dxa"/>
            <w:tcBorders>
              <w:top w:val="single" w:color="auto" w:sz="4" w:space="0"/>
              <w:left w:val="nil"/>
              <w:bottom w:val="single" w:color="auto" w:sz="4" w:space="0"/>
              <w:right w:val="single" w:color="auto" w:sz="4" w:space="0"/>
            </w:tcBorders>
            <w:shd w:val="clear" w:color="auto" w:fill="auto"/>
            <w:vAlign w:val="center"/>
          </w:tcPr>
          <w:p w14:paraId="7763669C">
            <w:pPr>
              <w:jc w:val="center"/>
              <w:rPr>
                <w:rFonts w:hint="default" w:ascii="宋体" w:hAnsi="宋体"/>
                <w:color w:val="000000"/>
                <w:sz w:val="24"/>
                <w:szCs w:val="24"/>
                <w:lang w:val="en-US" w:eastAsia="zh-CN"/>
              </w:rPr>
            </w:pPr>
            <w:r>
              <w:rPr>
                <w:rFonts w:hint="eastAsia" w:ascii="宋体" w:hAnsi="宋体"/>
                <w:color w:val="000000"/>
                <w:sz w:val="24"/>
                <w:szCs w:val="24"/>
                <w:lang w:val="en-US" w:eastAsia="zh-CN"/>
              </w:rPr>
              <w:t>桶</w:t>
            </w:r>
          </w:p>
        </w:tc>
        <w:tc>
          <w:tcPr>
            <w:tcW w:w="831" w:type="dxa"/>
            <w:tcBorders>
              <w:top w:val="single" w:color="auto" w:sz="4" w:space="0"/>
              <w:left w:val="nil"/>
              <w:bottom w:val="single" w:color="auto" w:sz="4" w:space="0"/>
              <w:right w:val="single" w:color="auto" w:sz="4" w:space="0"/>
            </w:tcBorders>
            <w:shd w:val="clear" w:color="auto" w:fill="auto"/>
            <w:vAlign w:val="center"/>
          </w:tcPr>
          <w:p w14:paraId="31D02476">
            <w:pPr>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360</w:t>
            </w:r>
          </w:p>
        </w:tc>
        <w:tc>
          <w:tcPr>
            <w:tcW w:w="944" w:type="dxa"/>
            <w:tcBorders>
              <w:top w:val="single" w:color="auto" w:sz="4" w:space="0"/>
              <w:left w:val="nil"/>
              <w:bottom w:val="single" w:color="auto" w:sz="4" w:space="0"/>
              <w:right w:val="single" w:color="auto" w:sz="4" w:space="0"/>
            </w:tcBorders>
            <w:shd w:val="clear" w:color="auto" w:fill="auto"/>
            <w:vAlign w:val="center"/>
          </w:tcPr>
          <w:p w14:paraId="3EEDA57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10000</w:t>
            </w:r>
          </w:p>
        </w:tc>
        <w:tc>
          <w:tcPr>
            <w:tcW w:w="4803" w:type="dxa"/>
            <w:tcBorders>
              <w:top w:val="single" w:color="auto" w:sz="4" w:space="0"/>
              <w:left w:val="nil"/>
              <w:bottom w:val="single" w:color="auto" w:sz="4" w:space="0"/>
              <w:right w:val="single" w:color="auto" w:sz="4" w:space="0"/>
            </w:tcBorders>
            <w:shd w:val="clear" w:color="auto" w:fill="auto"/>
            <w:vAlign w:val="center"/>
          </w:tcPr>
          <w:p w14:paraId="745C11CF">
            <w:pPr>
              <w:numPr>
                <w:ilvl w:val="0"/>
                <w:numId w:val="4"/>
              </w:numPr>
              <w:jc w:val="left"/>
              <w:rPr>
                <w:rFonts w:hint="eastAsia" w:ascii="宋体" w:hAnsi="宋体"/>
                <w:color w:val="000000"/>
                <w:sz w:val="24"/>
                <w:szCs w:val="24"/>
                <w:lang w:val="en-US" w:eastAsia="zh-CN"/>
              </w:rPr>
            </w:pPr>
            <w:r>
              <w:rPr>
                <w:rFonts w:hint="eastAsia" w:ascii="宋体" w:hAnsi="宋体" w:eastAsia="宋体" w:cs="宋体"/>
                <w:color w:val="000000"/>
                <w:kern w:val="0"/>
                <w:sz w:val="24"/>
                <w:szCs w:val="24"/>
                <w:lang w:val="en-US" w:eastAsia="zh-CN" w:bidi="ar"/>
              </w:rPr>
              <w:t>纯净水</w:t>
            </w:r>
            <w:r>
              <w:rPr>
                <w:rFonts w:hint="default" w:ascii="宋体" w:hAnsi="宋体" w:cs="宋体"/>
                <w:color w:val="000000"/>
                <w:kern w:val="0"/>
                <w:sz w:val="24"/>
                <w:szCs w:val="24"/>
                <w:lang w:eastAsia="zh-CN" w:bidi="ar"/>
              </w:rPr>
              <w:t>，</w:t>
            </w:r>
            <w:r>
              <w:rPr>
                <w:rFonts w:hint="eastAsia" w:ascii="宋体" w:hAnsi="宋体"/>
                <w:color w:val="000000"/>
                <w:sz w:val="24"/>
                <w:szCs w:val="24"/>
                <w:lang w:val="en-US" w:eastAsia="zh-CN"/>
              </w:rPr>
              <w:t xml:space="preserve">规格 4.5L-6L/桶 </w:t>
            </w:r>
          </w:p>
          <w:p w14:paraId="58783F3E">
            <w:pPr>
              <w:numPr>
                <w:ilvl w:val="0"/>
                <w:numId w:val="4"/>
              </w:numPr>
              <w:jc w:val="left"/>
              <w:rPr>
                <w:rFonts w:hint="eastAsia" w:ascii="宋体" w:hAnsi="宋体"/>
                <w:color w:val="000000"/>
                <w:sz w:val="24"/>
                <w:szCs w:val="24"/>
              </w:rPr>
            </w:pPr>
            <w:r>
              <w:rPr>
                <w:rFonts w:hint="eastAsia" w:ascii="宋体" w:hAnsi="宋体"/>
                <w:color w:val="000000"/>
                <w:sz w:val="24"/>
                <w:szCs w:val="24"/>
                <w:lang w:val="en-US" w:eastAsia="zh-CN"/>
              </w:rPr>
              <w:t>须符合《食品安全国家标准包装饮用水 GB19298-2014》</w:t>
            </w:r>
            <w:r>
              <w:rPr>
                <w:rFonts w:hint="default" w:ascii="宋体" w:hAnsi="宋体"/>
                <w:color w:val="000000"/>
                <w:sz w:val="24"/>
                <w:szCs w:val="24"/>
                <w:lang w:eastAsia="zh-CN"/>
              </w:rPr>
              <w:t>；</w:t>
            </w:r>
          </w:p>
          <w:p w14:paraId="41E45C36">
            <w:pPr>
              <w:jc w:val="left"/>
              <w:rPr>
                <w:rFonts w:hint="eastAsia" w:ascii="宋体" w:hAnsi="宋体"/>
                <w:color w:val="000000"/>
                <w:sz w:val="24"/>
                <w:szCs w:val="24"/>
              </w:rPr>
            </w:pPr>
            <w:r>
              <w:rPr>
                <w:rFonts w:hint="eastAsia" w:ascii="宋体" w:hAnsi="宋体"/>
                <w:color w:val="000000"/>
                <w:sz w:val="24"/>
                <w:szCs w:val="24"/>
                <w:lang w:val="en-US" w:eastAsia="zh-CN"/>
              </w:rPr>
              <w:t>3.配送的桶装水须有密封性外包装，所有的水桶必须达到国家卫生要求的，桶的表面保持洁净污垢，商标清晰、规范</w:t>
            </w:r>
          </w:p>
        </w:tc>
      </w:tr>
    </w:tbl>
    <w:p w14:paraId="3B3BE408">
      <w:pPr>
        <w:spacing w:line="600" w:lineRule="exact"/>
        <w:ind w:firstLine="562" w:firstLineChars="200"/>
        <w:rPr>
          <w:rFonts w:hint="eastAsia" w:ascii="宋体" w:hAnsi="宋体" w:cs="宋体"/>
          <w:b/>
          <w:color w:val="000000" w:themeColor="text1"/>
          <w:sz w:val="28"/>
          <w:szCs w:val="28"/>
          <w14:textFill>
            <w14:solidFill>
              <w14:schemeClr w14:val="tx1"/>
            </w14:solidFill>
          </w14:textFill>
        </w:rPr>
      </w:pPr>
    </w:p>
    <w:p w14:paraId="60591183">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五、服务要求</w:t>
      </w:r>
    </w:p>
    <w:p w14:paraId="5401AE9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1、中标方在管理服务承诺中必须包含以下内容：</w:t>
      </w:r>
    </w:p>
    <w:p w14:paraId="30E8A39F">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（1）供应商提供的桶装水必须为本企业出品或代理销售的桶装水。</w:t>
      </w:r>
    </w:p>
    <w:p w14:paraId="5F930B07">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质量标准：供应商提供的饮用桶装水必须符合 GB19298-2014 食品安全国家标准包装饮用水等国家标准；供应商为桶装水制造商的，须提供《食品生产许可证》；</w:t>
      </w:r>
      <w:r>
        <w:rPr>
          <w:rFonts w:hint="eastAsia" w:ascii="宋体" w:hAnsi="宋体" w:cs="宋体"/>
          <w:color w:val="000000" w:themeColor="text1"/>
          <w:sz w:val="28"/>
          <w:szCs w:val="28"/>
          <w:lang w:val="en-US" w:eastAsia="zh-CN"/>
          <w14:textFill>
            <w14:solidFill>
              <w14:schemeClr w14:val="tx1"/>
            </w14:solidFill>
          </w14:textFill>
        </w:rPr>
        <w:t>供应商</w:t>
      </w:r>
      <w:r>
        <w:rPr>
          <w:rFonts w:hint="eastAsia" w:ascii="宋体" w:hAnsi="宋体" w:cs="宋体"/>
          <w:color w:val="000000" w:themeColor="text1"/>
          <w:sz w:val="28"/>
          <w:szCs w:val="28"/>
          <w14:textFill>
            <w14:solidFill>
              <w14:schemeClr w14:val="tx1"/>
            </w14:solidFill>
          </w14:textFill>
        </w:rPr>
        <w:t>如为经营企业：除提供生产企业的相关证书还需提供有效的《食品经营许可证》或《仅销售预包装食品经营者备案信息采集表》复印件。（如国家另有规定，则适用其规定）。（响应文件中须提供有效证书复印件加盖供应商公章）。供应商须提供国家认可的具有资质的第三方检测机构 202</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 xml:space="preserve"> 年以来出具的符合GB19298-2014《食品安全国家标准包装饮用水》等国家标准的饮用水检测合格报告（投标时提供证明文件并加盖公章）。</w:t>
      </w:r>
    </w:p>
    <w:p w14:paraId="271AEC47">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）中标方必须保障桶（瓶）装饮用水的正常供应，安排持健康证专职人员用专用送水车送桶（瓶）装饮用水到采购人指定存放点，桶（瓶）装饮用水的配送响应时间限时2小时以内，紧急情况3</w:t>
      </w:r>
      <w:r>
        <w:rPr>
          <w:rFonts w:ascii="宋体" w:hAnsi="宋体" w:cs="宋体"/>
          <w:color w:val="000000" w:themeColor="text1"/>
          <w:sz w:val="28"/>
          <w:szCs w:val="28"/>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分钟以内。</w:t>
      </w:r>
    </w:p>
    <w:p w14:paraId="4EE72660">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sz w:val="28"/>
          <w:szCs w:val="28"/>
        </w:rPr>
        <w:t>中标方须无偿提供一定数量饮水机，</w:t>
      </w:r>
      <w:r>
        <w:rPr>
          <w:rFonts w:hint="eastAsia" w:ascii="宋体" w:hAnsi="宋体" w:cs="宋体"/>
          <w:color w:val="000000" w:themeColor="text1"/>
          <w:sz w:val="28"/>
          <w:szCs w:val="28"/>
          <w14:textFill>
            <w14:solidFill>
              <w14:schemeClr w14:val="tx1"/>
            </w14:solidFill>
          </w14:textFill>
        </w:rPr>
        <w:t>且提供的饮水机为立式（或台式）饮水机，产品必须符合国家有关的标准。</w:t>
      </w:r>
    </w:p>
    <w:p w14:paraId="741B192A">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14:textFill>
            <w14:solidFill>
              <w14:schemeClr w14:val="tx1"/>
            </w14:solidFill>
          </w14:textFill>
        </w:rPr>
        <w:t>）提供产品按国家有关产品“三包”规定执行，所送货物应明确标示产品批号、生产日期和有效期，（质量保证期按国家及行业标准实行）。若承诺优于国家“三包”规定的，按实际承诺执行。</w:t>
      </w:r>
    </w:p>
    <w:p w14:paraId="7A727AF0">
      <w:pPr>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饮用桶装水生产批次或生产日期要标示明显，并留有记录、可追溯。 </w:t>
      </w:r>
    </w:p>
    <w:p w14:paraId="0B6C4CA4">
      <w:pPr>
        <w:spacing w:line="360" w:lineRule="auto"/>
        <w:ind w:firstLine="280" w:firstLineChars="100"/>
        <w:jc w:val="both"/>
        <w:rPr>
          <w:rFonts w:hint="eastAsia" w:ascii="宋体" w:hAnsi="宋体" w:cs="宋体"/>
          <w:color w:val="auto"/>
          <w:sz w:val="24"/>
          <w:szCs w:val="24"/>
        </w:rPr>
      </w:pPr>
      <w:r>
        <w:rPr>
          <w:rFonts w:hint="eastAsia" w:ascii="宋体" w:hAnsi="宋体" w:cs="宋体"/>
          <w:color w:val="000000" w:themeColor="text1"/>
          <w:sz w:val="28"/>
          <w:szCs w:val="28"/>
          <w14:textFill>
            <w14:solidFill>
              <w14:schemeClr w14:val="tx1"/>
            </w14:solidFill>
          </w14:textFill>
        </w:rPr>
        <w:t xml:space="preserve">2、水质、水桶要求 </w:t>
      </w:r>
    </w:p>
    <w:p w14:paraId="407E59F7">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所提供桶装饮用水生产企业生产桶装饮用水的过程、生产环境、必须符合《定型包装饮用水企业生产卫生规范》（GB19304-2018）及国家其他相关的桶装水生产企业标准。 </w:t>
      </w:r>
    </w:p>
    <w:p w14:paraId="33F143FB">
      <w:pPr>
        <w:jc w:val="left"/>
        <w:rPr>
          <w:rFonts w:hint="eastAsia" w:ascii="宋体" w:hAnsi="宋体"/>
          <w:color w:val="0000FF"/>
          <w:sz w:val="24"/>
          <w:szCs w:val="24"/>
          <w:lang w:val="en-US" w:eastAsia="zh-CN"/>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供应商保证从正规渠道采购饮用水，所供水质量符合国家质量保证标准或行业标准，供货时需提供桶装饮用水生产商有效的《食品生产许可证》和</w:t>
      </w:r>
      <w:r>
        <w:rPr>
          <w:rFonts w:hint="eastAsia" w:ascii="宋体" w:hAnsi="宋体" w:cs="宋体"/>
          <w:color w:val="000000" w:themeColor="text1"/>
          <w:sz w:val="28"/>
          <w:szCs w:val="28"/>
          <w:lang w:val="en-US" w:eastAsia="zh-CN"/>
          <w14:textFill>
            <w14:solidFill>
              <w14:schemeClr w14:val="tx1"/>
            </w14:solidFill>
          </w14:textFill>
        </w:rPr>
        <w:t>该批次桶装水的检验合格报告。</w:t>
      </w:r>
    </w:p>
    <w:p w14:paraId="63220104">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所供桶装饮用水封装时间为最近生产日期，不得超过产品生产日期15天。 </w:t>
      </w:r>
    </w:p>
    <w:p w14:paraId="06E8787A">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饮用水桶要求</w:t>
      </w:r>
    </w:p>
    <w:p w14:paraId="637B6F05">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①根据《食品安全国家标准包装饮用水》（GB 19298-2014）规定：循环使用的饮用水桶须由食品级PC材料（聚碳酸酯）制成，罐体通透呈天蓝色、密封性能好。桶装水水桶具有符合国家标准的安全和卫生要求检测合格报告的。 </w:t>
      </w:r>
    </w:p>
    <w:p w14:paraId="138BC831">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②所配送桶装饮用水桶瓶身标识清晰，没有污迹、划痕、凹陷，密封标签完好。</w:t>
      </w:r>
    </w:p>
    <w:p w14:paraId="570DB920">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 xml:space="preserve">检验标准：供应商承诺每批水按照《食品安全国家标准包装饮用水》（GB 19298-2014）或《饮用天然矿泉水》（GB 8537-2018）检测合格。同时符合食品安全法及其他行政法律、法规规定的相关要求。 </w:t>
      </w:r>
    </w:p>
    <w:p w14:paraId="4F32E269">
      <w:pPr>
        <w:ind w:firstLine="560" w:firstLineChars="200"/>
        <w:rPr>
          <w:rFonts w:hint="eastAsia" w:ascii="宋体" w:hAnsi="宋体" w:cs="宋体"/>
          <w:color w:val="auto"/>
          <w:sz w:val="24"/>
          <w:szCs w:val="24"/>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供应商应保证提供的服务不侵犯任何第三方的专利、商标或版权。否则，供应商须承担对第三方的专利或版权的侵权责任并承担因此而发生的所有费用。</w:t>
      </w:r>
    </w:p>
    <w:p w14:paraId="4EA167A7">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服务期限：1+</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年（用户根据中标人第一年的服务质量、价格，再确定第二年服务期是否延续）。</w:t>
      </w:r>
    </w:p>
    <w:p w14:paraId="21125433">
      <w:pPr>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、瓶装水包装可根据采购人需求</w:t>
      </w:r>
      <w:r>
        <w:rPr>
          <w:rFonts w:hint="eastAsia" w:ascii="宋体" w:hAnsi="宋体" w:cs="宋体"/>
          <w:b/>
          <w:bCs/>
          <w:sz w:val="28"/>
          <w:szCs w:val="28"/>
        </w:rPr>
        <w:t>免费定制</w:t>
      </w:r>
      <w:r>
        <w:rPr>
          <w:rFonts w:hint="eastAsia" w:ascii="宋体" w:hAnsi="宋体" w:cs="宋体"/>
          <w:sz w:val="28"/>
          <w:szCs w:val="28"/>
        </w:rPr>
        <w:t>，包括但不限于：设计、制作、张贴等。</w:t>
      </w:r>
    </w:p>
    <w:p w14:paraId="5734FCE5">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六、其他要求</w:t>
      </w:r>
    </w:p>
    <w:p w14:paraId="26D6CB43">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1、服务时间：7×8小时不间断服务，配有24小时服务电话。</w:t>
      </w:r>
    </w:p>
    <w:p w14:paraId="19409CAA">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采购人通过电话、微信、传真、QQ、邮箱等方式下达采购计划，中标人接到采购计划通知之日起4小时内送货到采购人指定送货地点，特殊情况由双方自行协商，原则上不超过2天。如逾期中标人将被视认为违约，违约金为该批次产品总价5%，违约金从中标人应得的货款中一次性扣除。</w:t>
      </w:r>
    </w:p>
    <w:p w14:paraId="5EC6D8A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3、采购人每次下达送货计划后，中标人须无条件响应，否则中标人将被视认为违约，违约金为该批次产品总价5%，违约金从中标人应得的货款中一次性扣除。</w:t>
      </w:r>
    </w:p>
    <w:p w14:paraId="0D71A582">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4、如因特殊情况采购人加急供货需求，中标人必须无条件响应否则中标人将被视认为违约，违约金为该批次产品总价5%，违约金从中标人应得的货款中一次性扣除。</w:t>
      </w:r>
    </w:p>
    <w:p w14:paraId="5BE719DB">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5、投标产品必须是具备厂家合法渠道的全新产品，否则采购人有权单方面退货并追究中标人违约责任。</w:t>
      </w:r>
    </w:p>
    <w:p w14:paraId="4BD7D82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6、采购人有权采用任何种方式对中标人所提供的货物质量进行验证，中标人必须无条件接受，通过验证后方可验收入库。如在验证过程中如发现货物质量有瑕疵的，采购人将拒绝收货并追究中标人违约责任。</w:t>
      </w:r>
    </w:p>
    <w:p w14:paraId="328C11BB">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7、为确保采购的原装货品的正品性，中标人需配合采购人对相关货品进行电话或二维码查询等正品验证。</w:t>
      </w:r>
    </w:p>
    <w:p w14:paraId="42910A4D">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8、试用不合格、验收不通过或验收通过但在使用过程中发现质量问题则退货，中标人无条件一次性补货，当退货量超过单次供量的30%时，采购人有权单方终止合同，中标人无条件接受。</w:t>
      </w:r>
    </w:p>
    <w:p w14:paraId="5144FDDE">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9、中标人必须保证供货连续性，合同期限内累计出现两次“供应不上”，采购人有权单方终止合同，中标人无条件接受。“供应不上”包括但不限于：因质量问题须退换货,但无法按期提供新批次合格品；合格库存量低于安全库存要求；产能、配送能力、库存原材料不足等因素等等。</w:t>
      </w:r>
    </w:p>
    <w:p w14:paraId="5ECC1BF1">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10、合同期限内中标人不得以任何理由停供，否则造成的缺货损失全部由中标人承担。若遇可预见性的减产或停产，供应无法保障，中标人应提前30个工作日书面通知采购人。否则中标人将被视认为违约，违约金10000元/次，违约金从中标人应得的货款中一次性扣除。</w:t>
      </w:r>
    </w:p>
    <w:p w14:paraId="5758D4C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11、合同期限内中标人不得以任何理由单方面终止合同，否则中标人将被视认为违约，违约金30000元，违约金从中标人应得的货款中一次性扣除。</w:t>
      </w:r>
    </w:p>
    <w:p w14:paraId="05E7A32C">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中标人在项目验收时由采购人对照招标文件的服务需求全面核对检验，如不符合招标文件的技术需求及要求以及提供虚假承诺的，按相关规定做违约处理，中标人承担所有责任和费用，采购人保留进一步追究责任的权利。</w:t>
      </w:r>
    </w:p>
    <w:p w14:paraId="226B9066">
      <w:pPr>
        <w:ind w:firstLine="560" w:firstLineChars="200"/>
        <w:rPr>
          <w:rFonts w:ascii="宋体" w:hAnsi="宋体" w:cs="宋体"/>
          <w:sz w:val="28"/>
          <w:szCs w:val="28"/>
        </w:rPr>
      </w:pPr>
      <w:r>
        <w:rPr>
          <w:rFonts w:hint="eastAsia" w:ascii="宋体" w:hAnsi="宋体" w:cs="宋体"/>
          <w:sz w:val="28"/>
          <w:szCs w:val="28"/>
        </w:rPr>
        <w:t>13、供应商需按照采购人要求制作每月制作费用明细单，以方便院方核对费用。</w:t>
      </w:r>
    </w:p>
    <w:p w14:paraId="138F627D">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七、付款方式</w:t>
      </w:r>
    </w:p>
    <w:p w14:paraId="7EC2092F">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1、本项目无预付款，原则上按月结算付款（特殊情况除外），每个月3号前，中标人按照验收时经双方签字确认的供货单据申请支付货款，采购人审核通过后，中标人开具足额发票给采购人后，7个工作日内支付。</w:t>
      </w:r>
    </w:p>
    <w:p w14:paraId="74E73D9E">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2、当月中标人违约金从中标人次月应得的货款中一次性扣除，不足部分另行从其他月份应得的货款中一次性扣除。</w:t>
      </w:r>
    </w:p>
    <w:p w14:paraId="6633C5D1">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3、本项目结算方式：按实结算。</w:t>
      </w:r>
    </w:p>
    <w:p w14:paraId="6B38C0A9">
      <w:pPr>
        <w:ind w:firstLine="562" w:firstLineChars="200"/>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八、报价要求</w:t>
      </w:r>
    </w:p>
    <w:p w14:paraId="7B43F626">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1、报价以人民币为单位，按每桶或每瓶进行报价。投标报价是履行合同的最终价格，必须包含所有产品、随配附件、运输、工具、报装、各种附材、附加培训、售后服务、税金、院内物流配送、加急及其他所有可能发生的一切费用，中标后合同履行期间采购人不再增补付任何费用。 </w:t>
      </w:r>
    </w:p>
    <w:p w14:paraId="7946F93A">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2、其他</w:t>
      </w:r>
    </w:p>
    <w:p w14:paraId="32D415CA">
      <w:pPr>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如服务期间采购人采购上述清单内未涉及饮用水，中标人应按采购人原采购价或市场价提供。</w:t>
      </w:r>
    </w:p>
    <w:p w14:paraId="7252CF8A">
      <w:pPr>
        <w:rPr>
          <w:rFonts w:hint="eastAsia" w:ascii="宋体" w:hAnsi="宋体" w:cs="宋体"/>
          <w:color w:val="000000" w:themeColor="text1"/>
          <w:sz w:val="28"/>
          <w:szCs w:val="28"/>
          <w:lang w:val="en-US" w:eastAsia="zh-CN"/>
          <w14:textFill>
            <w14:solidFill>
              <w14:schemeClr w14:val="tx1"/>
            </w14:solidFill>
          </w14:textFill>
        </w:rPr>
      </w:pPr>
    </w:p>
    <w:p w14:paraId="71919890">
      <w:pPr>
        <w:pStyle w:val="2"/>
        <w:rPr>
          <w:rFonts w:hint="eastAsia" w:ascii="宋体" w:hAnsi="宋体" w:cs="宋体"/>
          <w:color w:val="000000" w:themeColor="text1"/>
          <w:sz w:val="28"/>
          <w:szCs w:val="28"/>
          <w:lang w:val="en-US" w:eastAsia="zh-CN"/>
          <w14:textFill>
            <w14:solidFill>
              <w14:schemeClr w14:val="tx1"/>
            </w14:solidFill>
          </w14:textFill>
        </w:rPr>
      </w:pPr>
    </w:p>
    <w:p w14:paraId="10B8A625">
      <w:pPr>
        <w:rPr>
          <w:rFonts w:hint="eastAsia" w:ascii="宋体" w:hAnsi="宋体" w:cs="宋体"/>
          <w:color w:val="000000" w:themeColor="text1"/>
          <w:sz w:val="28"/>
          <w:szCs w:val="28"/>
          <w:lang w:val="en-US" w:eastAsia="zh-CN"/>
          <w14:textFill>
            <w14:solidFill>
              <w14:schemeClr w14:val="tx1"/>
            </w14:solidFill>
          </w14:textFill>
        </w:rPr>
      </w:pPr>
    </w:p>
    <w:p w14:paraId="56A3B49C">
      <w:pPr>
        <w:pStyle w:val="2"/>
        <w:rPr>
          <w:rFonts w:hint="eastAsia"/>
          <w:lang w:val="en-US" w:eastAsia="zh-CN"/>
        </w:rPr>
      </w:pPr>
    </w:p>
    <w:p w14:paraId="00C434F5">
      <w:pPr>
        <w:rPr>
          <w:rFonts w:hint="eastAsia"/>
          <w:lang w:val="en-US" w:eastAsia="zh-CN"/>
        </w:rPr>
      </w:pPr>
    </w:p>
    <w:p w14:paraId="6D90B262">
      <w:pPr>
        <w:pStyle w:val="2"/>
        <w:rPr>
          <w:rFonts w:hint="eastAsia"/>
          <w:lang w:val="en-US" w:eastAsia="zh-CN"/>
        </w:rPr>
      </w:pPr>
    </w:p>
    <w:p w14:paraId="6DDE5155">
      <w:pPr>
        <w:rPr>
          <w:rFonts w:hint="eastAsia"/>
          <w:lang w:val="en-US" w:eastAsia="zh-CN"/>
        </w:rPr>
      </w:pPr>
    </w:p>
    <w:p w14:paraId="4EC08063">
      <w:pPr>
        <w:pStyle w:val="2"/>
        <w:rPr>
          <w:rFonts w:hint="eastAsia"/>
          <w:lang w:val="en-US" w:eastAsia="zh-CN"/>
        </w:rPr>
      </w:pPr>
    </w:p>
    <w:p w14:paraId="277CAFB0">
      <w:pPr>
        <w:rPr>
          <w:rFonts w:hint="eastAsia"/>
          <w:lang w:val="en-US" w:eastAsia="zh-CN"/>
        </w:rPr>
      </w:pPr>
    </w:p>
    <w:p w14:paraId="6DA1227B">
      <w:pPr>
        <w:pStyle w:val="2"/>
        <w:rPr>
          <w:rFonts w:hint="eastAsia"/>
          <w:lang w:val="en-US" w:eastAsia="zh-CN"/>
        </w:rPr>
      </w:pPr>
    </w:p>
    <w:p w14:paraId="6F647702">
      <w:pPr>
        <w:rPr>
          <w:rFonts w:hint="eastAsia"/>
          <w:lang w:val="en-US" w:eastAsia="zh-CN"/>
        </w:rPr>
      </w:pPr>
    </w:p>
    <w:p w14:paraId="4DA1B035">
      <w:pPr>
        <w:pStyle w:val="2"/>
        <w:rPr>
          <w:rFonts w:hint="eastAsia"/>
          <w:lang w:val="en-US" w:eastAsia="zh-CN"/>
        </w:rPr>
      </w:pPr>
    </w:p>
    <w:p w14:paraId="1B851700">
      <w:pPr>
        <w:rPr>
          <w:rFonts w:hint="eastAsia"/>
          <w:lang w:val="en-US" w:eastAsia="zh-CN"/>
        </w:rPr>
      </w:pPr>
    </w:p>
    <w:p w14:paraId="53B9DF48">
      <w:pPr>
        <w:pStyle w:val="2"/>
        <w:rPr>
          <w:rFonts w:hint="eastAsia"/>
          <w:lang w:val="en-US" w:eastAsia="zh-CN"/>
        </w:rPr>
      </w:pPr>
    </w:p>
    <w:p w14:paraId="0435FCBC">
      <w:pPr>
        <w:rPr>
          <w:rFonts w:hint="eastAsia"/>
          <w:lang w:val="en-US" w:eastAsia="zh-CN"/>
        </w:rPr>
      </w:pPr>
    </w:p>
    <w:p w14:paraId="4474B793">
      <w:pPr>
        <w:pStyle w:val="2"/>
        <w:rPr>
          <w:rFonts w:hint="eastAsia"/>
          <w:lang w:val="en-US" w:eastAsia="zh-CN"/>
        </w:rPr>
      </w:pPr>
    </w:p>
    <w:p w14:paraId="0ECDF855">
      <w:pPr>
        <w:rPr>
          <w:rFonts w:hint="eastAsia"/>
          <w:lang w:val="en-US" w:eastAsia="zh-CN"/>
        </w:rPr>
      </w:pPr>
    </w:p>
    <w:p w14:paraId="5F866345">
      <w:pPr>
        <w:pStyle w:val="2"/>
        <w:rPr>
          <w:rFonts w:hint="eastAsia"/>
          <w:lang w:val="en-US" w:eastAsia="zh-CN"/>
        </w:rPr>
      </w:pPr>
    </w:p>
    <w:p w14:paraId="0A4CFE76">
      <w:pPr>
        <w:rPr>
          <w:rFonts w:hint="eastAsia"/>
          <w:lang w:val="en-US" w:eastAsia="zh-CN"/>
        </w:rPr>
      </w:pPr>
    </w:p>
    <w:p w14:paraId="10397297">
      <w:pPr>
        <w:pStyle w:val="2"/>
        <w:rPr>
          <w:rFonts w:hint="eastAsia" w:ascii="宋体" w:hAnsi="宋体" w:cs="宋体"/>
          <w:color w:val="000000" w:themeColor="text1"/>
          <w:sz w:val="28"/>
          <w:szCs w:val="28"/>
          <w:lang w:val="en-US" w:eastAsia="zh-CN"/>
          <w14:textFill>
            <w14:solidFill>
              <w14:schemeClr w14:val="tx1"/>
            </w14:solidFill>
          </w14:textFill>
        </w:rPr>
      </w:pPr>
    </w:p>
    <w:p w14:paraId="38A5FD7B">
      <w:pPr>
        <w:rPr>
          <w:rFonts w:hint="eastAsia" w:ascii="宋体" w:hAnsi="宋体" w:cs="宋体"/>
          <w:color w:val="000000" w:themeColor="text1"/>
          <w:sz w:val="28"/>
          <w:szCs w:val="28"/>
          <w:lang w:val="en-US" w:eastAsia="zh-CN"/>
          <w14:textFill>
            <w14:solidFill>
              <w14:schemeClr w14:val="tx1"/>
            </w14:solidFill>
          </w14:textFill>
        </w:rPr>
      </w:pPr>
    </w:p>
    <w:p w14:paraId="34C91891">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6EC3">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D886F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A4AD">
    <w:pPr>
      <w:pStyle w:val="4"/>
      <w:pBdr>
        <w:bottom w:val="none" w:color="auto" w:sz="0" w:space="1"/>
      </w:pBdr>
      <w:ind w:firstLine="360"/>
      <w:jc w:val="both"/>
    </w:pPr>
  </w:p>
  <w:p w14:paraId="5C7352AB">
    <w:pPr>
      <w:pStyle w:val="4"/>
      <w:pBdr>
        <w:bottom w:val="none" w:color="auto" w:sz="0" w:space="1"/>
      </w:pBdr>
      <w:ind w:firstLine="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EDF33"/>
    <w:multiLevelType w:val="singleLevel"/>
    <w:tmpl w:val="908EDF33"/>
    <w:lvl w:ilvl="0" w:tentative="0">
      <w:start w:val="1"/>
      <w:numFmt w:val="decimal"/>
      <w:suff w:val="space"/>
      <w:lvlText w:val="%1."/>
      <w:lvlJc w:val="left"/>
    </w:lvl>
  </w:abstractNum>
  <w:abstractNum w:abstractNumId="1">
    <w:nsid w:val="BAF71F08"/>
    <w:multiLevelType w:val="singleLevel"/>
    <w:tmpl w:val="BAF71F08"/>
    <w:lvl w:ilvl="0" w:tentative="0">
      <w:start w:val="1"/>
      <w:numFmt w:val="decimal"/>
      <w:suff w:val="space"/>
      <w:lvlText w:val="%1."/>
      <w:lvlJc w:val="left"/>
    </w:lvl>
  </w:abstractNum>
  <w:abstractNum w:abstractNumId="2">
    <w:nsid w:val="DC3B6D44"/>
    <w:multiLevelType w:val="singleLevel"/>
    <w:tmpl w:val="DC3B6D44"/>
    <w:lvl w:ilvl="0" w:tentative="0">
      <w:start w:val="1"/>
      <w:numFmt w:val="chineseCounting"/>
      <w:suff w:val="nothing"/>
      <w:lvlText w:val="%1、"/>
      <w:lvlJc w:val="left"/>
      <w:rPr>
        <w:rFonts w:hint="eastAsia"/>
      </w:rPr>
    </w:lvl>
  </w:abstractNum>
  <w:abstractNum w:abstractNumId="3">
    <w:nsid w:val="EB83F6F9"/>
    <w:multiLevelType w:val="singleLevel"/>
    <w:tmpl w:val="EB83F6F9"/>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ODBlM2M5ZTgyZjc2OGQ3OWYwNWU3NjRlM2FlMzMifQ=="/>
  </w:docVars>
  <w:rsids>
    <w:rsidRoot w:val="00222918"/>
    <w:rsid w:val="0001542A"/>
    <w:rsid w:val="00046896"/>
    <w:rsid w:val="000B55F4"/>
    <w:rsid w:val="000C7140"/>
    <w:rsid w:val="000D0B4C"/>
    <w:rsid w:val="0012246C"/>
    <w:rsid w:val="0016388D"/>
    <w:rsid w:val="001817DE"/>
    <w:rsid w:val="001B5670"/>
    <w:rsid w:val="00222918"/>
    <w:rsid w:val="002C7171"/>
    <w:rsid w:val="00330FAC"/>
    <w:rsid w:val="003852DC"/>
    <w:rsid w:val="003B6232"/>
    <w:rsid w:val="004128D2"/>
    <w:rsid w:val="0042341C"/>
    <w:rsid w:val="00446545"/>
    <w:rsid w:val="00535DC0"/>
    <w:rsid w:val="00546D76"/>
    <w:rsid w:val="00656D85"/>
    <w:rsid w:val="00661E7A"/>
    <w:rsid w:val="00672588"/>
    <w:rsid w:val="006A3527"/>
    <w:rsid w:val="00720C89"/>
    <w:rsid w:val="00720F84"/>
    <w:rsid w:val="00730696"/>
    <w:rsid w:val="00790E4D"/>
    <w:rsid w:val="0086796E"/>
    <w:rsid w:val="00870861"/>
    <w:rsid w:val="00877C4D"/>
    <w:rsid w:val="008D622A"/>
    <w:rsid w:val="008E2DAA"/>
    <w:rsid w:val="009210F8"/>
    <w:rsid w:val="00983E57"/>
    <w:rsid w:val="009B7B9A"/>
    <w:rsid w:val="009F54CC"/>
    <w:rsid w:val="00A72143"/>
    <w:rsid w:val="00A74B44"/>
    <w:rsid w:val="00AB7315"/>
    <w:rsid w:val="00AF53D4"/>
    <w:rsid w:val="00B11BA8"/>
    <w:rsid w:val="00BB51D2"/>
    <w:rsid w:val="00C114E7"/>
    <w:rsid w:val="00C4571D"/>
    <w:rsid w:val="00C57776"/>
    <w:rsid w:val="00CE4E57"/>
    <w:rsid w:val="00CF7C62"/>
    <w:rsid w:val="00DA2824"/>
    <w:rsid w:val="00E06860"/>
    <w:rsid w:val="00E53BD9"/>
    <w:rsid w:val="00E930D1"/>
    <w:rsid w:val="00F23276"/>
    <w:rsid w:val="00F2783A"/>
    <w:rsid w:val="00F63D2C"/>
    <w:rsid w:val="00F647E9"/>
    <w:rsid w:val="030A23FA"/>
    <w:rsid w:val="0372285E"/>
    <w:rsid w:val="04A942BA"/>
    <w:rsid w:val="05160245"/>
    <w:rsid w:val="053456C3"/>
    <w:rsid w:val="05A76A4C"/>
    <w:rsid w:val="06190FCC"/>
    <w:rsid w:val="06F85085"/>
    <w:rsid w:val="07CA07CF"/>
    <w:rsid w:val="07E7001F"/>
    <w:rsid w:val="08C6368D"/>
    <w:rsid w:val="08D631A4"/>
    <w:rsid w:val="0A607E91"/>
    <w:rsid w:val="0AA15162"/>
    <w:rsid w:val="0AC77248"/>
    <w:rsid w:val="0BD97574"/>
    <w:rsid w:val="0C9A519B"/>
    <w:rsid w:val="0CAA5073"/>
    <w:rsid w:val="0DFC7C83"/>
    <w:rsid w:val="0E0367E9"/>
    <w:rsid w:val="0F307AB2"/>
    <w:rsid w:val="0F7D4865"/>
    <w:rsid w:val="0FC608DB"/>
    <w:rsid w:val="101B1900"/>
    <w:rsid w:val="10295596"/>
    <w:rsid w:val="11045E2E"/>
    <w:rsid w:val="110C00AB"/>
    <w:rsid w:val="131274CE"/>
    <w:rsid w:val="13B03FE1"/>
    <w:rsid w:val="13B642FE"/>
    <w:rsid w:val="140B63F8"/>
    <w:rsid w:val="148166BA"/>
    <w:rsid w:val="14EC71A7"/>
    <w:rsid w:val="158D48FE"/>
    <w:rsid w:val="17E814FE"/>
    <w:rsid w:val="1804388A"/>
    <w:rsid w:val="181D494B"/>
    <w:rsid w:val="197674BD"/>
    <w:rsid w:val="197B7B7C"/>
    <w:rsid w:val="19B1359D"/>
    <w:rsid w:val="1A7B1DFD"/>
    <w:rsid w:val="1B1738D4"/>
    <w:rsid w:val="1D2624F4"/>
    <w:rsid w:val="1DB01DBE"/>
    <w:rsid w:val="1DBB0E8E"/>
    <w:rsid w:val="1E5E6B54"/>
    <w:rsid w:val="1FBE4C66"/>
    <w:rsid w:val="203A3726"/>
    <w:rsid w:val="208C08C0"/>
    <w:rsid w:val="20B10327"/>
    <w:rsid w:val="21676C37"/>
    <w:rsid w:val="230D6333"/>
    <w:rsid w:val="243674C1"/>
    <w:rsid w:val="2602021B"/>
    <w:rsid w:val="26502390"/>
    <w:rsid w:val="267D7173"/>
    <w:rsid w:val="28223D01"/>
    <w:rsid w:val="282D63E5"/>
    <w:rsid w:val="28373807"/>
    <w:rsid w:val="285C2744"/>
    <w:rsid w:val="2A610F77"/>
    <w:rsid w:val="2B100535"/>
    <w:rsid w:val="2C7D1A05"/>
    <w:rsid w:val="2D1265F1"/>
    <w:rsid w:val="2D8D5C78"/>
    <w:rsid w:val="2DB050A6"/>
    <w:rsid w:val="2DEA30CA"/>
    <w:rsid w:val="2E020190"/>
    <w:rsid w:val="2E4D6041"/>
    <w:rsid w:val="2EB01C1E"/>
    <w:rsid w:val="314D5E4A"/>
    <w:rsid w:val="31712B14"/>
    <w:rsid w:val="31E340B8"/>
    <w:rsid w:val="3291620A"/>
    <w:rsid w:val="329D4BAF"/>
    <w:rsid w:val="336D3488"/>
    <w:rsid w:val="336E24FF"/>
    <w:rsid w:val="33741073"/>
    <w:rsid w:val="34452E08"/>
    <w:rsid w:val="361B6516"/>
    <w:rsid w:val="36DD1A1E"/>
    <w:rsid w:val="371E7ACC"/>
    <w:rsid w:val="3825542A"/>
    <w:rsid w:val="3895393C"/>
    <w:rsid w:val="3A40479E"/>
    <w:rsid w:val="3A5A174B"/>
    <w:rsid w:val="3AE10ABC"/>
    <w:rsid w:val="3B787F67"/>
    <w:rsid w:val="3D2147E5"/>
    <w:rsid w:val="3E5E340F"/>
    <w:rsid w:val="3E9A01F4"/>
    <w:rsid w:val="3F6525B0"/>
    <w:rsid w:val="40224945"/>
    <w:rsid w:val="40667EDF"/>
    <w:rsid w:val="40730CFD"/>
    <w:rsid w:val="45E00BE3"/>
    <w:rsid w:val="46536191"/>
    <w:rsid w:val="466435C2"/>
    <w:rsid w:val="47226FD9"/>
    <w:rsid w:val="47743CD8"/>
    <w:rsid w:val="47A4292C"/>
    <w:rsid w:val="488457F1"/>
    <w:rsid w:val="489F1A9F"/>
    <w:rsid w:val="491B4309"/>
    <w:rsid w:val="4BC92119"/>
    <w:rsid w:val="4D4A5872"/>
    <w:rsid w:val="4E5C22F1"/>
    <w:rsid w:val="4EBD1638"/>
    <w:rsid w:val="4F5166AD"/>
    <w:rsid w:val="4FA6314B"/>
    <w:rsid w:val="504B2073"/>
    <w:rsid w:val="5052092F"/>
    <w:rsid w:val="50595F65"/>
    <w:rsid w:val="50FE0AB7"/>
    <w:rsid w:val="5134293F"/>
    <w:rsid w:val="52306A4E"/>
    <w:rsid w:val="525D48FE"/>
    <w:rsid w:val="5629085A"/>
    <w:rsid w:val="565D1435"/>
    <w:rsid w:val="568630E0"/>
    <w:rsid w:val="571132F2"/>
    <w:rsid w:val="57B26DB0"/>
    <w:rsid w:val="588F7C4A"/>
    <w:rsid w:val="58BC103B"/>
    <w:rsid w:val="58ED7447"/>
    <w:rsid w:val="59701E26"/>
    <w:rsid w:val="59E52814"/>
    <w:rsid w:val="5A851901"/>
    <w:rsid w:val="5C150DC7"/>
    <w:rsid w:val="5DAA7267"/>
    <w:rsid w:val="5DF272AD"/>
    <w:rsid w:val="5E025E25"/>
    <w:rsid w:val="5F1D7A5F"/>
    <w:rsid w:val="5F881C77"/>
    <w:rsid w:val="604A1623"/>
    <w:rsid w:val="604C539B"/>
    <w:rsid w:val="60563B24"/>
    <w:rsid w:val="6131633F"/>
    <w:rsid w:val="620D46B6"/>
    <w:rsid w:val="62FF4946"/>
    <w:rsid w:val="635A7DCF"/>
    <w:rsid w:val="63DC7D5F"/>
    <w:rsid w:val="65E01371"/>
    <w:rsid w:val="65F53DF7"/>
    <w:rsid w:val="66482160"/>
    <w:rsid w:val="67BA0E3C"/>
    <w:rsid w:val="685407AB"/>
    <w:rsid w:val="685D143A"/>
    <w:rsid w:val="69234960"/>
    <w:rsid w:val="696C43B8"/>
    <w:rsid w:val="6AB46E72"/>
    <w:rsid w:val="6BC229B5"/>
    <w:rsid w:val="6D151284"/>
    <w:rsid w:val="6D282CEC"/>
    <w:rsid w:val="6E1804E6"/>
    <w:rsid w:val="6E210F97"/>
    <w:rsid w:val="6E423939"/>
    <w:rsid w:val="71113D0D"/>
    <w:rsid w:val="713E2ADE"/>
    <w:rsid w:val="714D4ACF"/>
    <w:rsid w:val="71AA5854"/>
    <w:rsid w:val="72710C91"/>
    <w:rsid w:val="72EE5E3E"/>
    <w:rsid w:val="740704ED"/>
    <w:rsid w:val="7420471D"/>
    <w:rsid w:val="753C5586"/>
    <w:rsid w:val="75B47BDF"/>
    <w:rsid w:val="75CD2682"/>
    <w:rsid w:val="75D21A46"/>
    <w:rsid w:val="76236DDF"/>
    <w:rsid w:val="76982C90"/>
    <w:rsid w:val="77894387"/>
    <w:rsid w:val="7798281C"/>
    <w:rsid w:val="77C33D3D"/>
    <w:rsid w:val="795A4B43"/>
    <w:rsid w:val="7A7479E9"/>
    <w:rsid w:val="7A790675"/>
    <w:rsid w:val="7C4301B0"/>
    <w:rsid w:val="7C934CD1"/>
    <w:rsid w:val="7CC832D3"/>
    <w:rsid w:val="7D737DAE"/>
    <w:rsid w:val="7E0A07DE"/>
    <w:rsid w:val="7EC74492"/>
    <w:rsid w:val="7F0925FD"/>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Times New Roman" w:hAnsi="Times New Roman"/>
      <w:kern w:val="2"/>
      <w:sz w:val="21"/>
      <w:szCs w:val="24"/>
    </w:rPr>
  </w:style>
  <w:style w:type="paragraph" w:styleId="3">
    <w:name w:val="footer"/>
    <w:basedOn w:val="1"/>
    <w:link w:val="15"/>
    <w:autoRedefine/>
    <w:unhideWhenUsed/>
    <w:qFormat/>
    <w:uiPriority w:val="99"/>
    <w:pPr>
      <w:tabs>
        <w:tab w:val="center" w:pos="4153"/>
        <w:tab w:val="right" w:pos="8306"/>
      </w:tabs>
      <w:snapToGrid w:val="0"/>
      <w:jc w:val="left"/>
    </w:pPr>
    <w:rPr>
      <w:sz w:val="18"/>
      <w:szCs w:val="18"/>
    </w:rPr>
  </w:style>
  <w:style w:type="paragraph" w:styleId="4">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rPr>
  </w:style>
  <w:style w:type="paragraph" w:styleId="6">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HTML 预设格式 字符1"/>
    <w:link w:val="5"/>
    <w:autoRedefine/>
    <w:qFormat/>
    <w:uiPriority w:val="0"/>
    <w:rPr>
      <w:rFonts w:ascii="Arial Unicode MS" w:hAnsi="Arial Unicode MS" w:eastAsia="Arial Unicode MS" w:cs="Arial Unicode MS"/>
      <w:color w:val="000000"/>
    </w:rPr>
  </w:style>
  <w:style w:type="character" w:customStyle="1" w:styleId="12">
    <w:name w:val="HTML 预设格式 字符"/>
    <w:basedOn w:val="9"/>
    <w:autoRedefine/>
    <w:semiHidden/>
    <w:qFormat/>
    <w:uiPriority w:val="99"/>
    <w:rPr>
      <w:rFonts w:ascii="Courier New" w:hAnsi="Courier New" w:eastAsia="宋体" w:cs="Courier New"/>
      <w:sz w:val="20"/>
      <w:szCs w:val="20"/>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rFonts w:ascii="Calibri" w:hAnsi="Calibri"/>
      <w:kern w:val="2"/>
      <w:sz w:val="18"/>
      <w:szCs w:val="18"/>
    </w:rPr>
  </w:style>
  <w:style w:type="character" w:customStyle="1" w:styleId="15">
    <w:name w:val="页脚 字符"/>
    <w:basedOn w:val="9"/>
    <w:link w:val="3"/>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8</Pages>
  <Words>3258</Words>
  <Characters>3479</Characters>
  <Lines>19</Lines>
  <Paragraphs>5</Paragraphs>
  <TotalTime>14</TotalTime>
  <ScaleCrop>false</ScaleCrop>
  <LinksUpToDate>false</LinksUpToDate>
  <CharactersWithSpaces>3509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2024-01-08T15:35:00Z</dcterms:created>
  <dc:creator>Administrator</dc:creator>
  <cp:lastModifiedBy>路小路</cp:lastModifiedBy>
  <cp:lastPrinted>2024-01-16T07:09:00Z</cp:lastPrinted>
  <dcterms:modified xsi:type="dcterms:W3CDTF">2025-10-17T07:19:03Z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FDC80378154145A8B16833B3A7E0143A_13</vt:lpwstr>
  </property>
  <property fmtid="{D5CDD505-2E9C-101B-9397-08002B2CF9AE}" pid="4" name="KSOTemplateDocerSaveRecord">
    <vt:lpwstr>eyJoZGlkIjoiNmUyMzdmY2E2MTBjOGRmZTJhOTUzNjYyMzMxM2JhOTkiLCJ1c2VySWQiOiI3NTkzMjAzMjAifQ==</vt:lpwstr>
  </property>
</Properties>
</file>