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5A4B8">
      <w:pPr>
        <w:rPr>
          <w:rFonts w:hint="eastAsia" w:ascii="宋体" w:hAnsi="宋体" w:eastAsia="宋体" w:cs="宋体"/>
          <w:b/>
          <w:color w:val="000000" w:themeColor="text1"/>
          <w:sz w:val="44"/>
          <w:szCs w:val="44"/>
          <w14:textFill>
            <w14:solidFill>
              <w14:schemeClr w14:val="tx1"/>
            </w14:solidFill>
          </w14:textFill>
        </w:rPr>
      </w:pPr>
    </w:p>
    <w:p w14:paraId="3E3F1DB4">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胚胎室液氮罐采购项目</w:t>
      </w:r>
      <w:r>
        <w:rPr>
          <w:rFonts w:hint="eastAsia" w:ascii="宋体" w:hAnsi="宋体" w:eastAsia="宋体" w:cs="宋体"/>
          <w:b/>
          <w:color w:val="000000" w:themeColor="text1"/>
          <w:sz w:val="36"/>
          <w:szCs w:val="36"/>
          <w14:textFill>
            <w14:solidFill>
              <w14:schemeClr w14:val="tx1"/>
            </w14:solidFill>
          </w14:textFill>
        </w:rPr>
        <w:t>需求</w:t>
      </w:r>
    </w:p>
    <w:p w14:paraId="0C8FDA09">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p>
    <w:p w14:paraId="50F23C62">
      <w:pPr>
        <w:spacing w:line="600" w:lineRule="exact"/>
        <w:ind w:firstLine="422" w:firstLineChars="200"/>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w:t>
      </w:r>
      <w:r>
        <w:rPr>
          <w:rFonts w:hint="eastAsia" w:ascii="宋体" w:hAnsi="宋体" w:eastAsia="宋体" w:cs="宋体"/>
          <w:b/>
          <w:color w:val="000000" w:themeColor="text1"/>
          <w:sz w:val="21"/>
          <w:szCs w:val="21"/>
          <w:lang w:val="en-US" w:eastAsia="zh-CN"/>
          <w14:textFill>
            <w14:solidFill>
              <w14:schemeClr w14:val="tx1"/>
            </w14:solidFill>
          </w14:textFill>
        </w:rPr>
        <w:t>项目概况</w:t>
      </w:r>
    </w:p>
    <w:tbl>
      <w:tblPr>
        <w:tblStyle w:val="2"/>
        <w:tblW w:w="6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7"/>
        <w:gridCol w:w="1965"/>
        <w:gridCol w:w="975"/>
        <w:gridCol w:w="1245"/>
        <w:gridCol w:w="1671"/>
      </w:tblGrid>
      <w:tr w14:paraId="47A48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647" w:type="dxa"/>
            <w:noWrap w:val="0"/>
            <w:vAlign w:val="center"/>
          </w:tcPr>
          <w:p w14:paraId="7F4EBA3B">
            <w:pPr>
              <w:widowControl w:val="0"/>
              <w:tabs>
                <w:tab w:val="left" w:pos="180"/>
                <w:tab w:val="left" w:pos="1620"/>
              </w:tabs>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1"/>
                <w:highlight w:val="none"/>
              </w:rPr>
              <w:t>序号</w:t>
            </w:r>
          </w:p>
        </w:tc>
        <w:tc>
          <w:tcPr>
            <w:tcW w:w="1965" w:type="dxa"/>
            <w:noWrap w:val="0"/>
            <w:vAlign w:val="center"/>
          </w:tcPr>
          <w:p w14:paraId="4A94DE7A">
            <w:pPr>
              <w:widowControl w:val="0"/>
              <w:tabs>
                <w:tab w:val="left" w:pos="180"/>
                <w:tab w:val="left" w:pos="1620"/>
              </w:tabs>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1"/>
                <w:highlight w:val="none"/>
                <w:lang w:val="en-US" w:eastAsia="zh-CN"/>
              </w:rPr>
              <w:t>货物</w:t>
            </w:r>
            <w:r>
              <w:rPr>
                <w:rFonts w:hint="eastAsia" w:ascii="宋体" w:hAnsi="宋体" w:eastAsia="宋体" w:cs="宋体"/>
                <w:color w:val="auto"/>
                <w:kern w:val="2"/>
                <w:sz w:val="21"/>
                <w:szCs w:val="21"/>
                <w:highlight w:val="none"/>
              </w:rPr>
              <w:t>名称</w:t>
            </w:r>
          </w:p>
        </w:tc>
        <w:tc>
          <w:tcPr>
            <w:tcW w:w="975" w:type="dxa"/>
            <w:noWrap w:val="0"/>
            <w:vAlign w:val="center"/>
          </w:tcPr>
          <w:p w14:paraId="79DD7F63">
            <w:pPr>
              <w:widowControl w:val="0"/>
              <w:tabs>
                <w:tab w:val="left" w:pos="180"/>
                <w:tab w:val="left" w:pos="1620"/>
              </w:tabs>
              <w:spacing w:line="360"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1"/>
                <w:szCs w:val="21"/>
                <w:highlight w:val="none"/>
              </w:rPr>
              <w:t>数量</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个</w:t>
            </w:r>
            <w:r>
              <w:rPr>
                <w:rFonts w:hint="eastAsia" w:ascii="宋体" w:hAnsi="宋体" w:cs="宋体"/>
                <w:color w:val="auto"/>
                <w:kern w:val="2"/>
                <w:sz w:val="21"/>
                <w:szCs w:val="21"/>
                <w:highlight w:val="none"/>
                <w:lang w:eastAsia="zh-CN"/>
              </w:rPr>
              <w:t>）</w:t>
            </w:r>
          </w:p>
        </w:tc>
        <w:tc>
          <w:tcPr>
            <w:tcW w:w="1245" w:type="dxa"/>
            <w:noWrap w:val="0"/>
            <w:vAlign w:val="center"/>
          </w:tcPr>
          <w:p w14:paraId="19EB66F8">
            <w:pPr>
              <w:widowControl w:val="0"/>
              <w:tabs>
                <w:tab w:val="left" w:pos="180"/>
                <w:tab w:val="left" w:pos="1620"/>
              </w:tabs>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预算单价（万元）</w:t>
            </w:r>
          </w:p>
        </w:tc>
        <w:tc>
          <w:tcPr>
            <w:tcW w:w="1671" w:type="dxa"/>
            <w:noWrap w:val="0"/>
            <w:vAlign w:val="center"/>
          </w:tcPr>
          <w:p w14:paraId="6C421701">
            <w:pPr>
              <w:pStyle w:val="5"/>
              <w:numPr>
                <w:ilvl w:val="0"/>
                <w:numId w:val="0"/>
              </w:numPr>
              <w:ind w:left="0" w:leftChars="0" w:firstLine="0" w:firstLineChars="0"/>
              <w:jc w:val="center"/>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预算金额</w:t>
            </w:r>
          </w:p>
          <w:p w14:paraId="28A11BAD">
            <w:pPr>
              <w:pStyle w:val="5"/>
              <w:numPr>
                <w:ilvl w:val="0"/>
                <w:numId w:val="0"/>
              </w:numPr>
              <w:ind w:left="0" w:leftChars="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Times New Roman"/>
                <w:bCs w:val="0"/>
                <w:spacing w:val="0"/>
                <w:kern w:val="2"/>
                <w:sz w:val="21"/>
                <w:szCs w:val="21"/>
                <w:lang w:val="en-US" w:eastAsia="zh-CN" w:bidi="ar-SA"/>
              </w:rPr>
              <w:t>（万元）</w:t>
            </w:r>
          </w:p>
        </w:tc>
      </w:tr>
      <w:tr w14:paraId="0939D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47" w:type="dxa"/>
            <w:noWrap w:val="0"/>
            <w:vAlign w:val="bottom"/>
          </w:tcPr>
          <w:p w14:paraId="3449D423">
            <w:pPr>
              <w:widowControl w:val="0"/>
              <w:tabs>
                <w:tab w:val="left" w:pos="180"/>
                <w:tab w:val="left" w:pos="1620"/>
              </w:tabs>
              <w:spacing w:line="360" w:lineRule="auto"/>
              <w:jc w:val="center"/>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1</w:t>
            </w:r>
          </w:p>
        </w:tc>
        <w:tc>
          <w:tcPr>
            <w:tcW w:w="1965" w:type="dxa"/>
            <w:noWrap w:val="0"/>
            <w:vAlign w:val="center"/>
          </w:tcPr>
          <w:p w14:paraId="1D40E674">
            <w:pPr>
              <w:keepNext w:val="0"/>
              <w:keepLines w:val="0"/>
              <w:widowControl/>
              <w:suppressLineNumbers w:val="0"/>
              <w:jc w:val="center"/>
              <w:textAlignment w:val="center"/>
              <w:rPr>
                <w:rFonts w:hint="eastAsia" w:ascii="宋体" w:hAnsi="宋体" w:eastAsia="宋体" w:cs="宋体"/>
                <w:color w:val="auto"/>
                <w:kern w:val="2"/>
                <w:sz w:val="24"/>
                <w:szCs w:val="24"/>
                <w:highlight w:val="none"/>
              </w:rPr>
            </w:pPr>
            <w:r>
              <w:rPr>
                <w:rFonts w:hint="eastAsia" w:ascii="宋体" w:hAnsi="宋体" w:cs="宋体"/>
                <w:i w:val="0"/>
                <w:iCs w:val="0"/>
                <w:color w:val="000000"/>
                <w:kern w:val="0"/>
                <w:sz w:val="24"/>
                <w:szCs w:val="24"/>
                <w:u w:val="none"/>
                <w:lang w:val="en-US" w:eastAsia="zh-CN" w:bidi="ar"/>
              </w:rPr>
              <w:t>液氮罐</w:t>
            </w:r>
          </w:p>
        </w:tc>
        <w:tc>
          <w:tcPr>
            <w:tcW w:w="975" w:type="dxa"/>
            <w:noWrap w:val="0"/>
            <w:vAlign w:val="center"/>
          </w:tcPr>
          <w:p w14:paraId="71D0B5FC">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rPr>
            </w:pPr>
            <w:r>
              <w:rPr>
                <w:rFonts w:hint="eastAsia" w:ascii="宋体" w:hAnsi="宋体" w:cs="宋体"/>
                <w:i w:val="0"/>
                <w:iCs w:val="0"/>
                <w:color w:val="000000"/>
                <w:kern w:val="0"/>
                <w:sz w:val="24"/>
                <w:szCs w:val="24"/>
                <w:u w:val="none"/>
                <w:lang w:val="en-US" w:eastAsia="zh-CN" w:bidi="ar"/>
              </w:rPr>
              <w:t>2</w:t>
            </w:r>
          </w:p>
        </w:tc>
        <w:tc>
          <w:tcPr>
            <w:tcW w:w="1245" w:type="dxa"/>
            <w:noWrap w:val="0"/>
            <w:vAlign w:val="center"/>
          </w:tcPr>
          <w:p w14:paraId="5A3B34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671" w:type="dxa"/>
            <w:noWrap w:val="0"/>
            <w:vAlign w:val="center"/>
          </w:tcPr>
          <w:p w14:paraId="27A6CED8">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4</w:t>
            </w:r>
          </w:p>
        </w:tc>
      </w:tr>
    </w:tbl>
    <w:p w14:paraId="57140571">
      <w:pPr>
        <w:widowControl w:val="0"/>
        <w:spacing w:line="400" w:lineRule="exact"/>
        <w:ind w:firstLine="420" w:firstLineChars="200"/>
        <w:jc w:val="both"/>
        <w:rPr>
          <w:rFonts w:hint="default" w:ascii="宋体" w:hAnsi="宋体"/>
          <w:sz w:val="21"/>
          <w:szCs w:val="21"/>
          <w:lang w:val="en-US" w:eastAsia="zh-CN"/>
        </w:rPr>
      </w:pPr>
    </w:p>
    <w:p w14:paraId="01107B25">
      <w:pPr>
        <w:numPr>
          <w:ilvl w:val="0"/>
          <w:numId w:val="1"/>
        </w:numPr>
        <w:spacing w:line="6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项目的预算</w:t>
      </w:r>
    </w:p>
    <w:p w14:paraId="5B95C88A">
      <w:pPr>
        <w:widowControl w:val="0"/>
        <w:spacing w:line="400" w:lineRule="exact"/>
        <w:ind w:firstLine="420" w:firstLineChars="200"/>
        <w:jc w:val="both"/>
        <w:rPr>
          <w:rFonts w:hint="default" w:ascii="宋体" w:hAnsi="宋体"/>
          <w:sz w:val="21"/>
          <w:szCs w:val="21"/>
          <w:highlight w:val="yellow"/>
          <w:lang w:val="en-US" w:eastAsia="zh-CN"/>
        </w:rPr>
      </w:pPr>
      <w:r>
        <w:rPr>
          <w:rFonts w:hint="eastAsia" w:ascii="宋体" w:hAnsi="宋体"/>
          <w:sz w:val="21"/>
          <w:szCs w:val="21"/>
          <w:lang w:val="en-US" w:eastAsia="zh-CN"/>
        </w:rPr>
        <w:t>项目预算：</w:t>
      </w:r>
      <w:r>
        <w:rPr>
          <w:rFonts w:hint="eastAsia" w:ascii="宋体" w:hAnsi="宋体"/>
          <w:sz w:val="21"/>
          <w:szCs w:val="21"/>
          <w:highlight w:val="yellow"/>
          <w:lang w:val="en-US" w:eastAsia="zh-CN"/>
        </w:rPr>
        <w:t>人民币肆万元整（4万元）</w:t>
      </w:r>
    </w:p>
    <w:p w14:paraId="32E04ACE">
      <w:pPr>
        <w:numPr>
          <w:ilvl w:val="0"/>
          <w:numId w:val="1"/>
        </w:numPr>
        <w:spacing w:line="600" w:lineRule="exact"/>
        <w:ind w:left="0" w:leftChars="0" w:firstLine="422" w:firstLineChars="200"/>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供应商资格要求</w:t>
      </w:r>
    </w:p>
    <w:p w14:paraId="524C4FAC">
      <w:pPr>
        <w:widowControl w:val="0"/>
        <w:spacing w:line="400" w:lineRule="exact"/>
        <w:ind w:firstLine="420" w:firstLineChars="200"/>
        <w:jc w:val="both"/>
        <w:rPr>
          <w:rFonts w:hint="eastAsia" w:ascii="宋体" w:hAnsi="宋体"/>
          <w:sz w:val="21"/>
          <w:szCs w:val="21"/>
          <w:lang w:val="en-US" w:eastAsia="zh-CN"/>
        </w:rPr>
      </w:pPr>
      <w:r>
        <w:rPr>
          <w:rFonts w:hint="eastAsia" w:ascii="宋体" w:hAnsi="宋体"/>
          <w:sz w:val="21"/>
          <w:szCs w:val="21"/>
          <w:lang w:val="en-US" w:eastAsia="zh-CN"/>
        </w:rPr>
        <w:t>1.满足《中华人民共和国政府采购法》第二十二条规定；</w:t>
      </w:r>
    </w:p>
    <w:p w14:paraId="476D57F6">
      <w:pPr>
        <w:widowControl w:val="0"/>
        <w:spacing w:line="400" w:lineRule="exact"/>
        <w:ind w:firstLine="420" w:firstLineChars="200"/>
        <w:jc w:val="both"/>
        <w:rPr>
          <w:rFonts w:hint="eastAsia" w:ascii="宋体" w:hAnsi="宋体"/>
          <w:sz w:val="21"/>
          <w:szCs w:val="21"/>
          <w:lang w:val="en-US" w:eastAsia="zh-CN"/>
        </w:rPr>
      </w:pPr>
      <w:r>
        <w:rPr>
          <w:rFonts w:hint="eastAsia" w:ascii="宋体" w:hAnsi="宋体"/>
          <w:sz w:val="21"/>
          <w:szCs w:val="21"/>
          <w:lang w:val="en-US" w:eastAsia="zh-CN"/>
        </w:rPr>
        <w:t>2.国内注册（指按工商管理有关规定要求核准登记的）依法取得营业执照，经营范围达到本次招标的需求。</w:t>
      </w:r>
    </w:p>
    <w:p w14:paraId="42954571">
      <w:pPr>
        <w:widowControl w:val="0"/>
        <w:spacing w:line="400" w:lineRule="exact"/>
        <w:ind w:firstLine="420" w:firstLineChars="200"/>
        <w:jc w:val="both"/>
        <w:rPr>
          <w:rFonts w:hint="eastAsia" w:ascii="宋体" w:hAnsi="宋体"/>
          <w:sz w:val="21"/>
          <w:szCs w:val="21"/>
          <w:lang w:val="en-US" w:eastAsia="zh-CN"/>
        </w:rPr>
      </w:pPr>
      <w:r>
        <w:rPr>
          <w:rFonts w:hint="eastAsia" w:ascii="宋体" w:hAnsi="宋体"/>
          <w:sz w:val="21"/>
          <w:szCs w:val="21"/>
          <w:lang w:val="en-US" w:eastAsia="zh-CN"/>
        </w:rPr>
        <w:t>3、其他资格要求：供应商须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p w14:paraId="0E28F07E">
      <w:pPr>
        <w:widowControl w:val="0"/>
        <w:spacing w:line="400" w:lineRule="exact"/>
        <w:ind w:firstLine="420" w:firstLineChars="200"/>
        <w:jc w:val="both"/>
        <w:rPr>
          <w:rFonts w:hint="eastAsia" w:ascii="宋体" w:hAnsi="宋体"/>
          <w:sz w:val="21"/>
          <w:szCs w:val="21"/>
          <w:lang w:val="en-US" w:eastAsia="zh-CN"/>
        </w:rPr>
      </w:pPr>
      <w:r>
        <w:rPr>
          <w:rFonts w:hint="eastAsia" w:ascii="宋体" w:hAnsi="宋体"/>
          <w:sz w:val="21"/>
          <w:szCs w:val="21"/>
          <w:lang w:val="en-US" w:eastAsia="zh-CN"/>
        </w:rPr>
        <w:t>4.本项目不接受联合体形式的供应商。</w:t>
      </w:r>
    </w:p>
    <w:p w14:paraId="75EF3E7F">
      <w:pPr>
        <w:spacing w:line="600" w:lineRule="exact"/>
        <w:ind w:firstLine="422" w:firstLineChars="200"/>
        <w:rPr>
          <w:rFonts w:hint="eastAsia" w:ascii="宋体" w:hAnsi="宋体" w:eastAsia="宋体" w:cs="宋体"/>
          <w:color w:val="000000"/>
          <w:sz w:val="28"/>
          <w:szCs w:val="28"/>
        </w:rPr>
      </w:pPr>
      <w:r>
        <w:rPr>
          <w:rFonts w:hint="eastAsia" w:ascii="宋体" w:hAnsi="宋体" w:eastAsia="宋体" w:cs="宋体"/>
          <w:b/>
          <w:color w:val="000000" w:themeColor="text1"/>
          <w:sz w:val="21"/>
          <w:szCs w:val="21"/>
          <w:lang w:val="en-US" w:eastAsia="zh-CN"/>
          <w14:textFill>
            <w14:solidFill>
              <w14:schemeClr w14:val="tx1"/>
            </w14:solidFill>
          </w14:textFill>
        </w:rPr>
        <w:t>四、技术要求</w:t>
      </w:r>
    </w:p>
    <w:tbl>
      <w:tblPr>
        <w:tblStyle w:val="2"/>
        <w:tblW w:w="93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
        <w:gridCol w:w="1185"/>
        <w:gridCol w:w="780"/>
        <w:gridCol w:w="6909"/>
      </w:tblGrid>
      <w:tr w14:paraId="1467F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20" w:type="dxa"/>
            <w:noWrap w:val="0"/>
            <w:vAlign w:val="center"/>
          </w:tcPr>
          <w:p w14:paraId="4547622C">
            <w:pPr>
              <w:widowControl w:val="0"/>
              <w:spacing w:line="400" w:lineRule="exact"/>
              <w:jc w:val="both"/>
              <w:rPr>
                <w:rFonts w:hint="eastAsia" w:ascii="宋体" w:hAnsi="宋体"/>
                <w:sz w:val="21"/>
                <w:szCs w:val="21"/>
              </w:rPr>
            </w:pPr>
            <w:r>
              <w:rPr>
                <w:rFonts w:hint="eastAsia" w:ascii="宋体" w:hAnsi="宋体"/>
                <w:sz w:val="21"/>
                <w:szCs w:val="21"/>
              </w:rPr>
              <w:t>序号</w:t>
            </w:r>
          </w:p>
        </w:tc>
        <w:tc>
          <w:tcPr>
            <w:tcW w:w="1185" w:type="dxa"/>
            <w:noWrap w:val="0"/>
            <w:vAlign w:val="center"/>
          </w:tcPr>
          <w:p w14:paraId="146E4D9D">
            <w:pPr>
              <w:widowControl w:val="0"/>
              <w:spacing w:line="400" w:lineRule="exact"/>
              <w:jc w:val="both"/>
              <w:rPr>
                <w:rFonts w:hint="eastAsia" w:ascii="宋体" w:hAnsi="宋体"/>
                <w:sz w:val="21"/>
                <w:szCs w:val="21"/>
              </w:rPr>
            </w:pPr>
            <w:r>
              <w:rPr>
                <w:rFonts w:hint="eastAsia" w:ascii="宋体" w:hAnsi="宋体"/>
                <w:sz w:val="21"/>
                <w:szCs w:val="21"/>
              </w:rPr>
              <w:t>标的名称</w:t>
            </w:r>
          </w:p>
        </w:tc>
        <w:tc>
          <w:tcPr>
            <w:tcW w:w="780" w:type="dxa"/>
            <w:noWrap w:val="0"/>
            <w:vAlign w:val="center"/>
          </w:tcPr>
          <w:p w14:paraId="1DBB5AE5">
            <w:pPr>
              <w:widowControl w:val="0"/>
              <w:spacing w:line="400" w:lineRule="exact"/>
              <w:jc w:val="both"/>
              <w:rPr>
                <w:rFonts w:hint="eastAsia" w:ascii="宋体" w:hAnsi="宋体"/>
                <w:sz w:val="21"/>
                <w:szCs w:val="21"/>
              </w:rPr>
            </w:pPr>
            <w:r>
              <w:rPr>
                <w:rFonts w:hint="eastAsia" w:ascii="宋体" w:hAnsi="宋体"/>
                <w:sz w:val="21"/>
                <w:szCs w:val="21"/>
              </w:rPr>
              <w:t>数量及</w:t>
            </w:r>
          </w:p>
          <w:p w14:paraId="1FD1BB5A">
            <w:pPr>
              <w:widowControl w:val="0"/>
              <w:spacing w:line="400" w:lineRule="exact"/>
              <w:jc w:val="both"/>
              <w:rPr>
                <w:rFonts w:hint="eastAsia" w:ascii="宋体" w:hAnsi="宋体"/>
                <w:sz w:val="21"/>
                <w:szCs w:val="21"/>
              </w:rPr>
            </w:pPr>
            <w:r>
              <w:rPr>
                <w:rFonts w:hint="eastAsia" w:ascii="宋体" w:hAnsi="宋体"/>
                <w:sz w:val="21"/>
                <w:szCs w:val="21"/>
              </w:rPr>
              <w:t>单位</w:t>
            </w:r>
          </w:p>
        </w:tc>
        <w:tc>
          <w:tcPr>
            <w:tcW w:w="6909" w:type="dxa"/>
            <w:noWrap w:val="0"/>
            <w:vAlign w:val="center"/>
          </w:tcPr>
          <w:p w14:paraId="5E228659">
            <w:pPr>
              <w:widowControl w:val="0"/>
              <w:spacing w:line="400" w:lineRule="exact"/>
              <w:jc w:val="both"/>
              <w:rPr>
                <w:rFonts w:hint="eastAsia" w:ascii="宋体" w:hAnsi="宋体"/>
                <w:sz w:val="21"/>
                <w:szCs w:val="21"/>
                <w:lang w:val="en-US" w:eastAsia="zh-CN"/>
              </w:rPr>
            </w:pPr>
            <w:r>
              <w:rPr>
                <w:rFonts w:hint="eastAsia" w:ascii="宋体" w:hAnsi="宋体"/>
                <w:sz w:val="21"/>
                <w:szCs w:val="21"/>
              </w:rPr>
              <w:t>技术</w:t>
            </w:r>
            <w:r>
              <w:rPr>
                <w:rFonts w:hint="eastAsia" w:ascii="宋体" w:hAnsi="宋体"/>
                <w:sz w:val="21"/>
                <w:szCs w:val="21"/>
                <w:lang w:val="en-US" w:eastAsia="zh-CN"/>
              </w:rPr>
              <w:t>要求</w:t>
            </w:r>
          </w:p>
        </w:tc>
      </w:tr>
      <w:tr w14:paraId="2C0AB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jc w:val="center"/>
        </w:trPr>
        <w:tc>
          <w:tcPr>
            <w:tcW w:w="520" w:type="dxa"/>
            <w:noWrap w:val="0"/>
            <w:vAlign w:val="center"/>
          </w:tcPr>
          <w:p w14:paraId="6C091D8D">
            <w:pPr>
              <w:widowControl w:val="0"/>
              <w:spacing w:line="400" w:lineRule="exact"/>
              <w:jc w:val="both"/>
              <w:rPr>
                <w:rFonts w:hint="default" w:ascii="宋体" w:hAnsi="宋体"/>
                <w:sz w:val="21"/>
                <w:szCs w:val="21"/>
                <w:lang w:val="en-US" w:eastAsia="zh-CN"/>
              </w:rPr>
            </w:pPr>
            <w:r>
              <w:rPr>
                <w:rFonts w:hint="eastAsia" w:ascii="宋体" w:hAnsi="宋体"/>
                <w:sz w:val="21"/>
                <w:szCs w:val="21"/>
                <w:lang w:val="en-US" w:eastAsia="zh-CN"/>
              </w:rPr>
              <w:t>1</w:t>
            </w:r>
          </w:p>
        </w:tc>
        <w:tc>
          <w:tcPr>
            <w:tcW w:w="1185" w:type="dxa"/>
            <w:noWrap w:val="0"/>
            <w:vAlign w:val="center"/>
          </w:tcPr>
          <w:p w14:paraId="6FBB0FEB">
            <w:pPr>
              <w:widowControl w:val="0"/>
              <w:spacing w:line="400" w:lineRule="exact"/>
              <w:jc w:val="both"/>
              <w:rPr>
                <w:rFonts w:hint="eastAsia" w:ascii="宋体" w:hAnsi="宋体"/>
                <w:sz w:val="21"/>
                <w:szCs w:val="21"/>
                <w:lang w:val="en-US" w:eastAsia="zh-CN"/>
              </w:rPr>
            </w:pPr>
            <w:r>
              <w:rPr>
                <w:rFonts w:hint="eastAsia" w:ascii="宋体" w:hAnsi="宋体"/>
                <w:sz w:val="21"/>
                <w:szCs w:val="21"/>
                <w:lang w:val="en-US" w:eastAsia="zh-CN"/>
              </w:rPr>
              <w:t>液氮罐</w:t>
            </w:r>
          </w:p>
        </w:tc>
        <w:tc>
          <w:tcPr>
            <w:tcW w:w="780" w:type="dxa"/>
            <w:noWrap w:val="0"/>
            <w:vAlign w:val="center"/>
          </w:tcPr>
          <w:p w14:paraId="0BD88F80">
            <w:pPr>
              <w:widowControl w:val="0"/>
              <w:spacing w:line="400" w:lineRule="exact"/>
              <w:jc w:val="both"/>
              <w:rPr>
                <w:rFonts w:hint="default" w:ascii="宋体" w:hAnsi="宋体"/>
                <w:sz w:val="21"/>
                <w:szCs w:val="21"/>
                <w:lang w:val="en-US" w:eastAsia="zh-CN"/>
              </w:rPr>
            </w:pPr>
            <w:r>
              <w:rPr>
                <w:rFonts w:hint="eastAsia" w:ascii="宋体" w:hAnsi="宋体"/>
                <w:sz w:val="21"/>
                <w:szCs w:val="21"/>
                <w:lang w:val="en-US" w:eastAsia="zh-CN"/>
              </w:rPr>
              <w:t>2个</w:t>
            </w:r>
          </w:p>
        </w:tc>
        <w:tc>
          <w:tcPr>
            <w:tcW w:w="6909" w:type="dxa"/>
            <w:noWrap w:val="0"/>
            <w:vAlign w:val="center"/>
          </w:tcPr>
          <w:p w14:paraId="718A5D68">
            <w:pPr>
              <w:widowControl w:val="0"/>
              <w:spacing w:line="400" w:lineRule="exact"/>
              <w:jc w:val="both"/>
              <w:rPr>
                <w:rFonts w:hint="eastAsia" w:ascii="宋体" w:hAnsi="宋体"/>
                <w:sz w:val="21"/>
                <w:szCs w:val="21"/>
              </w:rPr>
            </w:pPr>
            <w:r>
              <w:rPr>
                <w:rFonts w:hint="eastAsia" w:ascii="宋体" w:hAnsi="宋体"/>
                <w:sz w:val="21"/>
                <w:szCs w:val="21"/>
              </w:rPr>
              <w:t xml:space="preserve">1.液氮容量：≥47.4 L </w:t>
            </w:r>
          </w:p>
          <w:p w14:paraId="05DAC311">
            <w:pPr>
              <w:widowControl w:val="0"/>
              <w:spacing w:line="400" w:lineRule="exact"/>
              <w:jc w:val="both"/>
              <w:rPr>
                <w:rFonts w:hint="eastAsia" w:ascii="宋体" w:hAnsi="宋体"/>
                <w:sz w:val="21"/>
                <w:szCs w:val="21"/>
              </w:rPr>
            </w:pPr>
            <w:r>
              <w:rPr>
                <w:rFonts w:hint="eastAsia" w:ascii="宋体" w:hAnsi="宋体"/>
                <w:sz w:val="21"/>
                <w:szCs w:val="21"/>
              </w:rPr>
              <w:t xml:space="preserve">2.瓶颈：≥12.7cm </w:t>
            </w:r>
          </w:p>
          <w:p w14:paraId="13812892">
            <w:pPr>
              <w:widowControl w:val="0"/>
              <w:spacing w:line="400" w:lineRule="exact"/>
              <w:jc w:val="both"/>
              <w:rPr>
                <w:rFonts w:hint="eastAsia" w:ascii="宋体" w:hAnsi="宋体"/>
                <w:sz w:val="21"/>
                <w:szCs w:val="21"/>
              </w:rPr>
            </w:pPr>
            <w:r>
              <w:rPr>
                <w:rFonts w:hint="eastAsia" w:ascii="宋体" w:hAnsi="宋体" w:cs="宋体"/>
                <w:szCs w:val="21"/>
              </w:rPr>
              <w:t>▲</w:t>
            </w:r>
            <w:r>
              <w:rPr>
                <w:rFonts w:hint="eastAsia" w:ascii="宋体" w:hAnsi="宋体"/>
                <w:sz w:val="21"/>
                <w:szCs w:val="21"/>
              </w:rPr>
              <w:t>3.静态蒸发率：≤0.</w:t>
            </w:r>
            <w:r>
              <w:rPr>
                <w:rFonts w:hint="eastAsia" w:ascii="宋体" w:hAnsi="宋体"/>
                <w:sz w:val="21"/>
                <w:szCs w:val="21"/>
                <w:lang w:val="en-US" w:eastAsia="zh-CN"/>
              </w:rPr>
              <w:t>4</w:t>
            </w:r>
            <w:r>
              <w:rPr>
                <w:rFonts w:hint="eastAsia" w:ascii="宋体" w:hAnsi="宋体"/>
                <w:sz w:val="21"/>
                <w:szCs w:val="21"/>
              </w:rPr>
              <w:t xml:space="preserve">L/D </w:t>
            </w:r>
          </w:p>
          <w:p w14:paraId="34D7454E">
            <w:pPr>
              <w:widowControl w:val="0"/>
              <w:spacing w:line="400" w:lineRule="exact"/>
              <w:jc w:val="both"/>
              <w:rPr>
                <w:rFonts w:hint="eastAsia" w:ascii="宋体" w:hAnsi="宋体"/>
                <w:sz w:val="21"/>
                <w:szCs w:val="21"/>
              </w:rPr>
            </w:pPr>
            <w:r>
              <w:rPr>
                <w:rFonts w:hint="eastAsia" w:ascii="宋体" w:hAnsi="宋体" w:cs="宋体"/>
                <w:szCs w:val="21"/>
              </w:rPr>
              <w:t>▲</w:t>
            </w:r>
            <w:r>
              <w:rPr>
                <w:rFonts w:hint="eastAsia" w:ascii="宋体" w:hAnsi="宋体"/>
                <w:sz w:val="21"/>
                <w:szCs w:val="21"/>
              </w:rPr>
              <w:t>4.静态持续时间：≥12</w:t>
            </w:r>
            <w:r>
              <w:rPr>
                <w:rFonts w:hint="eastAsia" w:ascii="宋体" w:hAnsi="宋体"/>
                <w:sz w:val="21"/>
                <w:szCs w:val="21"/>
                <w:lang w:val="en-US" w:eastAsia="zh-CN"/>
              </w:rPr>
              <w:t>0</w:t>
            </w:r>
            <w:r>
              <w:rPr>
                <w:rFonts w:hint="eastAsia" w:ascii="宋体" w:hAnsi="宋体"/>
                <w:sz w:val="21"/>
                <w:szCs w:val="21"/>
              </w:rPr>
              <w:t xml:space="preserve">天 </w:t>
            </w:r>
          </w:p>
          <w:p w14:paraId="575643CD">
            <w:pPr>
              <w:widowControl w:val="0"/>
              <w:spacing w:line="400" w:lineRule="exact"/>
              <w:jc w:val="both"/>
              <w:rPr>
                <w:rFonts w:hint="eastAsia" w:ascii="宋体" w:hAnsi="宋体"/>
                <w:sz w:val="21"/>
                <w:szCs w:val="21"/>
              </w:rPr>
            </w:pPr>
            <w:r>
              <w:rPr>
                <w:rFonts w:hint="eastAsia" w:ascii="宋体" w:hAnsi="宋体"/>
                <w:sz w:val="21"/>
                <w:szCs w:val="21"/>
              </w:rPr>
              <w:t xml:space="preserve">5.标配的提筒：≥10 个 </w:t>
            </w:r>
          </w:p>
          <w:p w14:paraId="70E2A0A5">
            <w:pPr>
              <w:widowControl w:val="0"/>
              <w:spacing w:line="400" w:lineRule="exact"/>
              <w:jc w:val="both"/>
              <w:rPr>
                <w:rFonts w:hint="eastAsia" w:ascii="宋体" w:hAnsi="宋体"/>
                <w:sz w:val="21"/>
                <w:szCs w:val="21"/>
              </w:rPr>
            </w:pPr>
            <w:r>
              <w:rPr>
                <w:rFonts w:hint="eastAsia" w:ascii="宋体" w:hAnsi="宋体"/>
                <w:sz w:val="21"/>
                <w:szCs w:val="21"/>
              </w:rPr>
              <w:t xml:space="preserve">6.可贮存 0.5ml 麦管 5000 个或 2ml 冻存管 1050 个 </w:t>
            </w:r>
          </w:p>
          <w:p w14:paraId="59214126">
            <w:pPr>
              <w:widowControl w:val="0"/>
              <w:spacing w:line="400" w:lineRule="exact"/>
              <w:jc w:val="both"/>
              <w:rPr>
                <w:rFonts w:hint="eastAsia" w:ascii="宋体" w:hAnsi="宋体"/>
                <w:sz w:val="21"/>
                <w:szCs w:val="21"/>
              </w:rPr>
            </w:pPr>
            <w:r>
              <w:rPr>
                <w:rFonts w:hint="eastAsia" w:ascii="宋体" w:hAnsi="宋体"/>
                <w:sz w:val="21"/>
                <w:szCs w:val="21"/>
              </w:rPr>
              <w:t xml:space="preserve">7.总体罐高≥673mm </w:t>
            </w:r>
          </w:p>
          <w:p w14:paraId="7469C375">
            <w:pPr>
              <w:widowControl w:val="0"/>
              <w:spacing w:line="400" w:lineRule="exact"/>
              <w:jc w:val="both"/>
              <w:rPr>
                <w:rFonts w:hint="eastAsia" w:ascii="宋体" w:hAnsi="宋体"/>
                <w:sz w:val="21"/>
                <w:szCs w:val="21"/>
              </w:rPr>
            </w:pPr>
            <w:r>
              <w:rPr>
                <w:rFonts w:hint="eastAsia" w:ascii="宋体" w:hAnsi="宋体"/>
                <w:sz w:val="21"/>
                <w:szCs w:val="21"/>
              </w:rPr>
              <w:t>8.空罐</w:t>
            </w:r>
            <w:bookmarkStart w:id="0" w:name="_GoBack"/>
            <w:bookmarkEnd w:id="0"/>
            <w:r>
              <w:rPr>
                <w:rFonts w:hint="eastAsia" w:ascii="宋体" w:hAnsi="宋体"/>
                <w:sz w:val="21"/>
                <w:szCs w:val="21"/>
              </w:rPr>
              <w:t xml:space="preserve">重量≤19kg </w:t>
            </w:r>
          </w:p>
          <w:p w14:paraId="265786FC">
            <w:pPr>
              <w:widowControl w:val="0"/>
              <w:spacing w:line="400" w:lineRule="exact"/>
              <w:jc w:val="both"/>
              <w:rPr>
                <w:rFonts w:hint="eastAsia" w:ascii="宋体" w:hAnsi="宋体"/>
                <w:sz w:val="21"/>
                <w:szCs w:val="21"/>
              </w:rPr>
            </w:pPr>
            <w:r>
              <w:rPr>
                <w:rFonts w:hint="eastAsia" w:ascii="宋体" w:hAnsi="宋体"/>
                <w:sz w:val="21"/>
                <w:szCs w:val="21"/>
              </w:rPr>
              <w:t>9.配带原装滚轮底座，液氮罐尺寸：直径×高度：≥50.8×67.3cm</w:t>
            </w:r>
          </w:p>
          <w:p w14:paraId="2BDB901B">
            <w:pPr>
              <w:widowControl w:val="0"/>
              <w:spacing w:line="400" w:lineRule="exact"/>
              <w:jc w:val="both"/>
              <w:rPr>
                <w:rFonts w:hint="eastAsia" w:ascii="宋体" w:hAnsi="宋体"/>
                <w:sz w:val="21"/>
                <w:szCs w:val="21"/>
              </w:rPr>
            </w:pPr>
            <w:r>
              <w:rPr>
                <w:rFonts w:hint="eastAsia" w:ascii="宋体" w:hAnsi="宋体"/>
                <w:sz w:val="21"/>
                <w:szCs w:val="21"/>
              </w:rPr>
              <w:t>10.</w:t>
            </w:r>
            <w:r>
              <w:rPr>
                <w:rFonts w:hint="eastAsia" w:ascii="宋体" w:hAnsi="宋体"/>
                <w:sz w:val="21"/>
                <w:szCs w:val="21"/>
                <w:lang w:val="en-US" w:eastAsia="zh-CN"/>
              </w:rPr>
              <w:t>智能监控盖子：（1）</w:t>
            </w:r>
            <w:r>
              <w:rPr>
                <w:rFonts w:hint="eastAsia" w:ascii="宋体" w:hAnsi="宋体"/>
                <w:sz w:val="21"/>
                <w:szCs w:val="21"/>
              </w:rPr>
              <w:t>罐盖内置19Ah电池或220v电源供电，休眠状态下，可续航≥15天。具有双密码验证功能，开锁方式为密码锁+机械备用钥匙。在温度异常、电量过低、开盖时常过长等异常情况下会进行远程报警。配有≥4寸彩色触控显示屏。</w:t>
            </w: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lang w:val="en-US" w:eastAsia="zh-CN"/>
              </w:rPr>
              <w:t>智能监控盖子</w:t>
            </w:r>
            <w:r>
              <w:rPr>
                <w:rFonts w:hint="eastAsia" w:ascii="宋体" w:hAnsi="宋体"/>
                <w:sz w:val="21"/>
                <w:szCs w:val="21"/>
              </w:rPr>
              <w:t>连接</w:t>
            </w:r>
            <w:r>
              <w:rPr>
                <w:rFonts w:hint="eastAsia" w:ascii="宋体" w:hAnsi="宋体"/>
                <w:sz w:val="21"/>
                <w:szCs w:val="21"/>
                <w:lang w:val="en-US" w:eastAsia="zh-CN"/>
              </w:rPr>
              <w:t>现有监控</w:t>
            </w:r>
            <w:r>
              <w:rPr>
                <w:rFonts w:hint="eastAsia" w:ascii="宋体" w:hAnsi="宋体"/>
                <w:sz w:val="21"/>
                <w:szCs w:val="21"/>
              </w:rPr>
              <w:t>系统进行设备监控管理。</w:t>
            </w:r>
          </w:p>
          <w:p w14:paraId="1745ECC7">
            <w:pPr>
              <w:widowControl w:val="0"/>
              <w:spacing w:line="400" w:lineRule="exact"/>
              <w:jc w:val="both"/>
              <w:rPr>
                <w:rFonts w:hint="default" w:ascii="宋体" w:hAnsi="宋体"/>
                <w:sz w:val="21"/>
                <w:szCs w:val="21"/>
                <w:lang w:val="en-US" w:eastAsia="zh-CN"/>
              </w:rPr>
            </w:pPr>
            <w:r>
              <w:rPr>
                <w:rFonts w:hint="eastAsia" w:ascii="宋体" w:hAnsi="宋体"/>
                <w:sz w:val="21"/>
                <w:szCs w:val="21"/>
                <w:lang w:val="en-US" w:eastAsia="zh-CN"/>
              </w:rPr>
              <w:t>备注：液氮罐接受进口产品</w:t>
            </w:r>
          </w:p>
        </w:tc>
      </w:tr>
    </w:tbl>
    <w:p w14:paraId="28937536">
      <w:pPr>
        <w:spacing w:line="600" w:lineRule="exact"/>
        <w:rPr>
          <w:rFonts w:hint="eastAsia" w:ascii="宋体" w:hAnsi="宋体" w:eastAsia="宋体" w:cs="宋体"/>
          <w:color w:val="000000" w:themeColor="text1"/>
          <w:sz w:val="28"/>
          <w:szCs w:val="28"/>
          <w:lang w:val="en-US" w:eastAsia="zh-CN"/>
          <w14:textFill>
            <w14:solidFill>
              <w14:schemeClr w14:val="tx1"/>
            </w14:solidFill>
          </w14:textFill>
        </w:rPr>
      </w:pPr>
    </w:p>
    <w:p w14:paraId="07ECB615">
      <w:pPr>
        <w:numPr>
          <w:ilvl w:val="0"/>
          <w:numId w:val="2"/>
        </w:numPr>
        <w:spacing w:line="600" w:lineRule="exact"/>
        <w:ind w:firstLine="422" w:firstLineChars="200"/>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商务要求</w:t>
      </w:r>
    </w:p>
    <w:p w14:paraId="5710B886">
      <w:pPr>
        <w:spacing w:line="600" w:lineRule="exact"/>
        <w:rPr>
          <w:rFonts w:hint="eastAsia" w:ascii="宋体" w:hAnsi="宋体" w:eastAsia="宋体" w:cs="宋体"/>
          <w:color w:val="000000" w:themeColor="text1"/>
          <w:sz w:val="21"/>
          <w:szCs w:val="21"/>
          <w:lang w:val="zh-CN"/>
          <w14:textFill>
            <w14:solidFill>
              <w14:schemeClr w14:val="tx1"/>
            </w14:solidFill>
          </w14:textFill>
        </w:rPr>
      </w:pPr>
    </w:p>
    <w:tbl>
      <w:tblPr>
        <w:tblStyle w:val="2"/>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8"/>
        <w:gridCol w:w="8321"/>
      </w:tblGrid>
      <w:tr w14:paraId="32908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39" w:type="dxa"/>
            <w:gridSpan w:val="2"/>
            <w:tcBorders>
              <w:top w:val="single" w:color="auto" w:sz="4" w:space="0"/>
              <w:left w:val="single" w:color="auto" w:sz="4" w:space="0"/>
              <w:bottom w:val="single" w:color="auto" w:sz="4" w:space="0"/>
              <w:right w:val="single" w:color="auto" w:sz="4" w:space="0"/>
            </w:tcBorders>
            <w:noWrap w:val="0"/>
            <w:vAlign w:val="top"/>
          </w:tcPr>
          <w:p w14:paraId="6CE68693">
            <w:pPr>
              <w:widowControl w:val="0"/>
              <w:spacing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
                <w:color w:val="auto"/>
                <w:kern w:val="2"/>
                <w:sz w:val="21"/>
                <w:szCs w:val="21"/>
                <w:highlight w:val="none"/>
              </w:rPr>
              <w:t>商务</w:t>
            </w:r>
            <w:r>
              <w:rPr>
                <w:rFonts w:hint="eastAsia" w:ascii="宋体" w:hAnsi="宋体" w:eastAsia="宋体" w:cs="宋体"/>
                <w:b/>
                <w:color w:val="auto"/>
                <w:kern w:val="2"/>
                <w:sz w:val="21"/>
                <w:szCs w:val="21"/>
                <w:highlight w:val="none"/>
                <w:lang w:val="en-US" w:eastAsia="zh-CN"/>
              </w:rPr>
              <w:t>要求</w:t>
            </w:r>
          </w:p>
        </w:tc>
      </w:tr>
      <w:tr w14:paraId="4205C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noWrap w:val="0"/>
            <w:vAlign w:val="center"/>
          </w:tcPr>
          <w:p w14:paraId="32995DC8">
            <w:pPr>
              <w:widowControl w:val="0"/>
              <w:spacing w:line="400" w:lineRule="exact"/>
              <w:jc w:val="both"/>
              <w:rPr>
                <w:rFonts w:hint="eastAsia" w:ascii="宋体" w:hAnsi="宋体"/>
                <w:sz w:val="21"/>
                <w:szCs w:val="21"/>
              </w:rPr>
            </w:pPr>
            <w:r>
              <w:rPr>
                <w:rFonts w:hint="eastAsia" w:ascii="宋体" w:hAnsi="宋体"/>
                <w:sz w:val="21"/>
                <w:szCs w:val="21"/>
              </w:rPr>
              <w:t>投标报价</w:t>
            </w:r>
          </w:p>
        </w:tc>
        <w:tc>
          <w:tcPr>
            <w:tcW w:w="8321" w:type="dxa"/>
            <w:tcBorders>
              <w:top w:val="single" w:color="auto" w:sz="4" w:space="0"/>
              <w:left w:val="single" w:color="auto" w:sz="4" w:space="0"/>
              <w:bottom w:val="single" w:color="auto" w:sz="4" w:space="0"/>
              <w:right w:val="single" w:color="auto" w:sz="4" w:space="0"/>
            </w:tcBorders>
            <w:noWrap w:val="0"/>
            <w:vAlign w:val="top"/>
          </w:tcPr>
          <w:p w14:paraId="6CCD346E">
            <w:pPr>
              <w:widowControl w:val="0"/>
              <w:spacing w:line="400" w:lineRule="exact"/>
              <w:jc w:val="both"/>
              <w:rPr>
                <w:rFonts w:hint="eastAsia" w:ascii="宋体" w:hAnsi="宋体"/>
                <w:sz w:val="21"/>
                <w:szCs w:val="21"/>
              </w:rPr>
            </w:pPr>
            <w:r>
              <w:rPr>
                <w:rFonts w:hint="eastAsia" w:ascii="宋体" w:hAnsi="宋体"/>
                <w:sz w:val="21"/>
                <w:szCs w:val="21"/>
              </w:rPr>
              <w:t>投标报价为采购人指定地点的现场交货价，包括：</w:t>
            </w:r>
          </w:p>
          <w:p w14:paraId="6BDB0FC6">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1、投标人就《货物需求一览表》中全部内容作完整唯一报价，不完整响应或拆分投标的将导致投标无效；</w:t>
            </w:r>
          </w:p>
          <w:p w14:paraId="41DAA273">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2、本项目投标应以人民币报价；</w:t>
            </w:r>
          </w:p>
          <w:p w14:paraId="5FDCC320">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3、不论</w:t>
            </w:r>
            <w:r>
              <w:rPr>
                <w:rFonts w:hint="eastAsia" w:ascii="宋体" w:hAnsi="宋体"/>
                <w:sz w:val="21"/>
                <w:szCs w:val="21"/>
                <w:lang w:val="en-US" w:eastAsia="zh-CN"/>
              </w:rPr>
              <w:t>竞</w:t>
            </w:r>
            <w:r>
              <w:rPr>
                <w:rFonts w:hint="eastAsia" w:ascii="宋体" w:hAnsi="宋体"/>
                <w:sz w:val="21"/>
                <w:szCs w:val="21"/>
              </w:rPr>
              <w:t>标结果如何，</w:t>
            </w:r>
            <w:r>
              <w:rPr>
                <w:rFonts w:hint="eastAsia" w:ascii="宋体" w:hAnsi="宋体"/>
                <w:sz w:val="21"/>
                <w:szCs w:val="21"/>
                <w:lang w:val="en-US" w:eastAsia="zh-CN"/>
              </w:rPr>
              <w:t>供应商</w:t>
            </w:r>
            <w:r>
              <w:rPr>
                <w:rFonts w:hint="eastAsia" w:ascii="宋体" w:hAnsi="宋体"/>
                <w:sz w:val="21"/>
                <w:szCs w:val="21"/>
              </w:rPr>
              <w:t>均应自行承担所有与</w:t>
            </w:r>
            <w:r>
              <w:rPr>
                <w:rFonts w:hint="eastAsia" w:ascii="宋体" w:hAnsi="宋体"/>
                <w:sz w:val="21"/>
                <w:szCs w:val="21"/>
                <w:lang w:val="en-US" w:eastAsia="zh-CN"/>
              </w:rPr>
              <w:t>竞</w:t>
            </w:r>
            <w:r>
              <w:rPr>
                <w:rFonts w:hint="eastAsia" w:ascii="宋体" w:hAnsi="宋体"/>
                <w:sz w:val="21"/>
                <w:szCs w:val="21"/>
              </w:rPr>
              <w:t>标有关的全部费用；</w:t>
            </w:r>
          </w:p>
          <w:p w14:paraId="563549DF">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4、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w:t>
            </w:r>
            <w:r>
              <w:rPr>
                <w:rFonts w:hint="eastAsia" w:ascii="宋体" w:hAnsi="宋体"/>
                <w:sz w:val="21"/>
                <w:szCs w:val="21"/>
                <w:lang w:val="en-US" w:eastAsia="zh-CN"/>
              </w:rPr>
              <w:t>网络端口接入费、</w:t>
            </w:r>
            <w:r>
              <w:rPr>
                <w:rFonts w:hint="eastAsia" w:ascii="宋体" w:hAnsi="宋体"/>
                <w:sz w:val="21"/>
                <w:szCs w:val="21"/>
              </w:rPr>
              <w:t>招标代理服务费等与本项目相关的一切费用；</w:t>
            </w:r>
          </w:p>
          <w:p w14:paraId="2CE3747F">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5、</w:t>
            </w:r>
            <w:r>
              <w:rPr>
                <w:rFonts w:hint="eastAsia" w:ascii="宋体" w:hAnsi="宋体"/>
                <w:sz w:val="21"/>
                <w:szCs w:val="21"/>
                <w:lang w:val="en-US" w:eastAsia="zh-CN"/>
              </w:rPr>
              <w:t>供应商</w:t>
            </w:r>
            <w:r>
              <w:rPr>
                <w:rFonts w:hint="eastAsia" w:ascii="宋体" w:hAnsi="宋体"/>
                <w:sz w:val="21"/>
                <w:szCs w:val="21"/>
              </w:rPr>
              <w:t>漏报的单价或每单价报价中漏报、少报的费用，视为此项费用已隐含在</w:t>
            </w:r>
            <w:r>
              <w:rPr>
                <w:rFonts w:hint="eastAsia" w:ascii="宋体" w:hAnsi="宋体"/>
                <w:sz w:val="21"/>
                <w:szCs w:val="21"/>
                <w:lang w:val="en-US" w:eastAsia="zh-CN"/>
              </w:rPr>
              <w:t>竞</w:t>
            </w:r>
            <w:r>
              <w:rPr>
                <w:rFonts w:hint="eastAsia" w:ascii="宋体" w:hAnsi="宋体"/>
                <w:sz w:val="21"/>
                <w:szCs w:val="21"/>
              </w:rPr>
              <w:t>标报价中，</w:t>
            </w:r>
            <w:r>
              <w:rPr>
                <w:rFonts w:hint="eastAsia" w:ascii="宋体" w:hAnsi="宋体"/>
                <w:sz w:val="21"/>
                <w:szCs w:val="21"/>
                <w:lang w:val="en-US" w:eastAsia="zh-CN"/>
              </w:rPr>
              <w:t>成交</w:t>
            </w:r>
            <w:r>
              <w:rPr>
                <w:rFonts w:hint="eastAsia" w:ascii="宋体" w:hAnsi="宋体"/>
                <w:sz w:val="21"/>
                <w:szCs w:val="21"/>
              </w:rPr>
              <w:t>后不得再向采购人收取任何费用。</w:t>
            </w:r>
          </w:p>
          <w:p w14:paraId="0109EBBD">
            <w:pPr>
              <w:widowControl w:val="0"/>
              <w:spacing w:line="400" w:lineRule="exact"/>
              <w:jc w:val="both"/>
              <w:rPr>
                <w:rFonts w:hint="eastAsia" w:ascii="宋体" w:hAnsi="宋体"/>
                <w:sz w:val="21"/>
                <w:szCs w:val="21"/>
              </w:rPr>
            </w:pPr>
          </w:p>
        </w:tc>
      </w:tr>
      <w:tr w14:paraId="15175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noWrap w:val="0"/>
            <w:vAlign w:val="center"/>
          </w:tcPr>
          <w:p w14:paraId="313A08F9">
            <w:pPr>
              <w:widowControl w:val="0"/>
              <w:spacing w:line="400" w:lineRule="exact"/>
              <w:jc w:val="both"/>
              <w:rPr>
                <w:rFonts w:hint="eastAsia" w:ascii="宋体" w:hAnsi="宋体"/>
                <w:sz w:val="21"/>
                <w:szCs w:val="21"/>
              </w:rPr>
            </w:pPr>
            <w:r>
              <w:rPr>
                <w:rFonts w:hint="eastAsia" w:ascii="宋体" w:hAnsi="宋体"/>
                <w:sz w:val="21"/>
                <w:szCs w:val="21"/>
              </w:rPr>
              <w:t>质保期</w:t>
            </w:r>
          </w:p>
        </w:tc>
        <w:tc>
          <w:tcPr>
            <w:tcW w:w="8321" w:type="dxa"/>
            <w:tcBorders>
              <w:top w:val="single" w:color="auto" w:sz="4" w:space="0"/>
              <w:left w:val="single" w:color="auto" w:sz="4" w:space="0"/>
              <w:bottom w:val="single" w:color="auto" w:sz="4" w:space="0"/>
              <w:right w:val="single" w:color="auto" w:sz="4" w:space="0"/>
            </w:tcBorders>
            <w:noWrap w:val="0"/>
            <w:vAlign w:val="center"/>
          </w:tcPr>
          <w:p w14:paraId="4EBDA4C3">
            <w:pPr>
              <w:widowControl w:val="0"/>
              <w:spacing w:line="400" w:lineRule="exact"/>
              <w:ind w:firstLine="420" w:firstLineChars="200"/>
              <w:jc w:val="both"/>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按国家有关规定实行产品“三包”，货物（易耗品除外）质保期不少于</w:t>
            </w:r>
            <w:r>
              <w:rPr>
                <w:rFonts w:hint="eastAsia" w:ascii="宋体" w:hAnsi="宋体"/>
                <w:sz w:val="21"/>
                <w:szCs w:val="21"/>
                <w:highlight w:val="yellow"/>
                <w:lang w:val="en-US" w:eastAsia="zh-CN"/>
              </w:rPr>
              <w:t>叁</w:t>
            </w:r>
            <w:r>
              <w:rPr>
                <w:rFonts w:hint="eastAsia" w:ascii="宋体" w:hAnsi="宋体"/>
                <w:sz w:val="21"/>
                <w:szCs w:val="21"/>
                <w:highlight w:val="yellow"/>
              </w:rPr>
              <w:t>年</w:t>
            </w:r>
            <w:r>
              <w:rPr>
                <w:rFonts w:hint="eastAsia" w:ascii="宋体" w:hAnsi="宋体"/>
                <w:sz w:val="21"/>
                <w:szCs w:val="21"/>
              </w:rPr>
              <w:t>，分项设备有质保期要求的按其要求。保修期自安装调试验收合格，并以双方最终验收报告签字日开始计算。质保期内负责上门服务、维修、更换配件，不得收取任何费用。若在使用的前3个月内，出现非人为操作失误的重大故障，应予以免费换货。质保期内，设备的核心部件非人为因素的故障出现2次，或设备其他部件同样故障出现3次，须按采购人要求进行退货、退款或更换新设备，更换的新设备质保期为一年或按原设备质保期（以较长的时间计）。质保期满前1个月内中标人应提供一次免费全面检查。更换的零部件必须保证是原厂全新的同型号或相近型号、性能不低于原型号的零部件，确保设备正常运行。</w:t>
            </w:r>
          </w:p>
          <w:p w14:paraId="6F3FC5C0">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2.无论质保期内或质保期满后均应保证常用备品、配件供应，如发生停止生产情况，需将停产计划及时通知采购人使其有足够的时间采购所需的备件。质保期满后以优惠价格提供维修和备件更换，常用备品、配件优惠价格需在投标文件中列出。</w:t>
            </w:r>
          </w:p>
        </w:tc>
      </w:tr>
      <w:tr w14:paraId="067B6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noWrap w:val="0"/>
            <w:vAlign w:val="center"/>
          </w:tcPr>
          <w:p w14:paraId="0BFBBC30">
            <w:pPr>
              <w:widowControl w:val="0"/>
              <w:spacing w:line="400" w:lineRule="exact"/>
              <w:jc w:val="both"/>
              <w:rPr>
                <w:rFonts w:hint="eastAsia" w:ascii="宋体" w:hAnsi="宋体"/>
                <w:sz w:val="21"/>
                <w:szCs w:val="21"/>
              </w:rPr>
            </w:pPr>
            <w:r>
              <w:rPr>
                <w:rFonts w:hint="eastAsia" w:ascii="宋体" w:hAnsi="宋体"/>
                <w:sz w:val="21"/>
                <w:szCs w:val="21"/>
              </w:rPr>
              <w:t>售后技术服务要求</w:t>
            </w:r>
          </w:p>
        </w:tc>
        <w:tc>
          <w:tcPr>
            <w:tcW w:w="8321" w:type="dxa"/>
            <w:tcBorders>
              <w:top w:val="single" w:color="auto" w:sz="4" w:space="0"/>
              <w:left w:val="single" w:color="auto" w:sz="4" w:space="0"/>
              <w:bottom w:val="single" w:color="auto" w:sz="4" w:space="0"/>
              <w:right w:val="single" w:color="auto" w:sz="4" w:space="0"/>
            </w:tcBorders>
            <w:noWrap w:val="0"/>
            <w:vAlign w:val="center"/>
          </w:tcPr>
          <w:p w14:paraId="58D417B3">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1.免费送货上门，提供的产品必须是未使用过的全新产品。免费安装调试，免费现场培训相关人员至掌握设备操作及日常维护。</w:t>
            </w:r>
          </w:p>
          <w:p w14:paraId="2A37E006">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2.设备出现故障后，中标人需要2小时内做出响应，如需现场维修的，要求</w:t>
            </w:r>
            <w:r>
              <w:rPr>
                <w:rFonts w:hint="eastAsia" w:ascii="宋体" w:hAnsi="宋体"/>
                <w:sz w:val="21"/>
                <w:szCs w:val="21"/>
                <w:lang w:val="en-US" w:eastAsia="zh-CN"/>
              </w:rPr>
              <w:t>24</w:t>
            </w:r>
            <w:r>
              <w:rPr>
                <w:rFonts w:hint="eastAsia" w:ascii="宋体" w:hAnsi="宋体"/>
                <w:sz w:val="21"/>
                <w:szCs w:val="21"/>
              </w:rPr>
              <w:t>小时内派工程师到现场进行故障排除，48小时内故障无法修复的，需要立即提供与原设备技术参数要求相同或高于原设备技术参数要求的备用产品，以保证采购人的正常工作。若中标人不在承诺的时间内响应，采购人有权请第三方进行维修，因此产生的费用从中标人的合同余款中扣除。（第三方维修产生的费用超出合同余款的费用由中标人承担）。</w:t>
            </w:r>
          </w:p>
          <w:p w14:paraId="5F344B86">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3.定期的维护保养、质控服务：每年提供不少于4次定期维护保养和质控，包含设备的安全检查、设备除尘保养、运行状态检查等等，并提供定期维护预先计划与保养及质控报告。</w:t>
            </w:r>
          </w:p>
          <w:p w14:paraId="60E3E46F">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4.投标人应保证所投标的产品必须是符合国家和行业标准的全新、未使用过的产品，并免费提供设备的系统软件及硬件的安全性改版升级和技术支持，保证所有系统软件（非功能软件）为最新版本。</w:t>
            </w:r>
          </w:p>
          <w:p w14:paraId="0979F79E">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5.保证设备全年日历日的开机率≥95%，按照一年 365 个日历日计算, 未达到的天数，按1:2比例顺延保修期时间。</w:t>
            </w:r>
          </w:p>
          <w:p w14:paraId="25B165D8">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6.如该设备的输出结果以报告形式呈现的，须免费接入采购人信息系统，与采购人信息系统实现互联互通，不再额外收取接口开发、调试和接入等费用。</w:t>
            </w:r>
          </w:p>
        </w:tc>
      </w:tr>
      <w:tr w14:paraId="6CE42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noWrap w:val="0"/>
            <w:vAlign w:val="center"/>
          </w:tcPr>
          <w:p w14:paraId="088A4EA2">
            <w:pPr>
              <w:widowControl w:val="0"/>
              <w:spacing w:line="400" w:lineRule="exact"/>
              <w:jc w:val="both"/>
              <w:rPr>
                <w:rFonts w:hint="eastAsia" w:ascii="宋体" w:hAnsi="宋体"/>
                <w:sz w:val="21"/>
                <w:szCs w:val="21"/>
                <w:lang w:val="en-US" w:eastAsia="zh-CN"/>
              </w:rPr>
            </w:pPr>
            <w:r>
              <w:rPr>
                <w:rFonts w:hint="eastAsia" w:ascii="宋体" w:hAnsi="宋体"/>
                <w:sz w:val="21"/>
                <w:szCs w:val="21"/>
              </w:rPr>
              <w:t>交货时间及地点</w:t>
            </w:r>
          </w:p>
        </w:tc>
        <w:tc>
          <w:tcPr>
            <w:tcW w:w="8321" w:type="dxa"/>
            <w:tcBorders>
              <w:top w:val="single" w:color="auto" w:sz="4" w:space="0"/>
              <w:left w:val="single" w:color="auto" w:sz="4" w:space="0"/>
              <w:bottom w:val="single" w:color="auto" w:sz="4" w:space="0"/>
              <w:right w:val="single" w:color="auto" w:sz="4" w:space="0"/>
            </w:tcBorders>
            <w:noWrap w:val="0"/>
            <w:vAlign w:val="center"/>
          </w:tcPr>
          <w:p w14:paraId="184097CE">
            <w:pPr>
              <w:widowControl w:val="0"/>
              <w:spacing w:line="400" w:lineRule="exact"/>
              <w:ind w:firstLine="420" w:firstLineChars="200"/>
              <w:jc w:val="both"/>
              <w:rPr>
                <w:rFonts w:hint="eastAsia" w:ascii="宋体" w:hAnsi="宋体"/>
                <w:sz w:val="21"/>
                <w:szCs w:val="21"/>
              </w:rPr>
            </w:pPr>
            <w:r>
              <w:rPr>
                <w:rFonts w:hint="eastAsia" w:ascii="宋体" w:hAnsi="宋体"/>
                <w:sz w:val="21"/>
                <w:szCs w:val="21"/>
              </w:rPr>
              <w:t>交付使用期：签订合同之日起30日内，交货安装调试并正常运行，不接受分批交付。</w:t>
            </w:r>
          </w:p>
          <w:p w14:paraId="46BA98EC">
            <w:pPr>
              <w:widowControl w:val="0"/>
              <w:spacing w:line="400" w:lineRule="exact"/>
              <w:ind w:firstLine="420" w:firstLineChars="200"/>
              <w:jc w:val="both"/>
              <w:rPr>
                <w:rFonts w:hint="eastAsia" w:ascii="宋体" w:hAnsi="宋体"/>
                <w:sz w:val="21"/>
                <w:szCs w:val="21"/>
                <w:lang w:val="en-US" w:eastAsia="zh-CN"/>
              </w:rPr>
            </w:pPr>
            <w:r>
              <w:rPr>
                <w:rFonts w:hint="eastAsia" w:ascii="宋体" w:hAnsi="宋体"/>
                <w:sz w:val="21"/>
                <w:szCs w:val="21"/>
              </w:rPr>
              <w:t>交货地点：南宁市内用户指定地点。</w:t>
            </w:r>
          </w:p>
        </w:tc>
      </w:tr>
      <w:tr w14:paraId="1529A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noWrap w:val="0"/>
            <w:vAlign w:val="center"/>
          </w:tcPr>
          <w:p w14:paraId="52915449">
            <w:pPr>
              <w:widowControl w:val="0"/>
              <w:spacing w:line="40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rPr>
              <w:t>付款条件</w:t>
            </w:r>
          </w:p>
        </w:tc>
        <w:tc>
          <w:tcPr>
            <w:tcW w:w="8321" w:type="dxa"/>
            <w:tcBorders>
              <w:top w:val="single" w:color="auto" w:sz="4" w:space="0"/>
              <w:left w:val="single" w:color="auto" w:sz="4" w:space="0"/>
              <w:bottom w:val="single" w:color="auto" w:sz="4" w:space="0"/>
              <w:right w:val="single" w:color="auto" w:sz="4" w:space="0"/>
            </w:tcBorders>
            <w:noWrap w:val="0"/>
            <w:vAlign w:val="center"/>
          </w:tcPr>
          <w:p w14:paraId="14828E9B">
            <w:pPr>
              <w:widowControl w:val="0"/>
              <w:spacing w:line="400" w:lineRule="exact"/>
              <w:ind w:firstLine="42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sz w:val="21"/>
                <w:szCs w:val="21"/>
              </w:rPr>
              <w:t>合同款支付：本项目无预付款，全部货物验收合格后30日内，中标人开具全额发票，采购人据此支付中标人</w:t>
            </w:r>
            <w:r>
              <w:rPr>
                <w:rFonts w:hint="eastAsia" w:ascii="宋体" w:hAnsi="宋体"/>
                <w:sz w:val="21"/>
                <w:szCs w:val="21"/>
                <w:lang w:val="en-US" w:eastAsia="zh-CN"/>
              </w:rPr>
              <w:t>100</w:t>
            </w:r>
            <w:r>
              <w:rPr>
                <w:rFonts w:hint="eastAsia" w:ascii="宋体" w:hAnsi="宋体"/>
                <w:sz w:val="21"/>
                <w:szCs w:val="21"/>
              </w:rPr>
              <w:t>%合同款，</w:t>
            </w:r>
          </w:p>
        </w:tc>
      </w:tr>
    </w:tbl>
    <w:p w14:paraId="2F477986">
      <w:pPr>
        <w:numPr>
          <w:ilvl w:val="0"/>
          <w:numId w:val="0"/>
        </w:numPr>
        <w:spacing w:line="600" w:lineRule="exact"/>
        <w:rPr>
          <w:rFonts w:hint="eastAsia" w:ascii="宋体" w:hAnsi="宋体" w:eastAsia="宋体" w:cs="宋体"/>
          <w:b/>
          <w:color w:val="000000" w:themeColor="text1"/>
          <w:sz w:val="28"/>
          <w:szCs w:val="28"/>
          <w:lang w:val="en-US" w:eastAsia="zh-CN"/>
          <w14:textFill>
            <w14:solidFill>
              <w14:schemeClr w14:val="tx1"/>
            </w14:solidFill>
          </w14:textFill>
        </w:rPr>
      </w:pPr>
    </w:p>
    <w:p w14:paraId="04A4D7C0"/>
    <w:p w14:paraId="74CDFD6D"/>
    <w:p w14:paraId="4B37174E"/>
    <w:p w14:paraId="09F301A9"/>
    <w:p w14:paraId="6A26CE45"/>
    <w:p w14:paraId="59E10C94"/>
    <w:p w14:paraId="51B70257"/>
    <w:p w14:paraId="3EF34959"/>
    <w:p w14:paraId="5FA5BD32"/>
    <w:p w14:paraId="4B7265F6"/>
    <w:p w14:paraId="50A08358"/>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D6833"/>
    <w:multiLevelType w:val="singleLevel"/>
    <w:tmpl w:val="B47D6833"/>
    <w:lvl w:ilvl="0" w:tentative="0">
      <w:start w:val="5"/>
      <w:numFmt w:val="chineseCounting"/>
      <w:suff w:val="nothing"/>
      <w:lvlText w:val="%1、"/>
      <w:lvlJc w:val="left"/>
      <w:rPr>
        <w:rFonts w:hint="eastAsia"/>
      </w:rPr>
    </w:lvl>
  </w:abstractNum>
  <w:abstractNum w:abstractNumId="1">
    <w:nsid w:val="F0DC3C1E"/>
    <w:multiLevelType w:val="singleLevel"/>
    <w:tmpl w:val="F0DC3C1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zdmY2E2MTBjOGRmZTJhOTUzNjYyMzMxM2JhOTkifQ=="/>
  </w:docVars>
  <w:rsids>
    <w:rsidRoot w:val="153558A9"/>
    <w:rsid w:val="02667DA6"/>
    <w:rsid w:val="153558A9"/>
    <w:rsid w:val="1B8850B1"/>
    <w:rsid w:val="2D471155"/>
    <w:rsid w:val="30405223"/>
    <w:rsid w:val="39E94FAF"/>
    <w:rsid w:val="3CBA03B0"/>
    <w:rsid w:val="46633EB2"/>
    <w:rsid w:val="5A3F7144"/>
    <w:rsid w:val="6505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2007</Words>
  <Characters>2095</Characters>
  <Lines>0</Lines>
  <Paragraphs>0</Paragraphs>
  <TotalTime>10</TotalTime>
  <ScaleCrop>false</ScaleCrop>
  <LinksUpToDate>false</LinksUpToDate>
  <CharactersWithSpaces>2116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小小鱼</cp:lastModifiedBy>
  <dcterms:modified xsi:type="dcterms:W3CDTF">2025-07-11T01:37:09Z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24B039E596A44CC5A285CFDE218538A5_13</vt:lpwstr>
  </property>
  <property fmtid="{D5CDD505-2E9C-101B-9397-08002B2CF9AE}" pid="4" name="KSOTemplateDocerSaveRecord">
    <vt:lpwstr>eyJoZGlkIjoiZThkNDU2MGFmNTEzZmVkNDk2N2RkNTQ2MjYxNDVjZjQiLCJ1c2VySWQiOiI0NDQ3NzQ4NDEifQ==</vt:lpwstr>
  </property>
</Properties>
</file>