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35F44">
      <w:pPr>
        <w:ind w:firstLine="964"/>
        <w:jc w:val="center"/>
        <w:rPr>
          <w:b/>
          <w:color w:val="000000" w:themeColor="text1"/>
          <w:sz w:val="48"/>
          <w:szCs w:val="48"/>
          <w14:textFill>
            <w14:solidFill>
              <w14:schemeClr w14:val="tx1"/>
            </w14:solidFill>
          </w14:textFill>
        </w:rPr>
      </w:pPr>
    </w:p>
    <w:p w14:paraId="228C928A">
      <w:pPr>
        <w:spacing w:line="240" w:lineRule="auto"/>
        <w:ind w:firstLine="723" w:firstLineChars="200"/>
        <w:jc w:val="center"/>
        <w:rPr>
          <w:rFonts w:hint="eastAsia" w:ascii="宋体" w:hAnsi="宋体" w:cs="宋体"/>
          <w:b/>
          <w:color w:val="000000" w:themeColor="text1"/>
          <w:sz w:val="36"/>
          <w:szCs w:val="36"/>
          <w:lang w:val="en-US" w:eastAsia="zh-CN"/>
          <w14:textFill>
            <w14:solidFill>
              <w14:schemeClr w14:val="tx1"/>
            </w14:solidFill>
          </w14:textFill>
        </w:rPr>
      </w:pPr>
      <w:r>
        <w:rPr>
          <w:rFonts w:hint="eastAsia" w:ascii="宋体" w:hAnsi="宋体" w:cs="宋体"/>
          <w:b/>
          <w:color w:val="000000" w:themeColor="text1"/>
          <w:sz w:val="36"/>
          <w:szCs w:val="36"/>
          <w:lang w:val="en-US" w:eastAsia="zh-CN"/>
          <w14:textFill>
            <w14:solidFill>
              <w14:schemeClr w14:val="tx1"/>
            </w14:solidFill>
          </w14:textFill>
        </w:rPr>
        <w:t>广西壮族自治区生殖医院中药配方颗粒配送服务</w:t>
      </w:r>
    </w:p>
    <w:p w14:paraId="0A380501">
      <w:pPr>
        <w:spacing w:line="240" w:lineRule="auto"/>
        <w:ind w:firstLine="723" w:firstLineChars="200"/>
        <w:jc w:val="cente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lang w:val="en-US" w:eastAsia="zh-CN"/>
          <w14:textFill>
            <w14:solidFill>
              <w14:schemeClr w14:val="tx1"/>
            </w14:solidFill>
          </w14:textFill>
        </w:rPr>
        <w:t>采购</w:t>
      </w:r>
      <w:r>
        <w:rPr>
          <w:rFonts w:hint="eastAsia" w:ascii="宋体" w:hAnsi="宋体" w:cs="宋体"/>
          <w:b/>
          <w:color w:val="000000" w:themeColor="text1"/>
          <w:sz w:val="36"/>
          <w:szCs w:val="36"/>
          <w14:textFill>
            <w14:solidFill>
              <w14:schemeClr w14:val="tx1"/>
            </w14:solidFill>
          </w14:textFill>
        </w:rPr>
        <w:t>需求</w:t>
      </w:r>
    </w:p>
    <w:p w14:paraId="598A3E5F">
      <w:pPr>
        <w:spacing w:line="440" w:lineRule="exact"/>
        <w:ind w:firstLine="723" w:firstLineChars="200"/>
        <w:jc w:val="center"/>
        <w:rPr>
          <w:rFonts w:ascii="仿宋" w:hAnsi="仿宋" w:eastAsia="仿宋"/>
          <w:b/>
          <w:color w:val="000000" w:themeColor="text1"/>
          <w:sz w:val="36"/>
          <w:szCs w:val="36"/>
          <w14:textFill>
            <w14:solidFill>
              <w14:schemeClr w14:val="tx1"/>
            </w14:solidFill>
          </w14:textFill>
        </w:rPr>
      </w:pPr>
    </w:p>
    <w:p w14:paraId="27A56A2F">
      <w:pPr>
        <w:spacing w:line="400" w:lineRule="exact"/>
        <w:rPr>
          <w:rFonts w:ascii="微软雅黑" w:hAnsi="微软雅黑" w:eastAsia="微软雅黑"/>
          <w:b/>
          <w:bCs/>
          <w:color w:val="000000"/>
          <w:sz w:val="24"/>
        </w:rPr>
      </w:pPr>
      <w:bookmarkStart w:id="0" w:name="_Toc28359079"/>
      <w:bookmarkStart w:id="1" w:name="_Toc28359002"/>
      <w:bookmarkStart w:id="2" w:name="_Toc35393621"/>
      <w:bookmarkStart w:id="3" w:name="_Toc35393790"/>
      <w:bookmarkStart w:id="4" w:name="_Hlk24379207"/>
      <w:r>
        <w:rPr>
          <w:rFonts w:hint="eastAsia" w:ascii="微软雅黑" w:hAnsi="微软雅黑" w:eastAsia="微软雅黑"/>
          <w:b/>
          <w:bCs/>
          <w:color w:val="000000"/>
          <w:sz w:val="24"/>
        </w:rPr>
        <w:t>一、项目基本情况</w:t>
      </w:r>
      <w:bookmarkEnd w:id="0"/>
      <w:bookmarkEnd w:id="1"/>
      <w:bookmarkEnd w:id="2"/>
      <w:bookmarkEnd w:id="3"/>
    </w:p>
    <w:bookmarkEnd w:id="4"/>
    <w:p w14:paraId="307E2676">
      <w:pPr>
        <w:ind w:firstLine="420" w:firstLineChars="200"/>
        <w:rPr>
          <w:rFonts w:hint="default" w:ascii="微软雅黑" w:hAnsi="微软雅黑" w:eastAsia="微软雅黑"/>
          <w:color w:val="000000"/>
          <w:szCs w:val="21"/>
          <w:lang w:val="en-US" w:eastAsia="zh-CN"/>
        </w:rPr>
      </w:pPr>
      <w:r>
        <w:rPr>
          <w:rFonts w:hint="eastAsia" w:ascii="微软雅黑" w:hAnsi="微软雅黑" w:eastAsia="微软雅黑"/>
          <w:color w:val="000000"/>
          <w:szCs w:val="21"/>
        </w:rPr>
        <w:t>项目名称：</w:t>
      </w:r>
      <w:r>
        <w:rPr>
          <w:rFonts w:hint="eastAsia" w:ascii="微软雅黑" w:hAnsi="微软雅黑" w:eastAsia="微软雅黑"/>
          <w:color w:val="000000"/>
          <w:szCs w:val="21"/>
          <w:lang w:val="en-US" w:eastAsia="zh-CN"/>
        </w:rPr>
        <w:t>中药配方颗粒配送服务采购</w:t>
      </w:r>
    </w:p>
    <w:p w14:paraId="79BE23C8">
      <w:pPr>
        <w:ind w:firstLine="420" w:firstLineChars="200"/>
        <w:rPr>
          <w:rFonts w:hint="eastAsia" w:ascii="微软雅黑" w:hAnsi="微软雅黑" w:eastAsia="微软雅黑"/>
          <w:color w:val="000000"/>
          <w:szCs w:val="21"/>
          <w:lang w:val="en-US" w:eastAsia="zh-CN"/>
        </w:rPr>
      </w:pPr>
      <w:r>
        <w:rPr>
          <w:rFonts w:hint="eastAsia" w:ascii="微软雅黑" w:hAnsi="微软雅黑" w:eastAsia="微软雅黑"/>
          <w:color w:val="000000"/>
          <w:szCs w:val="21"/>
        </w:rPr>
        <w:t>预算总金额（元）：</w:t>
      </w:r>
      <w:r>
        <w:rPr>
          <w:rFonts w:hint="eastAsia" w:ascii="微软雅黑" w:hAnsi="微软雅黑" w:eastAsia="微软雅黑"/>
          <w:color w:val="000000"/>
          <w:szCs w:val="21"/>
          <w:lang w:val="en-US" w:eastAsia="zh-CN"/>
        </w:rPr>
        <w:t>500万元</w:t>
      </w:r>
    </w:p>
    <w:p w14:paraId="5B68A6E0">
      <w:pPr>
        <w:ind w:firstLine="420" w:firstLineChars="200"/>
        <w:rPr>
          <w:rFonts w:hint="eastAsia" w:ascii="微软雅黑" w:hAnsi="微软雅黑" w:eastAsia="微软雅黑"/>
          <w:color w:val="000000"/>
          <w:szCs w:val="21"/>
        </w:rPr>
      </w:pPr>
      <w:r>
        <w:rPr>
          <w:rFonts w:hint="eastAsia" w:ascii="微软雅黑" w:hAnsi="微软雅黑" w:eastAsia="微软雅黑"/>
          <w:color w:val="000000"/>
          <w:szCs w:val="21"/>
          <w:lang w:val="en-US" w:eastAsia="zh-CN"/>
        </w:rPr>
        <w:t>服务期3年，合同一年一签</w:t>
      </w:r>
    </w:p>
    <w:p w14:paraId="119BB4CF">
      <w:pPr>
        <w:spacing w:line="400" w:lineRule="exact"/>
        <w:ind w:firstLine="420" w:firstLineChars="200"/>
        <w:rPr>
          <w:rFonts w:ascii="微软雅黑" w:hAnsi="微软雅黑" w:eastAsia="微软雅黑"/>
          <w:color w:val="000000"/>
          <w:szCs w:val="21"/>
        </w:rPr>
      </w:pPr>
      <w:r>
        <w:rPr>
          <w:rFonts w:ascii="微软雅黑" w:hAnsi="微软雅黑" w:eastAsia="微软雅黑"/>
          <w:color w:val="000000"/>
          <w:szCs w:val="21"/>
        </w:rPr>
        <w:t xml:space="preserve"> </w:t>
      </w:r>
    </w:p>
    <w:tbl>
      <w:tblPr>
        <w:tblStyle w:val="7"/>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391"/>
        <w:gridCol w:w="959"/>
        <w:gridCol w:w="3589"/>
        <w:gridCol w:w="1560"/>
        <w:gridCol w:w="1615"/>
      </w:tblGrid>
      <w:tr w14:paraId="426F3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74" w:type="pct"/>
            <w:tcBorders>
              <w:top w:val="single" w:color="auto" w:sz="4" w:space="0"/>
              <w:left w:val="single" w:color="auto" w:sz="4" w:space="0"/>
              <w:bottom w:val="single" w:color="auto" w:sz="4" w:space="0"/>
              <w:right w:val="single" w:color="auto" w:sz="4" w:space="0"/>
            </w:tcBorders>
            <w:noWrap w:val="0"/>
            <w:vAlign w:val="center"/>
          </w:tcPr>
          <w:p w14:paraId="320E087C">
            <w:pPr>
              <w:snapToGrid w:val="0"/>
              <w:spacing w:line="400" w:lineRule="exact"/>
              <w:jc w:val="center"/>
              <w:rPr>
                <w:rFonts w:hint="eastAsia" w:ascii="微软雅黑" w:hAnsi="微软雅黑" w:eastAsia="微软雅黑"/>
                <w:color w:val="000000"/>
                <w:szCs w:val="21"/>
                <w:lang w:eastAsia="zh-CN"/>
              </w:rPr>
            </w:pPr>
            <w:r>
              <w:rPr>
                <w:rFonts w:hint="eastAsia" w:ascii="微软雅黑" w:hAnsi="微软雅黑" w:eastAsia="微软雅黑"/>
                <w:color w:val="000000"/>
                <w:szCs w:val="21"/>
                <w:lang w:val="en-US" w:eastAsia="zh-CN"/>
              </w:rPr>
              <w:t>序号</w:t>
            </w:r>
          </w:p>
        </w:tc>
        <w:tc>
          <w:tcPr>
            <w:tcW w:w="706" w:type="pct"/>
            <w:tcBorders>
              <w:top w:val="single" w:color="auto" w:sz="4" w:space="0"/>
              <w:left w:val="single" w:color="auto" w:sz="4" w:space="0"/>
              <w:bottom w:val="single" w:color="auto" w:sz="4" w:space="0"/>
              <w:right w:val="single" w:color="auto" w:sz="4" w:space="0"/>
            </w:tcBorders>
            <w:noWrap w:val="0"/>
            <w:vAlign w:val="center"/>
          </w:tcPr>
          <w:p w14:paraId="753759AA">
            <w:pPr>
              <w:snapToGrid w:val="0"/>
              <w:spacing w:line="400" w:lineRule="exact"/>
              <w:jc w:val="center"/>
              <w:rPr>
                <w:rFonts w:hint="default" w:ascii="微软雅黑" w:hAnsi="微软雅黑" w:eastAsia="微软雅黑"/>
                <w:color w:val="000000"/>
                <w:szCs w:val="21"/>
                <w:lang w:val="en-US" w:eastAsia="zh-CN"/>
              </w:rPr>
            </w:pPr>
            <w:r>
              <w:rPr>
                <w:rFonts w:hint="eastAsia" w:ascii="微软雅黑" w:hAnsi="微软雅黑" w:eastAsia="微软雅黑"/>
                <w:color w:val="000000"/>
                <w:szCs w:val="21"/>
                <w:lang w:val="en-US" w:eastAsia="zh-CN"/>
              </w:rPr>
              <w:t>采购内容</w:t>
            </w:r>
          </w:p>
        </w:tc>
        <w:tc>
          <w:tcPr>
            <w:tcW w:w="486" w:type="pct"/>
            <w:tcBorders>
              <w:top w:val="single" w:color="auto" w:sz="4" w:space="0"/>
              <w:left w:val="single" w:color="auto" w:sz="4" w:space="0"/>
              <w:bottom w:val="single" w:color="auto" w:sz="4" w:space="0"/>
              <w:right w:val="single" w:color="auto" w:sz="4" w:space="0"/>
            </w:tcBorders>
            <w:noWrap w:val="0"/>
            <w:vAlign w:val="center"/>
          </w:tcPr>
          <w:p w14:paraId="2CFE1D67">
            <w:pPr>
              <w:snapToGrid w:val="0"/>
              <w:spacing w:line="400" w:lineRule="exact"/>
              <w:jc w:val="center"/>
              <w:rPr>
                <w:rFonts w:ascii="微软雅黑" w:hAnsi="微软雅黑" w:eastAsia="微软雅黑"/>
                <w:color w:val="000000"/>
                <w:szCs w:val="21"/>
              </w:rPr>
            </w:pPr>
            <w:r>
              <w:rPr>
                <w:rFonts w:hint="eastAsia" w:ascii="微软雅黑" w:hAnsi="微软雅黑" w:eastAsia="微软雅黑"/>
                <w:color w:val="000000"/>
                <w:szCs w:val="21"/>
              </w:rPr>
              <w:t>数量及单位</w:t>
            </w:r>
          </w:p>
        </w:tc>
        <w:tc>
          <w:tcPr>
            <w:tcW w:w="1821" w:type="pct"/>
            <w:tcBorders>
              <w:top w:val="single" w:color="auto" w:sz="4" w:space="0"/>
              <w:left w:val="single" w:color="auto" w:sz="4" w:space="0"/>
              <w:bottom w:val="single" w:color="auto" w:sz="4" w:space="0"/>
              <w:right w:val="single" w:color="auto" w:sz="4" w:space="0"/>
            </w:tcBorders>
            <w:noWrap w:val="0"/>
            <w:vAlign w:val="center"/>
          </w:tcPr>
          <w:p w14:paraId="603F4F2A">
            <w:pPr>
              <w:snapToGrid w:val="0"/>
              <w:spacing w:line="400" w:lineRule="exact"/>
              <w:jc w:val="center"/>
              <w:rPr>
                <w:rFonts w:ascii="微软雅黑" w:hAnsi="微软雅黑" w:eastAsia="微软雅黑"/>
                <w:color w:val="000000"/>
                <w:szCs w:val="21"/>
              </w:rPr>
            </w:pPr>
            <w:r>
              <w:rPr>
                <w:rFonts w:hint="eastAsia" w:ascii="微软雅黑" w:hAnsi="微软雅黑" w:eastAsia="微软雅黑"/>
                <w:color w:val="000000"/>
                <w:szCs w:val="21"/>
              </w:rPr>
              <w:t>简要技术需求或者服务要求</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08A11ED9">
            <w:pPr>
              <w:snapToGrid w:val="0"/>
              <w:spacing w:line="400" w:lineRule="exact"/>
              <w:jc w:val="center"/>
              <w:rPr>
                <w:rFonts w:hint="eastAsia" w:ascii="微软雅黑" w:hAnsi="微软雅黑" w:eastAsia="微软雅黑"/>
                <w:color w:val="000000"/>
                <w:szCs w:val="21"/>
              </w:rPr>
            </w:pPr>
            <w:r>
              <w:rPr>
                <w:rFonts w:hint="eastAsia" w:ascii="微软雅黑" w:hAnsi="微软雅黑" w:eastAsia="微软雅黑"/>
                <w:color w:val="000000"/>
                <w:szCs w:val="21"/>
              </w:rPr>
              <w:t>采购预算</w:t>
            </w:r>
          </w:p>
          <w:p w14:paraId="590796F8">
            <w:pPr>
              <w:snapToGrid w:val="0"/>
              <w:spacing w:line="400" w:lineRule="exact"/>
              <w:jc w:val="center"/>
              <w:rPr>
                <w:rFonts w:hint="eastAsia" w:ascii="微软雅黑" w:hAnsi="微软雅黑" w:eastAsia="微软雅黑"/>
                <w:color w:val="000000"/>
                <w:szCs w:val="21"/>
              </w:rPr>
            </w:pPr>
            <w:r>
              <w:rPr>
                <w:rFonts w:hint="eastAsia" w:ascii="微软雅黑" w:hAnsi="微软雅黑" w:eastAsia="微软雅黑"/>
                <w:color w:val="000000"/>
              </w:rPr>
              <w:t>（元）</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33566E6C">
            <w:pPr>
              <w:snapToGrid w:val="0"/>
              <w:spacing w:line="400" w:lineRule="exact"/>
              <w:jc w:val="center"/>
              <w:rPr>
                <w:rFonts w:hint="default" w:ascii="微软雅黑" w:hAnsi="微软雅黑" w:eastAsia="微软雅黑"/>
                <w:color w:val="000000"/>
                <w:szCs w:val="21"/>
                <w:lang w:val="en-US" w:eastAsia="zh-CN"/>
              </w:rPr>
            </w:pPr>
            <w:r>
              <w:rPr>
                <w:rFonts w:hint="eastAsia" w:ascii="微软雅黑" w:hAnsi="微软雅黑" w:eastAsia="微软雅黑"/>
                <w:color w:val="000000"/>
                <w:szCs w:val="21"/>
                <w:lang w:val="en-US" w:eastAsia="zh-CN"/>
              </w:rPr>
              <w:t>服务年限</w:t>
            </w:r>
          </w:p>
        </w:tc>
      </w:tr>
      <w:tr w14:paraId="3BF2F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74" w:type="pct"/>
            <w:tcBorders>
              <w:top w:val="single" w:color="auto" w:sz="4" w:space="0"/>
              <w:left w:val="single" w:color="auto" w:sz="4" w:space="0"/>
              <w:bottom w:val="single" w:color="auto" w:sz="4" w:space="0"/>
              <w:right w:val="single" w:color="auto" w:sz="4" w:space="0"/>
            </w:tcBorders>
            <w:noWrap w:val="0"/>
            <w:vAlign w:val="center"/>
          </w:tcPr>
          <w:p w14:paraId="1AAFCF11">
            <w:pPr>
              <w:snapToGrid w:val="0"/>
              <w:spacing w:line="400" w:lineRule="exact"/>
              <w:jc w:val="center"/>
              <w:rPr>
                <w:rFonts w:ascii="微软雅黑" w:hAnsi="微软雅黑" w:eastAsia="微软雅黑"/>
                <w:color w:val="000000"/>
                <w:szCs w:val="21"/>
              </w:rPr>
            </w:pPr>
            <w:r>
              <w:rPr>
                <w:rFonts w:hint="eastAsia" w:ascii="微软雅黑" w:hAnsi="微软雅黑" w:eastAsia="微软雅黑"/>
                <w:color w:val="000000"/>
                <w:szCs w:val="21"/>
              </w:rPr>
              <w:t>1</w:t>
            </w:r>
          </w:p>
        </w:tc>
        <w:tc>
          <w:tcPr>
            <w:tcW w:w="706" w:type="pct"/>
            <w:tcBorders>
              <w:top w:val="single" w:color="auto" w:sz="4" w:space="0"/>
              <w:left w:val="single" w:color="auto" w:sz="4" w:space="0"/>
              <w:bottom w:val="single" w:color="auto" w:sz="4" w:space="0"/>
              <w:right w:val="single" w:color="auto" w:sz="4" w:space="0"/>
            </w:tcBorders>
            <w:noWrap w:val="0"/>
            <w:vAlign w:val="center"/>
          </w:tcPr>
          <w:p w14:paraId="01FE836B">
            <w:pPr>
              <w:pStyle w:val="3"/>
              <w:spacing w:line="400" w:lineRule="exact"/>
              <w:ind w:leftChars="-16" w:hanging="33" w:hangingChars="16"/>
              <w:jc w:val="center"/>
              <w:rPr>
                <w:rFonts w:hint="eastAsia" w:ascii="微软雅黑" w:hAnsi="微软雅黑" w:eastAsia="微软雅黑" w:cs="Arial"/>
                <w:color w:val="000000"/>
                <w:szCs w:val="21"/>
                <w:lang w:val="en-US" w:eastAsia="zh-CN"/>
              </w:rPr>
            </w:pPr>
            <w:r>
              <w:rPr>
                <w:rFonts w:hint="eastAsia" w:ascii="微软雅黑" w:hAnsi="微软雅黑" w:eastAsia="微软雅黑" w:cs="Arial"/>
                <w:color w:val="000000"/>
                <w:szCs w:val="21"/>
                <w:lang w:val="en-US" w:eastAsia="zh-CN"/>
              </w:rPr>
              <w:t>中药配方颗粒配送服务采购</w:t>
            </w:r>
          </w:p>
          <w:p w14:paraId="7579E966">
            <w:pPr>
              <w:snapToGrid w:val="0"/>
              <w:spacing w:line="400" w:lineRule="exact"/>
              <w:jc w:val="center"/>
              <w:rPr>
                <w:rFonts w:ascii="微软雅黑" w:hAnsi="微软雅黑" w:eastAsia="微软雅黑"/>
                <w:color w:val="000000"/>
                <w:szCs w:val="21"/>
              </w:rPr>
            </w:pPr>
          </w:p>
        </w:tc>
        <w:tc>
          <w:tcPr>
            <w:tcW w:w="486" w:type="pct"/>
            <w:tcBorders>
              <w:top w:val="single" w:color="auto" w:sz="4" w:space="0"/>
              <w:left w:val="single" w:color="auto" w:sz="4" w:space="0"/>
              <w:bottom w:val="single" w:color="auto" w:sz="4" w:space="0"/>
              <w:right w:val="single" w:color="auto" w:sz="4" w:space="0"/>
            </w:tcBorders>
            <w:noWrap w:val="0"/>
            <w:vAlign w:val="center"/>
          </w:tcPr>
          <w:p w14:paraId="70ACCD73">
            <w:pPr>
              <w:snapToGrid w:val="0"/>
              <w:spacing w:line="400" w:lineRule="exact"/>
              <w:jc w:val="center"/>
              <w:rPr>
                <w:rFonts w:hint="eastAsia" w:ascii="微软雅黑" w:hAnsi="微软雅黑" w:eastAsia="微软雅黑"/>
                <w:color w:val="000000"/>
                <w:szCs w:val="21"/>
                <w:lang w:val="en-US" w:eastAsia="zh-CN"/>
              </w:rPr>
            </w:pPr>
            <w:r>
              <w:rPr>
                <w:rFonts w:hint="eastAsia" w:ascii="微软雅黑" w:hAnsi="微软雅黑" w:eastAsia="微软雅黑"/>
                <w:color w:val="000000"/>
                <w:szCs w:val="21"/>
              </w:rPr>
              <w:t>1</w:t>
            </w:r>
            <w:r>
              <w:rPr>
                <w:rFonts w:hint="eastAsia" w:ascii="微软雅黑" w:hAnsi="微软雅黑" w:eastAsia="微软雅黑"/>
                <w:color w:val="000000"/>
                <w:szCs w:val="21"/>
                <w:lang w:val="en-US" w:eastAsia="zh-CN"/>
              </w:rPr>
              <w:t>项</w:t>
            </w:r>
          </w:p>
        </w:tc>
        <w:tc>
          <w:tcPr>
            <w:tcW w:w="1821" w:type="pct"/>
            <w:tcBorders>
              <w:top w:val="single" w:color="auto" w:sz="4" w:space="0"/>
              <w:left w:val="single" w:color="auto" w:sz="4" w:space="0"/>
              <w:bottom w:val="single" w:color="auto" w:sz="4" w:space="0"/>
              <w:right w:val="single" w:color="auto" w:sz="4" w:space="0"/>
            </w:tcBorders>
            <w:noWrap w:val="0"/>
            <w:vAlign w:val="center"/>
          </w:tcPr>
          <w:p w14:paraId="0F8A9D30">
            <w:pPr>
              <w:pStyle w:val="3"/>
              <w:spacing w:line="400" w:lineRule="exact"/>
              <w:ind w:leftChars="-16" w:hanging="33" w:hangingChars="16"/>
              <w:jc w:val="center"/>
              <w:rPr>
                <w:rFonts w:hint="default" w:eastAsia="宋体"/>
                <w:lang w:val="en-US" w:eastAsia="zh-CN"/>
              </w:rPr>
            </w:pPr>
            <w:r>
              <w:rPr>
                <w:rFonts w:hint="eastAsia" w:ascii="微软雅黑" w:hAnsi="微软雅黑" w:eastAsia="微软雅黑" w:cs="Arial"/>
                <w:color w:val="000000"/>
                <w:szCs w:val="21"/>
                <w:lang w:val="en-US" w:eastAsia="zh-CN"/>
              </w:rPr>
              <w:t>1、提供中药配方颗粒(智能机配颗粒)供应服务；2、提供目前市场上流通的适宜自动化设备硬件、软件；3、负责相关设备维护、负责设备安装及场地改造；4、配备符合资质要求的协助服务人员不少于1人（药学或中药学类专业）。5、供应的中药配方颗 粒的质量要求符合国家、行业或地方的质量标准规范。6、保证中药配方颗粒的质量和供应满足医院对中药配方颗粒品种、质量、数量的需求。</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033968F2">
            <w:pPr>
              <w:pStyle w:val="3"/>
              <w:spacing w:line="400" w:lineRule="exact"/>
              <w:ind w:leftChars="-16" w:hanging="33" w:hangingChars="16"/>
              <w:jc w:val="center"/>
              <w:rPr>
                <w:rFonts w:hint="eastAsia" w:ascii="微软雅黑" w:hAnsi="微软雅黑" w:eastAsia="微软雅黑" w:cs="Arial"/>
                <w:color w:val="000000"/>
                <w:szCs w:val="21"/>
                <w:lang w:val="en-US" w:eastAsia="zh-CN"/>
              </w:rPr>
            </w:pPr>
            <w:r>
              <w:rPr>
                <w:rFonts w:hint="eastAsia" w:ascii="微软雅黑" w:hAnsi="微软雅黑" w:eastAsia="微软雅黑"/>
                <w:color w:val="000000"/>
                <w:szCs w:val="21"/>
                <w:lang w:val="en-US" w:eastAsia="zh-CN"/>
              </w:rPr>
              <w:t>5000000.00</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4272E146">
            <w:pPr>
              <w:pStyle w:val="3"/>
              <w:spacing w:line="400" w:lineRule="exact"/>
              <w:ind w:leftChars="-16" w:hanging="33" w:hangingChars="16"/>
              <w:jc w:val="center"/>
              <w:rPr>
                <w:rFonts w:hint="default" w:ascii="微软雅黑" w:hAnsi="微软雅黑" w:eastAsia="微软雅黑" w:cs="Arial"/>
                <w:color w:val="000000"/>
                <w:szCs w:val="21"/>
                <w:lang w:val="en-US" w:eastAsia="zh-CN"/>
              </w:rPr>
            </w:pPr>
            <w:r>
              <w:rPr>
                <w:rFonts w:hint="eastAsia" w:ascii="微软雅黑" w:hAnsi="微软雅黑" w:eastAsia="微软雅黑" w:cs="Arial"/>
                <w:color w:val="000000"/>
                <w:szCs w:val="21"/>
                <w:lang w:val="en-US" w:eastAsia="zh-CN"/>
              </w:rPr>
              <w:t>3年</w:t>
            </w:r>
          </w:p>
        </w:tc>
      </w:tr>
    </w:tbl>
    <w:p w14:paraId="723EDEAB">
      <w:pPr>
        <w:spacing w:line="600" w:lineRule="exact"/>
        <w:ind w:firstLine="562"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二</w:t>
      </w:r>
      <w:r>
        <w:rPr>
          <w:rFonts w:hint="eastAsia" w:ascii="宋体" w:hAnsi="宋体" w:cs="宋体"/>
          <w:b/>
          <w:color w:val="000000" w:themeColor="text1"/>
          <w:sz w:val="28"/>
          <w:szCs w:val="28"/>
          <w14:textFill>
            <w14:solidFill>
              <w14:schemeClr w14:val="tx1"/>
            </w14:solidFill>
          </w14:textFill>
        </w:rPr>
        <w:t>、资格要求</w:t>
      </w:r>
    </w:p>
    <w:p w14:paraId="3505D486">
      <w:pPr>
        <w:pStyle w:val="3"/>
        <w:spacing w:line="400" w:lineRule="exact"/>
        <w:ind w:left="176" w:leftChars="84" w:firstLine="384" w:firstLineChars="183"/>
        <w:jc w:val="left"/>
        <w:rPr>
          <w:rFonts w:hint="eastAsia" w:ascii="微软雅黑" w:hAnsi="微软雅黑" w:eastAsia="微软雅黑" w:cs="Arial"/>
          <w:color w:val="000000"/>
          <w:szCs w:val="21"/>
          <w:lang w:val="en-US" w:eastAsia="zh-CN"/>
        </w:rPr>
      </w:pPr>
      <w:r>
        <w:rPr>
          <w:rFonts w:hint="eastAsia" w:ascii="微软雅黑" w:hAnsi="微软雅黑" w:eastAsia="微软雅黑" w:cs="Arial"/>
          <w:color w:val="000000"/>
          <w:szCs w:val="21"/>
          <w:lang w:val="en-US" w:eastAsia="zh-CN"/>
        </w:rPr>
        <w:t>1.满足《中华人民共和国政府采购法》第二十二条规定。</w:t>
      </w:r>
    </w:p>
    <w:p w14:paraId="79850225">
      <w:pPr>
        <w:pStyle w:val="3"/>
        <w:spacing w:line="400" w:lineRule="exact"/>
        <w:ind w:left="176" w:leftChars="84" w:firstLine="384" w:firstLineChars="183"/>
        <w:jc w:val="left"/>
        <w:rPr>
          <w:rFonts w:hint="eastAsia" w:ascii="微软雅黑" w:hAnsi="微软雅黑" w:eastAsia="微软雅黑" w:cs="Arial"/>
          <w:color w:val="000000"/>
          <w:szCs w:val="21"/>
          <w:lang w:val="en-US" w:eastAsia="zh-CN"/>
        </w:rPr>
      </w:pPr>
      <w:r>
        <w:rPr>
          <w:rFonts w:hint="eastAsia" w:ascii="微软雅黑" w:hAnsi="微软雅黑" w:eastAsia="微软雅黑" w:cs="Arial"/>
          <w:color w:val="000000"/>
          <w:szCs w:val="21"/>
          <w:lang w:val="en-US" w:eastAsia="zh-CN"/>
        </w:rPr>
        <w:t>2.落实政府采购政策需满足的资格要求：无。</w:t>
      </w:r>
    </w:p>
    <w:p w14:paraId="16023430">
      <w:pPr>
        <w:pStyle w:val="3"/>
        <w:spacing w:line="400" w:lineRule="exact"/>
        <w:ind w:left="176" w:leftChars="84" w:firstLine="384" w:firstLineChars="183"/>
        <w:jc w:val="left"/>
        <w:rPr>
          <w:rFonts w:hint="eastAsia" w:ascii="微软雅黑" w:hAnsi="微软雅黑" w:eastAsia="微软雅黑" w:cs="Arial"/>
          <w:color w:val="000000"/>
          <w:szCs w:val="21"/>
          <w:lang w:val="en-US" w:eastAsia="zh-CN"/>
        </w:rPr>
      </w:pPr>
      <w:r>
        <w:rPr>
          <w:rFonts w:hint="eastAsia" w:ascii="微软雅黑" w:hAnsi="微软雅黑" w:eastAsia="微软雅黑" w:cs="Arial"/>
          <w:color w:val="000000"/>
          <w:szCs w:val="21"/>
          <w:lang w:val="en-US" w:eastAsia="zh-CN"/>
        </w:rPr>
        <w:t>3.本项目的特定资格要求：供应商如为药品生产企业则应具备有效的《药品生产许可证》；如为药品经营企业则应具备有效的《药品经营许可证》。</w:t>
      </w:r>
    </w:p>
    <w:p w14:paraId="5C7D334B">
      <w:pPr>
        <w:pStyle w:val="3"/>
        <w:spacing w:line="400" w:lineRule="exact"/>
        <w:ind w:left="176" w:leftChars="84" w:firstLine="384" w:firstLineChars="183"/>
        <w:jc w:val="left"/>
        <w:rPr>
          <w:rFonts w:hint="eastAsia" w:ascii="微软雅黑" w:hAnsi="微软雅黑" w:eastAsia="微软雅黑" w:cs="Arial"/>
          <w:color w:val="000000"/>
          <w:szCs w:val="21"/>
          <w:lang w:val="en-US" w:eastAsia="zh-CN"/>
        </w:rPr>
      </w:pPr>
      <w:r>
        <w:rPr>
          <w:rFonts w:hint="eastAsia" w:ascii="微软雅黑" w:hAnsi="微软雅黑" w:eastAsia="微软雅黑" w:cs="Arial"/>
          <w:color w:val="000000"/>
          <w:szCs w:val="21"/>
          <w:lang w:val="en-US" w:eastAsia="zh-CN"/>
        </w:rPr>
        <w:t>4.</w:t>
      </w:r>
      <w:r>
        <w:rPr>
          <w:rFonts w:hint="default" w:ascii="微软雅黑" w:hAnsi="微软雅黑" w:eastAsia="微软雅黑" w:cs="Arial"/>
          <w:color w:val="000000"/>
          <w:szCs w:val="21"/>
          <w:lang w:val="en-US" w:eastAsia="zh-CN"/>
        </w:rPr>
        <w:t>本项目不支持联合体参与。</w:t>
      </w:r>
    </w:p>
    <w:p w14:paraId="01E8F8A6">
      <w:pPr>
        <w:spacing w:line="600" w:lineRule="exact"/>
        <w:ind w:firstLine="562" w:firstLineChars="200"/>
        <w:rPr>
          <w:rFonts w:hint="default" w:ascii="宋体" w:hAnsi="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三、采购需求</w:t>
      </w:r>
    </w:p>
    <w:tbl>
      <w:tblPr>
        <w:tblStyle w:val="7"/>
        <w:tblW w:w="4971" w:type="pct"/>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1"/>
        <w:gridCol w:w="958"/>
        <w:gridCol w:w="480"/>
        <w:gridCol w:w="221"/>
        <w:gridCol w:w="7557"/>
      </w:tblGrid>
      <w:tr w14:paraId="3BF7E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96" w:type="pct"/>
            <w:tcBorders>
              <w:top w:val="single" w:color="auto" w:sz="4" w:space="0"/>
              <w:left w:val="single" w:color="auto" w:sz="4" w:space="0"/>
              <w:right w:val="single" w:color="auto" w:sz="4" w:space="0"/>
            </w:tcBorders>
            <w:noWrap w:val="0"/>
            <w:vAlign w:val="center"/>
          </w:tcPr>
          <w:p w14:paraId="79CA4FAB">
            <w:pPr>
              <w:spacing w:line="340" w:lineRule="atLeast"/>
              <w:jc w:val="center"/>
              <w:rPr>
                <w:rFonts w:ascii="宋体" w:hAnsi="宋体"/>
                <w:color w:val="auto"/>
                <w:sz w:val="21"/>
                <w:szCs w:val="21"/>
                <w:highlight w:val="none"/>
              </w:rPr>
            </w:pPr>
            <w:r>
              <w:rPr>
                <w:rFonts w:ascii="宋体" w:hAnsi="宋体"/>
                <w:color w:val="auto"/>
                <w:sz w:val="21"/>
                <w:szCs w:val="21"/>
                <w:highlight w:val="none"/>
              </w:rPr>
              <w:t>项号</w:t>
            </w:r>
          </w:p>
        </w:tc>
        <w:tc>
          <w:tcPr>
            <w:tcW w:w="488" w:type="pct"/>
            <w:tcBorders>
              <w:top w:val="single" w:color="auto" w:sz="4" w:space="0"/>
              <w:left w:val="single" w:color="auto" w:sz="4" w:space="0"/>
              <w:right w:val="single" w:color="auto" w:sz="4" w:space="0"/>
            </w:tcBorders>
            <w:noWrap w:val="0"/>
            <w:vAlign w:val="center"/>
          </w:tcPr>
          <w:p w14:paraId="52DFAA82">
            <w:pPr>
              <w:spacing w:line="3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采购内容</w:t>
            </w:r>
          </w:p>
        </w:tc>
        <w:tc>
          <w:tcPr>
            <w:tcW w:w="357" w:type="pct"/>
            <w:gridSpan w:val="2"/>
            <w:tcBorders>
              <w:top w:val="single" w:color="auto" w:sz="4" w:space="0"/>
              <w:left w:val="single" w:color="auto" w:sz="4" w:space="0"/>
              <w:right w:val="single" w:color="auto" w:sz="4" w:space="0"/>
            </w:tcBorders>
            <w:noWrap w:val="0"/>
            <w:vAlign w:val="center"/>
          </w:tcPr>
          <w:p w14:paraId="2F81325C">
            <w:pPr>
              <w:spacing w:line="340" w:lineRule="atLeast"/>
              <w:jc w:val="center"/>
              <w:rPr>
                <w:rFonts w:ascii="宋体" w:hAnsi="宋体"/>
                <w:bCs/>
                <w:color w:val="auto"/>
                <w:sz w:val="21"/>
                <w:szCs w:val="21"/>
                <w:highlight w:val="none"/>
              </w:rPr>
            </w:pPr>
            <w:r>
              <w:rPr>
                <w:rFonts w:ascii="宋体" w:hAnsi="宋体"/>
                <w:color w:val="auto"/>
                <w:sz w:val="21"/>
                <w:szCs w:val="21"/>
                <w:highlight w:val="none"/>
              </w:rPr>
              <w:t>数量</w:t>
            </w:r>
          </w:p>
        </w:tc>
        <w:tc>
          <w:tcPr>
            <w:tcW w:w="3856" w:type="pct"/>
            <w:tcBorders>
              <w:top w:val="single" w:color="auto" w:sz="4" w:space="0"/>
              <w:left w:val="single" w:color="auto" w:sz="4" w:space="0"/>
              <w:bottom w:val="single" w:color="auto" w:sz="4" w:space="0"/>
              <w:right w:val="single" w:color="auto" w:sz="4" w:space="0"/>
            </w:tcBorders>
            <w:noWrap w:val="0"/>
            <w:vAlign w:val="center"/>
          </w:tcPr>
          <w:p w14:paraId="16A5041C">
            <w:pPr>
              <w:spacing w:line="340" w:lineRule="atLeast"/>
              <w:jc w:val="center"/>
              <w:rPr>
                <w:rFonts w:ascii="宋体" w:hAnsi="宋体"/>
                <w:bCs/>
                <w:color w:val="auto"/>
                <w:sz w:val="21"/>
                <w:szCs w:val="21"/>
                <w:highlight w:val="none"/>
              </w:rPr>
            </w:pPr>
            <w:r>
              <w:rPr>
                <w:rFonts w:hint="eastAsia" w:ascii="宋体" w:hAnsi="宋体"/>
                <w:color w:val="auto"/>
                <w:sz w:val="21"/>
                <w:szCs w:val="21"/>
                <w:highlight w:val="none"/>
              </w:rPr>
              <w:t>项目</w:t>
            </w:r>
            <w:r>
              <w:rPr>
                <w:rFonts w:hint="eastAsia" w:ascii="宋体" w:hAnsi="宋体"/>
                <w:color w:val="auto"/>
                <w:sz w:val="21"/>
                <w:szCs w:val="21"/>
                <w:highlight w:val="none"/>
                <w:lang w:val="en-US" w:eastAsia="zh-CN"/>
              </w:rPr>
              <w:t>需求</w:t>
            </w:r>
            <w:r>
              <w:rPr>
                <w:rFonts w:hint="eastAsia" w:ascii="宋体" w:hAnsi="宋体"/>
                <w:color w:val="auto"/>
                <w:sz w:val="21"/>
                <w:szCs w:val="21"/>
                <w:highlight w:val="none"/>
              </w:rPr>
              <w:t>及技术需求</w:t>
            </w:r>
          </w:p>
        </w:tc>
      </w:tr>
      <w:tr w14:paraId="611D4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296" w:type="pct"/>
            <w:tcBorders>
              <w:top w:val="single" w:color="auto" w:sz="4" w:space="0"/>
              <w:left w:val="single" w:color="auto" w:sz="4" w:space="0"/>
              <w:bottom w:val="single" w:color="auto" w:sz="4" w:space="0"/>
              <w:right w:val="single" w:color="auto" w:sz="4" w:space="0"/>
            </w:tcBorders>
            <w:noWrap w:val="0"/>
            <w:vAlign w:val="center"/>
          </w:tcPr>
          <w:p w14:paraId="23A769AB">
            <w:pPr>
              <w:spacing w:line="340" w:lineRule="atLeast"/>
              <w:jc w:val="center"/>
              <w:rPr>
                <w:rFonts w:ascii="宋体" w:hAnsi="宋体"/>
                <w:color w:val="auto"/>
                <w:sz w:val="21"/>
                <w:szCs w:val="21"/>
                <w:highlight w:val="none"/>
              </w:rPr>
            </w:pPr>
            <w:bookmarkStart w:id="5" w:name="_Hlk190965579"/>
            <w:r>
              <w:rPr>
                <w:rFonts w:hint="eastAsia" w:ascii="宋体" w:hAnsi="宋体"/>
                <w:color w:val="auto"/>
                <w:sz w:val="21"/>
                <w:szCs w:val="21"/>
                <w:highlight w:val="none"/>
              </w:rPr>
              <w:t>1</w:t>
            </w:r>
          </w:p>
        </w:tc>
        <w:tc>
          <w:tcPr>
            <w:tcW w:w="488" w:type="pct"/>
            <w:tcBorders>
              <w:top w:val="single" w:color="auto" w:sz="4" w:space="0"/>
              <w:left w:val="single" w:color="auto" w:sz="4" w:space="0"/>
              <w:bottom w:val="single" w:color="auto" w:sz="4" w:space="0"/>
              <w:right w:val="single" w:color="auto" w:sz="4" w:space="0"/>
            </w:tcBorders>
            <w:noWrap w:val="0"/>
            <w:vAlign w:val="center"/>
          </w:tcPr>
          <w:p w14:paraId="1E4A3F25">
            <w:pPr>
              <w:spacing w:line="340" w:lineRule="atLeast"/>
              <w:jc w:val="center"/>
              <w:rPr>
                <w:rFonts w:ascii="宋体" w:hAnsi="宋体" w:cs="宋体"/>
                <w:color w:val="auto"/>
                <w:sz w:val="21"/>
                <w:szCs w:val="21"/>
                <w:highlight w:val="none"/>
              </w:rPr>
            </w:pPr>
            <w:r>
              <w:rPr>
                <w:rFonts w:hint="eastAsia" w:ascii="微软雅黑" w:hAnsi="微软雅黑" w:eastAsia="微软雅黑"/>
                <w:color w:val="000000"/>
                <w:sz w:val="21"/>
                <w:szCs w:val="21"/>
                <w:lang w:val="en-US" w:eastAsia="zh-CN"/>
              </w:rPr>
              <w:t>中药配方颗粒配送服务</w:t>
            </w:r>
          </w:p>
        </w:tc>
        <w:tc>
          <w:tcPr>
            <w:tcW w:w="357" w:type="pct"/>
            <w:gridSpan w:val="2"/>
            <w:tcBorders>
              <w:top w:val="single" w:color="auto" w:sz="4" w:space="0"/>
              <w:left w:val="single" w:color="auto" w:sz="4" w:space="0"/>
              <w:bottom w:val="single" w:color="auto" w:sz="4" w:space="0"/>
              <w:right w:val="single" w:color="auto" w:sz="4" w:space="0"/>
            </w:tcBorders>
            <w:noWrap w:val="0"/>
            <w:vAlign w:val="center"/>
          </w:tcPr>
          <w:p w14:paraId="0688DC85">
            <w:pPr>
              <w:spacing w:line="340" w:lineRule="atLeas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1家</w:t>
            </w:r>
          </w:p>
        </w:tc>
        <w:tc>
          <w:tcPr>
            <w:tcW w:w="3856" w:type="pct"/>
            <w:tcBorders>
              <w:top w:val="single" w:color="auto" w:sz="4" w:space="0"/>
              <w:left w:val="single" w:color="auto" w:sz="4" w:space="0"/>
              <w:bottom w:val="single" w:color="auto" w:sz="4" w:space="0"/>
              <w:right w:val="single" w:color="auto" w:sz="4" w:space="0"/>
            </w:tcBorders>
            <w:noWrap w:val="0"/>
            <w:vAlign w:val="center"/>
          </w:tcPr>
          <w:p w14:paraId="5DA82A4D">
            <w:pPr>
              <w:numPr>
                <w:ilvl w:val="0"/>
                <w:numId w:val="0"/>
              </w:numPr>
              <w:spacing w:line="400" w:lineRule="exact"/>
              <w:rPr>
                <w:rFonts w:hint="default" w:ascii="宋体" w:hAnsi="宋体" w:cs="Arial"/>
                <w:b/>
                <w:color w:val="auto"/>
                <w:sz w:val="21"/>
                <w:szCs w:val="21"/>
                <w:highlight w:val="none"/>
                <w:lang w:val="en-US" w:eastAsia="zh-CN"/>
              </w:rPr>
            </w:pPr>
            <w:r>
              <w:rPr>
                <w:rFonts w:hint="eastAsia" w:ascii="Arial" w:hAnsi="Arial" w:cs="Arial" w:eastAsiaTheme="minorEastAsia"/>
                <w:bCs/>
                <w:szCs w:val="21"/>
              </w:rPr>
              <w:t>▲</w:t>
            </w:r>
            <w:r>
              <w:rPr>
                <w:rFonts w:hint="eastAsia" w:ascii="宋体" w:hAnsi="宋体" w:eastAsia="宋体" w:cs="Arial"/>
                <w:b/>
                <w:color w:val="auto"/>
                <w:kern w:val="2"/>
                <w:sz w:val="21"/>
                <w:szCs w:val="21"/>
                <w:lang w:val="en-US" w:eastAsia="zh-CN" w:bidi="ar-SA"/>
              </w:rPr>
              <w:t>一、</w:t>
            </w:r>
            <w:r>
              <w:rPr>
                <w:rFonts w:hint="eastAsia" w:ascii="宋体" w:hAnsi="宋体" w:cs="Arial"/>
                <w:b/>
                <w:color w:val="auto"/>
                <w:sz w:val="21"/>
                <w:szCs w:val="21"/>
                <w:highlight w:val="none"/>
                <w:lang w:val="en-US" w:eastAsia="zh-CN"/>
              </w:rPr>
              <w:t>服务范围</w:t>
            </w:r>
          </w:p>
          <w:p w14:paraId="1D883BC8">
            <w:pPr>
              <w:keepNext w:val="0"/>
              <w:keepLines w:val="0"/>
              <w:pageBreakBefore w:val="0"/>
              <w:widowControl w:val="0"/>
              <w:kinsoku/>
              <w:wordWrap/>
              <w:overflowPunct/>
              <w:topLinePunct w:val="0"/>
              <w:bidi w:val="0"/>
              <w:adjustRightInd/>
              <w:spacing w:line="38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000000"/>
                <w:kern w:val="0"/>
                <w:sz w:val="20"/>
                <w:szCs w:val="20"/>
                <w:lang w:val="en-US" w:eastAsia="zh-CN" w:bidi="ar"/>
              </w:rPr>
              <w:t>为采购人提供符合要求并满足临床需要的中药配方颗粒及智能机调配等相关服务。</w:t>
            </w:r>
          </w:p>
          <w:p w14:paraId="61F5AB8B">
            <w:pPr>
              <w:widowControl w:val="0"/>
              <w:ind w:firstLine="27" w:firstLineChars="13"/>
              <w:rPr>
                <w:rFonts w:hint="eastAsia" w:ascii="宋体" w:hAnsi="宋体" w:cs="Arial"/>
                <w:b/>
                <w:color w:val="auto"/>
                <w:sz w:val="21"/>
                <w:szCs w:val="21"/>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自合同签订之日起</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年或</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年内采购金额达到本标项合同总金额，合同终止，具体以签订时间为准</w:t>
            </w:r>
            <w:r>
              <w:rPr>
                <w:rFonts w:hint="eastAsia" w:ascii="宋体" w:hAnsi="宋体" w:eastAsia="宋体" w:cs="宋体"/>
                <w:color w:val="auto"/>
                <w:highlight w:val="none"/>
              </w:rPr>
              <w:t>。</w:t>
            </w:r>
          </w:p>
          <w:p w14:paraId="5CCEFD2C">
            <w:pPr>
              <w:spacing w:line="400" w:lineRule="exact"/>
              <w:rPr>
                <w:rFonts w:hint="eastAsia" w:ascii="宋体" w:hAnsi="宋体" w:cs="Arial"/>
                <w:b/>
                <w:color w:val="auto"/>
                <w:sz w:val="21"/>
                <w:szCs w:val="21"/>
                <w:highlight w:val="none"/>
              </w:rPr>
            </w:pPr>
            <w:r>
              <w:rPr>
                <w:rFonts w:hint="eastAsia" w:ascii="Arial" w:hAnsi="Arial" w:cs="Arial" w:eastAsiaTheme="minorEastAsia"/>
                <w:bCs/>
                <w:szCs w:val="21"/>
              </w:rPr>
              <w:t>▲</w:t>
            </w:r>
            <w:r>
              <w:rPr>
                <w:rFonts w:hint="eastAsia" w:ascii="宋体" w:hAnsi="宋体" w:cs="Arial"/>
                <w:b/>
                <w:color w:val="auto"/>
                <w:sz w:val="21"/>
                <w:szCs w:val="21"/>
                <w:highlight w:val="none"/>
                <w:lang w:val="en-US" w:eastAsia="zh-CN"/>
              </w:rPr>
              <w:t>二、服务</w:t>
            </w:r>
            <w:r>
              <w:rPr>
                <w:rFonts w:hint="eastAsia" w:ascii="宋体" w:hAnsi="宋体" w:cs="Arial"/>
                <w:b/>
                <w:color w:val="auto"/>
                <w:sz w:val="21"/>
                <w:szCs w:val="21"/>
                <w:highlight w:val="none"/>
              </w:rPr>
              <w:t>要求：</w:t>
            </w:r>
          </w:p>
          <w:p w14:paraId="04BB94A2">
            <w:pPr>
              <w:keepNext w:val="0"/>
              <w:keepLines w:val="0"/>
              <w:pageBreakBefore w:val="0"/>
              <w:widowControl w:val="0"/>
              <w:kinsoku/>
              <w:wordWrap/>
              <w:overflowPunct/>
              <w:topLinePunct w:val="0"/>
              <w:autoSpaceDE/>
              <w:autoSpaceDN/>
              <w:bidi w:val="0"/>
              <w:adjustRightInd/>
              <w:snapToGrid/>
              <w:spacing w:line="400" w:lineRule="exact"/>
              <w:ind w:firstLine="27" w:firstLineChars="13"/>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.中药配方颗粒的质量：</w:t>
            </w:r>
          </w:p>
          <w:p w14:paraId="7E293923">
            <w:pPr>
              <w:keepNext w:val="0"/>
              <w:keepLines w:val="0"/>
              <w:pageBreakBefore w:val="0"/>
              <w:widowControl w:val="0"/>
              <w:kinsoku/>
              <w:wordWrap/>
              <w:overflowPunct/>
              <w:topLinePunct w:val="0"/>
              <w:autoSpaceDE/>
              <w:autoSpaceDN/>
              <w:bidi w:val="0"/>
              <w:adjustRightInd/>
              <w:snapToGrid/>
              <w:spacing w:line="400" w:lineRule="exact"/>
              <w:ind w:firstLine="27" w:firstLineChars="13"/>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.1 中药配方颗粒生产企业制定有严格的内控药品标准（包括原料、各单元工艺环节物料、中药配方颗粒成品检验标准及过程控制指标），明确生产全过程质量控制的措施、关键质控点及相关质量要求，使作为初始原料的中药材、作为提取用原料的饮片、作为制剂用原料的中间体和作为终产品的成品应符合相关部门规定标准，保证中药配方颗粒的质量达到国家标准或广西壮族自治区标准；</w:t>
            </w:r>
          </w:p>
          <w:p w14:paraId="19A4B49D">
            <w:pPr>
              <w:keepNext w:val="0"/>
              <w:keepLines w:val="0"/>
              <w:pageBreakBefore w:val="0"/>
              <w:widowControl w:val="0"/>
              <w:kinsoku/>
              <w:wordWrap/>
              <w:overflowPunct/>
              <w:topLinePunct w:val="0"/>
              <w:autoSpaceDE/>
              <w:autoSpaceDN/>
              <w:bidi w:val="0"/>
              <w:adjustRightInd/>
              <w:snapToGrid/>
              <w:spacing w:line="400" w:lineRule="exact"/>
              <w:ind w:firstLine="27" w:firstLineChars="13"/>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 xml:space="preserve">.2 </w:t>
            </w:r>
            <w:r>
              <w:rPr>
                <w:rFonts w:hint="eastAsia" w:ascii="宋体" w:hAnsi="宋体" w:eastAsia="宋体" w:cs="宋体"/>
                <w:color w:val="auto"/>
                <w:highlight w:val="none"/>
                <w:lang w:val="en-US" w:eastAsia="zh-CN"/>
              </w:rPr>
              <w:t>中标</w:t>
            </w:r>
            <w:r>
              <w:rPr>
                <w:rFonts w:hint="eastAsia" w:ascii="宋体" w:hAnsi="宋体" w:eastAsia="宋体" w:cs="宋体"/>
                <w:color w:val="auto"/>
                <w:highlight w:val="none"/>
              </w:rPr>
              <w:t>供应</w:t>
            </w:r>
            <w:r>
              <w:rPr>
                <w:rFonts w:hint="eastAsia" w:ascii="宋体" w:hAnsi="宋体" w:eastAsia="宋体" w:cs="宋体"/>
                <w:color w:val="auto"/>
                <w:highlight w:val="none"/>
                <w:lang w:val="en-US" w:eastAsia="zh-CN"/>
              </w:rPr>
              <w:t>商</w:t>
            </w:r>
            <w:r>
              <w:rPr>
                <w:rFonts w:hint="eastAsia" w:ascii="宋体" w:hAnsi="宋体" w:cs="Arial"/>
                <w:color w:val="auto"/>
                <w:szCs w:val="21"/>
                <w:highlight w:val="none"/>
              </w:rPr>
              <w:t>必须保证所提供的中药配方颗粒为符合国家、行业或地方标准的药品，</w:t>
            </w:r>
            <w:r>
              <w:rPr>
                <w:rFonts w:hint="eastAsia"/>
                <w:lang w:val="en-US" w:eastAsia="zh-CN"/>
              </w:rPr>
              <w:t>并且通过广西相关部门备案，</w:t>
            </w:r>
            <w:r>
              <w:rPr>
                <w:rFonts w:hint="eastAsia" w:ascii="宋体" w:hAnsi="宋体" w:cs="宋体"/>
                <w:color w:val="auto"/>
                <w:sz w:val="21"/>
                <w:szCs w:val="21"/>
                <w:highlight w:val="none"/>
                <w:lang w:val="en-US" w:eastAsia="zh-CN"/>
              </w:rPr>
              <w:t>保证所供中药配方颗粒验收入库的有效期不少于1年（配方颗粒总有效期不足1年的验收入库的有效期不少于总有效期的三分之二），</w:t>
            </w:r>
            <w:r>
              <w:rPr>
                <w:rFonts w:hint="eastAsia" w:ascii="宋体" w:hAnsi="宋体" w:cs="Arial"/>
                <w:color w:val="auto"/>
                <w:szCs w:val="21"/>
                <w:highlight w:val="none"/>
              </w:rPr>
              <w:t>并保证有效期内的中药配方颗粒的质量。</w:t>
            </w:r>
          </w:p>
          <w:p w14:paraId="4F97C965">
            <w:pPr>
              <w:keepNext w:val="0"/>
              <w:keepLines w:val="0"/>
              <w:pageBreakBefore w:val="0"/>
              <w:widowControl w:val="0"/>
              <w:kinsoku/>
              <w:wordWrap/>
              <w:overflowPunct/>
              <w:topLinePunct w:val="0"/>
              <w:autoSpaceDE/>
              <w:autoSpaceDN/>
              <w:bidi w:val="0"/>
              <w:adjustRightInd/>
              <w:snapToGrid/>
              <w:spacing w:line="400" w:lineRule="exact"/>
              <w:ind w:firstLine="27" w:firstLineChars="13"/>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 xml:space="preserve">.3 </w:t>
            </w:r>
            <w:r>
              <w:rPr>
                <w:rFonts w:hint="eastAsia" w:ascii="宋体" w:hAnsi="宋体" w:eastAsia="宋体" w:cs="宋体"/>
                <w:color w:val="auto"/>
                <w:highlight w:val="none"/>
                <w:lang w:val="en-US" w:eastAsia="zh-CN"/>
              </w:rPr>
              <w:t>中标</w:t>
            </w:r>
            <w:r>
              <w:rPr>
                <w:rFonts w:hint="eastAsia" w:ascii="宋体" w:hAnsi="宋体" w:eastAsia="宋体" w:cs="宋体"/>
                <w:color w:val="auto"/>
                <w:highlight w:val="none"/>
              </w:rPr>
              <w:t>供应商承诺与采购人签订“质量保证协议书”。向采购人提供每一批中药配方颗粒的质检报告</w:t>
            </w:r>
            <w:r>
              <w:rPr>
                <w:rFonts w:hint="eastAsia"/>
                <w:color w:val="auto"/>
                <w:highlight w:val="none"/>
              </w:rPr>
              <w:t>单复印件并加盖公章</w:t>
            </w:r>
            <w:r>
              <w:rPr>
                <w:rFonts w:hint="eastAsia"/>
                <w:color w:val="auto"/>
                <w:highlight w:val="none"/>
                <w:lang w:eastAsia="zh-CN"/>
              </w:rPr>
              <w:t>。</w:t>
            </w:r>
          </w:p>
          <w:p w14:paraId="0E1AA849">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Arial"/>
                <w:color w:val="auto"/>
                <w:sz w:val="21"/>
                <w:szCs w:val="21"/>
                <w:highlight w:val="none"/>
              </w:rPr>
            </w:pPr>
            <w:r>
              <w:rPr>
                <w:rFonts w:hint="eastAsia" w:ascii="宋体" w:hAnsi="宋体" w:cs="Arial"/>
                <w:color w:val="auto"/>
                <w:sz w:val="21"/>
                <w:szCs w:val="21"/>
                <w:highlight w:val="none"/>
                <w:lang w:val="en-US" w:eastAsia="zh-CN"/>
              </w:rPr>
              <w:t>2.</w:t>
            </w:r>
            <w:r>
              <w:rPr>
                <w:rFonts w:hint="eastAsia" w:ascii="宋体" w:hAnsi="宋体" w:cs="Arial"/>
                <w:color w:val="auto"/>
                <w:sz w:val="21"/>
                <w:szCs w:val="21"/>
                <w:highlight w:val="none"/>
                <w:lang w:eastAsia="zh-CN"/>
              </w:rPr>
              <w:t>中标供应商</w:t>
            </w:r>
            <w:r>
              <w:rPr>
                <w:rFonts w:hint="eastAsia" w:ascii="宋体" w:hAnsi="宋体" w:cs="Arial"/>
                <w:color w:val="auto"/>
                <w:sz w:val="21"/>
                <w:szCs w:val="21"/>
                <w:highlight w:val="none"/>
              </w:rPr>
              <w:t>在保证药品质量、执行国家物价的前提下按采购单位约定的药品品种、剂型、规格、数量、供货方式等，并按照合同价为采购</w:t>
            </w:r>
            <w:r>
              <w:rPr>
                <w:rFonts w:hint="eastAsia" w:ascii="宋体" w:hAnsi="宋体" w:cs="Arial"/>
                <w:color w:val="auto"/>
                <w:sz w:val="21"/>
                <w:szCs w:val="21"/>
                <w:highlight w:val="none"/>
                <w:lang w:val="en-US" w:eastAsia="zh-CN"/>
              </w:rPr>
              <w:t>人</w:t>
            </w:r>
            <w:r>
              <w:rPr>
                <w:rFonts w:hint="eastAsia" w:ascii="宋体" w:hAnsi="宋体" w:cs="Arial"/>
                <w:color w:val="auto"/>
                <w:sz w:val="21"/>
                <w:szCs w:val="21"/>
                <w:highlight w:val="none"/>
              </w:rPr>
              <w:t>供货，保证临床用药正常供应，结算以采购</w:t>
            </w:r>
            <w:r>
              <w:rPr>
                <w:rFonts w:hint="eastAsia" w:ascii="宋体" w:hAnsi="宋体" w:cs="Arial"/>
                <w:color w:val="auto"/>
                <w:sz w:val="21"/>
                <w:szCs w:val="21"/>
                <w:highlight w:val="none"/>
                <w:lang w:val="en-US" w:eastAsia="zh-CN"/>
              </w:rPr>
              <w:t>人</w:t>
            </w:r>
            <w:r>
              <w:rPr>
                <w:rFonts w:hint="eastAsia" w:ascii="宋体" w:hAnsi="宋体" w:cs="Arial"/>
                <w:color w:val="auto"/>
                <w:sz w:val="21"/>
                <w:szCs w:val="21"/>
                <w:highlight w:val="none"/>
              </w:rPr>
              <w:t>实际用量为准。</w:t>
            </w:r>
          </w:p>
          <w:p w14:paraId="2FBBEF7A">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Arial"/>
                <w:color w:val="auto"/>
                <w:sz w:val="21"/>
                <w:szCs w:val="21"/>
                <w:highlight w:val="none"/>
              </w:rPr>
            </w:pPr>
            <w:r>
              <w:rPr>
                <w:rFonts w:hint="eastAsia" w:ascii="宋体" w:hAnsi="宋体" w:cs="Arial"/>
                <w:color w:val="auto"/>
                <w:sz w:val="21"/>
                <w:szCs w:val="21"/>
                <w:highlight w:val="none"/>
                <w:lang w:val="en-US" w:eastAsia="zh-CN"/>
              </w:rPr>
              <w:t>3</w:t>
            </w:r>
            <w:r>
              <w:rPr>
                <w:rFonts w:hint="eastAsia" w:ascii="宋体" w:hAnsi="宋体" w:cs="Arial"/>
                <w:color w:val="auto"/>
                <w:sz w:val="21"/>
                <w:szCs w:val="21"/>
                <w:highlight w:val="none"/>
              </w:rPr>
              <w:t>.</w:t>
            </w:r>
            <w:r>
              <w:rPr>
                <w:rFonts w:hint="eastAsia" w:ascii="宋体" w:hAnsi="宋体" w:cs="Arial"/>
                <w:color w:val="auto"/>
                <w:sz w:val="21"/>
                <w:szCs w:val="21"/>
                <w:highlight w:val="none"/>
                <w:lang w:eastAsia="zh-CN"/>
              </w:rPr>
              <w:t>中标供应商</w:t>
            </w:r>
            <w:r>
              <w:rPr>
                <w:rFonts w:hint="eastAsia" w:ascii="宋体" w:hAnsi="宋体" w:cs="Arial"/>
                <w:color w:val="auto"/>
                <w:sz w:val="21"/>
                <w:szCs w:val="21"/>
                <w:highlight w:val="none"/>
              </w:rPr>
              <w:t>必须保证药品品种齐全，</w:t>
            </w:r>
            <w:r>
              <w:rPr>
                <w:rFonts w:hint="eastAsia"/>
                <w:lang w:val="en-US" w:eastAsia="zh-CN"/>
              </w:rPr>
              <w:t>能满足日常的临床诊疗需要，</w:t>
            </w:r>
            <w:r>
              <w:rPr>
                <w:rFonts w:hint="eastAsia" w:ascii="宋体" w:hAnsi="宋体" w:cs="Arial"/>
                <w:color w:val="auto"/>
                <w:sz w:val="21"/>
                <w:szCs w:val="21"/>
                <w:highlight w:val="none"/>
              </w:rPr>
              <w:t>不得以任何借口（如无货，采购量少、价格上涨等）不执行采购单位药品采购计划，一年内出现三次不执行情况的采购单位终止合同。</w:t>
            </w:r>
          </w:p>
          <w:p w14:paraId="7358F73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4.合同执行过程中如遇国家政策调整或与行政主管部门出台的规定相抵触，按国家相关规定执行</w:t>
            </w:r>
            <w:r>
              <w:rPr>
                <w:rFonts w:hint="eastAsia" w:ascii="宋体" w:hAnsi="宋体" w:cs="Arial"/>
                <w:color w:val="auto"/>
                <w:sz w:val="21"/>
                <w:szCs w:val="21"/>
                <w:highlight w:val="none"/>
                <w:lang w:eastAsia="zh-CN"/>
              </w:rPr>
              <w:t>。</w:t>
            </w:r>
          </w:p>
          <w:p w14:paraId="21B24471">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Arial"/>
                <w:color w:val="auto"/>
                <w:sz w:val="21"/>
                <w:szCs w:val="21"/>
                <w:highlight w:val="none"/>
              </w:rPr>
            </w:pPr>
            <w:r>
              <w:rPr>
                <w:rFonts w:hint="eastAsia" w:ascii="宋体" w:hAnsi="宋体" w:cs="Arial"/>
                <w:color w:val="auto"/>
                <w:sz w:val="21"/>
                <w:szCs w:val="21"/>
                <w:highlight w:val="none"/>
                <w:lang w:val="en-US" w:eastAsia="zh-CN"/>
              </w:rPr>
              <w:t>5</w:t>
            </w:r>
            <w:r>
              <w:rPr>
                <w:rFonts w:hint="eastAsia" w:ascii="宋体" w:hAnsi="宋体" w:cs="Arial"/>
                <w:color w:val="auto"/>
                <w:sz w:val="21"/>
                <w:szCs w:val="21"/>
                <w:highlight w:val="none"/>
              </w:rPr>
              <w:t>.</w:t>
            </w:r>
            <w:r>
              <w:rPr>
                <w:rFonts w:hint="eastAsia" w:ascii="宋体" w:hAnsi="宋体" w:cs="Arial"/>
                <w:color w:val="auto"/>
                <w:sz w:val="21"/>
                <w:szCs w:val="21"/>
                <w:highlight w:val="none"/>
                <w:lang w:eastAsia="zh-CN"/>
              </w:rPr>
              <w:t>中标供应商</w:t>
            </w:r>
            <w:r>
              <w:rPr>
                <w:rFonts w:hint="eastAsia" w:ascii="宋体" w:hAnsi="宋体" w:cs="Arial"/>
                <w:color w:val="auto"/>
                <w:sz w:val="21"/>
                <w:szCs w:val="21"/>
                <w:highlight w:val="none"/>
              </w:rPr>
              <w:t>需根据采购人已明确的药品及规格配套提供与采购单位使用规模相适应的且与中药配方颗粒相配套的调剂设备及系统，并提供配送及药房管理相关服务，负责配方颗粒相关的信息化建设和维护，配备协助服务人员和设备维护人员，并服从采购单位管理。</w:t>
            </w:r>
          </w:p>
          <w:p w14:paraId="13ECC5A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Arial"/>
                <w:color w:val="auto"/>
                <w:sz w:val="21"/>
                <w:szCs w:val="21"/>
                <w:highlight w:val="none"/>
              </w:rPr>
            </w:pPr>
            <w:r>
              <w:rPr>
                <w:rFonts w:hint="eastAsia" w:ascii="宋体" w:hAnsi="宋体" w:cs="Arial"/>
                <w:color w:val="auto"/>
                <w:sz w:val="21"/>
                <w:szCs w:val="21"/>
                <w:highlight w:val="none"/>
                <w:lang w:val="en-US" w:eastAsia="zh-CN"/>
              </w:rPr>
              <w:t>6</w:t>
            </w:r>
            <w:r>
              <w:rPr>
                <w:rFonts w:hint="eastAsia" w:ascii="宋体" w:hAnsi="宋体" w:cs="Arial"/>
                <w:color w:val="auto"/>
                <w:sz w:val="21"/>
                <w:szCs w:val="21"/>
                <w:highlight w:val="none"/>
              </w:rPr>
              <w:t>.</w:t>
            </w:r>
            <w:r>
              <w:rPr>
                <w:rFonts w:hint="eastAsia" w:ascii="宋体" w:hAnsi="宋体" w:eastAsia="宋体" w:cs="Arial"/>
                <w:color w:val="auto"/>
                <w:sz w:val="21"/>
                <w:szCs w:val="21"/>
                <w:highlight w:val="none"/>
                <w:lang w:eastAsia="zh-CN"/>
              </w:rPr>
              <w:t>中标供应商</w:t>
            </w:r>
            <w:r>
              <w:rPr>
                <w:rFonts w:hint="eastAsia" w:ascii="宋体" w:hAnsi="宋体" w:eastAsia="宋体" w:cs="Arial"/>
                <w:color w:val="auto"/>
                <w:sz w:val="21"/>
                <w:szCs w:val="21"/>
                <w:highlight w:val="none"/>
              </w:rPr>
              <w:t>为采购人配备</w:t>
            </w:r>
            <w:r>
              <w:rPr>
                <w:rFonts w:hint="eastAsia" w:ascii="微软雅黑" w:hAnsi="微软雅黑" w:eastAsia="微软雅黑" w:cs="Arial"/>
                <w:color w:val="000000"/>
                <w:szCs w:val="21"/>
                <w:lang w:val="en-US" w:eastAsia="zh-CN"/>
              </w:rPr>
              <w:t>协助服务人员</w:t>
            </w:r>
            <w:r>
              <w:rPr>
                <w:rFonts w:hint="eastAsia" w:ascii="宋体" w:hAnsi="宋体" w:eastAsia="宋体" w:cs="Arial"/>
                <w:color w:val="auto"/>
                <w:sz w:val="21"/>
                <w:szCs w:val="21"/>
                <w:highlight w:val="none"/>
                <w:lang w:val="en-US" w:eastAsia="zh-CN"/>
              </w:rPr>
              <w:t>不少于1人，</w:t>
            </w:r>
            <w:r>
              <w:rPr>
                <w:rFonts w:hint="eastAsia" w:ascii="宋体" w:hAnsi="宋体" w:eastAsia="宋体" w:cs="Arial"/>
                <w:color w:val="auto"/>
                <w:sz w:val="21"/>
                <w:szCs w:val="21"/>
                <w:highlight w:val="none"/>
              </w:rPr>
              <w:t>须为药学</w:t>
            </w:r>
            <w:r>
              <w:rPr>
                <w:rFonts w:hint="eastAsia" w:ascii="宋体" w:hAnsi="宋体" w:eastAsia="宋体" w:cs="Arial"/>
                <w:color w:val="auto"/>
                <w:sz w:val="21"/>
                <w:szCs w:val="21"/>
                <w:highlight w:val="none"/>
                <w:lang w:val="en-US" w:eastAsia="zh-CN"/>
              </w:rPr>
              <w:t>类</w:t>
            </w:r>
            <w:r>
              <w:rPr>
                <w:rFonts w:hint="eastAsia" w:ascii="宋体" w:hAnsi="宋体" w:eastAsia="宋体" w:cs="Arial"/>
                <w:color w:val="auto"/>
                <w:sz w:val="21"/>
                <w:szCs w:val="21"/>
                <w:highlight w:val="none"/>
              </w:rPr>
              <w:t>专业毕业（投标文件中须提供相关证明复印件），工作期间遵守采购单位内部的规章制度，服从采购单位的工作时间安排。根据采购单位日常工作量及时间段合理安排协助人员。</w:t>
            </w:r>
          </w:p>
          <w:p w14:paraId="47A14DEB">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Arial"/>
                <w:color w:val="auto"/>
                <w:szCs w:val="21"/>
                <w:highlight w:val="none"/>
              </w:rPr>
            </w:pPr>
            <w:r>
              <w:rPr>
                <w:rFonts w:hint="eastAsia" w:ascii="宋体" w:hAnsi="宋体" w:cs="Arial"/>
                <w:color w:val="auto"/>
                <w:szCs w:val="21"/>
                <w:highlight w:val="none"/>
                <w:lang w:val="en-US" w:eastAsia="zh-CN"/>
              </w:rPr>
              <w:t>7</w:t>
            </w:r>
            <w:r>
              <w:rPr>
                <w:rFonts w:hint="eastAsia" w:ascii="宋体" w:hAnsi="宋体" w:cs="Arial"/>
                <w:color w:val="auto"/>
                <w:szCs w:val="21"/>
                <w:highlight w:val="none"/>
              </w:rPr>
              <w:t>.中标人须保证采购人中药配方颗粒药品在采购周期内正常供货。</w:t>
            </w:r>
          </w:p>
          <w:p w14:paraId="63195B67">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Arial"/>
                <w:b/>
                <w:color w:val="auto"/>
                <w:sz w:val="21"/>
                <w:szCs w:val="21"/>
                <w:highlight w:val="none"/>
              </w:rPr>
            </w:pPr>
            <w:r>
              <w:rPr>
                <w:rFonts w:hint="eastAsia" w:ascii="宋体" w:hAnsi="宋体" w:cs="Arial"/>
                <w:color w:val="auto"/>
                <w:sz w:val="21"/>
                <w:szCs w:val="21"/>
                <w:highlight w:val="none"/>
                <w:lang w:val="en-US" w:eastAsia="zh-CN"/>
              </w:rPr>
              <w:t>8.</w:t>
            </w:r>
            <w:r>
              <w:rPr>
                <w:rFonts w:hint="eastAsia" w:ascii="宋体" w:hAnsi="宋体" w:eastAsia="宋体" w:cs="Arial"/>
                <w:color w:val="auto"/>
                <w:sz w:val="21"/>
                <w:szCs w:val="21"/>
                <w:highlight w:val="none"/>
              </w:rPr>
              <w:t>投入项目服务的调剂设备要求：</w:t>
            </w:r>
          </w:p>
          <w:p w14:paraId="0ABD452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lang w:val="en-US" w:eastAsia="zh-CN"/>
              </w:rPr>
              <w:t>8.1</w:t>
            </w:r>
            <w:r>
              <w:rPr>
                <w:rFonts w:hint="eastAsia" w:ascii="宋体" w:hAnsi="宋体" w:cs="Arial"/>
                <w:color w:val="auto"/>
                <w:sz w:val="21"/>
                <w:szCs w:val="21"/>
                <w:highlight w:val="none"/>
                <w:lang w:eastAsia="zh-CN"/>
              </w:rPr>
              <w:t>中标供应商</w:t>
            </w:r>
            <w:r>
              <w:rPr>
                <w:rFonts w:hint="eastAsia" w:ascii="宋体" w:hAnsi="宋体" w:cs="Arial"/>
                <w:color w:val="auto"/>
                <w:sz w:val="21"/>
                <w:szCs w:val="21"/>
                <w:highlight w:val="none"/>
              </w:rPr>
              <w:t>为本项目提供的服务设备（中药颗粒调配机）应为目前市场上流通的适宜机型</w:t>
            </w:r>
            <w:r>
              <w:rPr>
                <w:rFonts w:hint="eastAsia" w:ascii="宋体" w:hAnsi="宋体" w:cs="Arial"/>
                <w:color w:val="auto"/>
                <w:sz w:val="21"/>
                <w:szCs w:val="21"/>
                <w:highlight w:val="none"/>
                <w:lang w:eastAsia="zh-CN"/>
              </w:rPr>
              <w:t>；</w:t>
            </w:r>
          </w:p>
          <w:p w14:paraId="6E2931A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1"/>
                <w:szCs w:val="21"/>
                <w:lang w:val="en-US" w:eastAsia="zh-CN" w:bidi="ar"/>
              </w:rPr>
            </w:pPr>
            <w:r>
              <w:rPr>
                <w:rFonts w:hint="eastAsia" w:ascii="宋体" w:hAnsi="宋体" w:cs="Arial"/>
                <w:color w:val="auto"/>
                <w:sz w:val="21"/>
                <w:szCs w:val="21"/>
                <w:highlight w:val="none"/>
                <w:lang w:val="en-US" w:eastAsia="zh-CN"/>
              </w:rPr>
              <w:t>8.2</w:t>
            </w:r>
            <w:r>
              <w:rPr>
                <w:rFonts w:hint="eastAsia" w:ascii="宋体" w:hAnsi="宋体" w:eastAsia="宋体" w:cs="宋体"/>
                <w:color w:val="000000"/>
                <w:kern w:val="0"/>
                <w:sz w:val="21"/>
                <w:szCs w:val="21"/>
                <w:lang w:val="en-US" w:eastAsia="zh-CN" w:bidi="ar"/>
              </w:rPr>
              <w:t>具备用量自动换算系统（自动将饮片用量换算成中药配方颗粒剂量）；</w:t>
            </w:r>
          </w:p>
          <w:p w14:paraId="59D4045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8.3具有处方电子审查功能（有配伍禁忌、超剂量等提示）</w:t>
            </w:r>
            <w:r>
              <w:rPr>
                <w:rFonts w:hint="eastAsia" w:ascii="宋体" w:hAnsi="宋体" w:cs="宋体"/>
                <w:color w:val="000000"/>
                <w:kern w:val="0"/>
                <w:sz w:val="21"/>
                <w:szCs w:val="21"/>
                <w:lang w:val="en-US" w:eastAsia="zh-CN" w:bidi="ar"/>
              </w:rPr>
              <w:t>；</w:t>
            </w:r>
          </w:p>
          <w:p w14:paraId="43ED504A">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8.4药柜具有显示定位功能（快速寻找颗粒位置）</w:t>
            </w:r>
            <w:r>
              <w:rPr>
                <w:rFonts w:hint="eastAsia" w:ascii="宋体" w:hAnsi="宋体" w:cs="宋体"/>
                <w:color w:val="000000"/>
                <w:kern w:val="0"/>
                <w:sz w:val="21"/>
                <w:szCs w:val="21"/>
                <w:lang w:val="en-US" w:eastAsia="zh-CN" w:bidi="ar"/>
              </w:rPr>
              <w:t>；</w:t>
            </w:r>
          </w:p>
          <w:p w14:paraId="4FF6B59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 xml:space="preserve">8.5具有颗粒识别系统； </w:t>
            </w:r>
          </w:p>
          <w:p w14:paraId="46CE8C2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Arial"/>
                <w:color w:val="auto"/>
                <w:sz w:val="21"/>
                <w:szCs w:val="21"/>
                <w:highlight w:val="none"/>
                <w:lang w:val="en-US" w:eastAsia="zh-CN"/>
              </w:rPr>
            </w:pPr>
            <w:r>
              <w:rPr>
                <w:rFonts w:hint="eastAsia"/>
                <w:lang w:val="en-US" w:eastAsia="zh-CN"/>
              </w:rPr>
              <w:t>8.6具有库存管理功能（能及时掌握颗粒使用情况）；</w:t>
            </w:r>
          </w:p>
          <w:p w14:paraId="4F97F50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 xml:space="preserve">8.6 多工位智能调配设备（入药孔数≥4）； </w:t>
            </w:r>
          </w:p>
          <w:p w14:paraId="60D7807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8.7自动调剂、封装（调剂完后直接自动封口，无需手动）</w:t>
            </w:r>
            <w:r>
              <w:rPr>
                <w:rFonts w:hint="eastAsia" w:ascii="宋体" w:hAnsi="宋体" w:cs="Arial"/>
                <w:color w:val="auto"/>
                <w:sz w:val="21"/>
                <w:szCs w:val="21"/>
                <w:highlight w:val="none"/>
                <w:lang w:val="en-US" w:eastAsia="zh-CN"/>
              </w:rPr>
              <w:t>；</w:t>
            </w:r>
          </w:p>
          <w:p w14:paraId="207D971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8.8</w:t>
            </w:r>
            <w:r>
              <w:rPr>
                <w:rFonts w:hint="eastAsia" w:ascii="宋体" w:hAnsi="宋体" w:eastAsia="宋体" w:cs="Arial"/>
                <w:color w:val="auto"/>
                <w:sz w:val="21"/>
                <w:szCs w:val="21"/>
                <w:highlight w:val="none"/>
              </w:rPr>
              <w:t>.调配系统可连接医院信息系统（HIS），便于医院实现全面信息化管理。</w:t>
            </w:r>
          </w:p>
          <w:p w14:paraId="56BDC6B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8.9</w:t>
            </w:r>
            <w:r>
              <w:rPr>
                <w:rFonts w:hint="eastAsia" w:ascii="宋体" w:hAnsi="宋体" w:eastAsia="宋体" w:cs="Arial"/>
                <w:color w:val="auto"/>
                <w:sz w:val="21"/>
                <w:szCs w:val="21"/>
                <w:highlight w:val="none"/>
              </w:rPr>
              <w:t>系统可完整记录调配处方的信息，处方调配可全程追溯。</w:t>
            </w:r>
          </w:p>
          <w:p w14:paraId="1D905F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sz w:val="21"/>
                <w:szCs w:val="21"/>
              </w:rPr>
            </w:pPr>
            <w:r>
              <w:rPr>
                <w:rFonts w:hint="eastAsia" w:ascii="宋体" w:hAnsi="宋体" w:eastAsia="宋体" w:cs="宋体"/>
                <w:color w:val="000000"/>
                <w:kern w:val="0"/>
                <w:sz w:val="21"/>
                <w:szCs w:val="21"/>
                <w:lang w:val="en-US" w:eastAsia="zh-CN" w:bidi="ar"/>
              </w:rPr>
              <w:t xml:space="preserve">9、其他要求： </w:t>
            </w:r>
          </w:p>
          <w:p w14:paraId="1C4151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sz w:val="21"/>
                <w:szCs w:val="21"/>
              </w:rPr>
            </w:pPr>
            <w:r>
              <w:rPr>
                <w:rFonts w:hint="eastAsia" w:ascii="宋体" w:hAnsi="宋体" w:eastAsia="宋体" w:cs="宋体"/>
                <w:color w:val="000000"/>
                <w:kern w:val="0"/>
                <w:sz w:val="21"/>
                <w:szCs w:val="21"/>
                <w:lang w:val="en-US" w:eastAsia="zh-CN" w:bidi="ar"/>
              </w:rPr>
              <w:t xml:space="preserve">9.1 中标供应商负责提供智能调配所需系统设备、软件， 采购人对设备及软件享有使用权，硬件、软件所有权归中标供应商所有；中标供应商应定期对系统进行更新、对设备进行维护和保养，由此产生的费用均包含在本项目响应报价中； </w:t>
            </w:r>
          </w:p>
          <w:p w14:paraId="7A5E24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sz w:val="21"/>
                <w:szCs w:val="21"/>
              </w:rPr>
            </w:pPr>
            <w:r>
              <w:rPr>
                <w:rFonts w:hint="eastAsia" w:ascii="宋体" w:hAnsi="宋体" w:eastAsia="宋体" w:cs="宋体"/>
                <w:color w:val="000000"/>
                <w:kern w:val="0"/>
                <w:sz w:val="21"/>
                <w:szCs w:val="21"/>
                <w:lang w:val="en-US" w:eastAsia="zh-CN" w:bidi="ar"/>
              </w:rPr>
              <w:t xml:space="preserve">9.2 根据采购人和项目调配环境要求，采购人负责提供合适场地，中标供应商负责场地的装修、设备、设备安装及保养等全部事务，由此产生的费用均包含在本项目响应报价中； </w:t>
            </w:r>
          </w:p>
          <w:p w14:paraId="581AE0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sz w:val="21"/>
                <w:szCs w:val="21"/>
              </w:rPr>
            </w:pPr>
            <w:r>
              <w:rPr>
                <w:rFonts w:hint="eastAsia" w:ascii="宋体" w:hAnsi="宋体" w:eastAsia="宋体" w:cs="宋体"/>
                <w:color w:val="000000"/>
                <w:kern w:val="0"/>
                <w:sz w:val="21"/>
                <w:szCs w:val="21"/>
                <w:lang w:val="en-US" w:eastAsia="zh-CN" w:bidi="ar"/>
              </w:rPr>
              <w:t xml:space="preserve">9.3 中标供应商提供调剂所需的一切耗材，由此产生的费用均包含在本项目响应报价中； </w:t>
            </w:r>
          </w:p>
          <w:p w14:paraId="241152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sz w:val="21"/>
                <w:szCs w:val="21"/>
              </w:rPr>
            </w:pPr>
            <w:r>
              <w:rPr>
                <w:rFonts w:hint="eastAsia" w:ascii="宋体" w:hAnsi="宋体" w:eastAsia="宋体" w:cs="宋体"/>
                <w:color w:val="000000"/>
                <w:kern w:val="0"/>
                <w:sz w:val="21"/>
                <w:szCs w:val="21"/>
                <w:lang w:val="en-US" w:eastAsia="zh-CN" w:bidi="ar"/>
              </w:rPr>
              <w:t xml:space="preserve">9.4 对于近效期颗粒，中标供应商必须更换。 </w:t>
            </w:r>
          </w:p>
          <w:p w14:paraId="6EBF82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sz w:val="21"/>
                <w:szCs w:val="21"/>
              </w:rPr>
            </w:pPr>
            <w:r>
              <w:rPr>
                <w:rFonts w:hint="eastAsia" w:ascii="宋体" w:hAnsi="宋体" w:eastAsia="宋体" w:cs="宋体"/>
                <w:color w:val="000000"/>
                <w:kern w:val="0"/>
                <w:sz w:val="21"/>
                <w:szCs w:val="21"/>
                <w:lang w:val="en-US" w:eastAsia="zh-CN" w:bidi="ar"/>
              </w:rPr>
              <w:t xml:space="preserve">9.5 自动化调剂设备（智能中药房）必须能与采购人系统对接，由此产生的费用均包含在本项目响应报价中； </w:t>
            </w:r>
          </w:p>
          <w:p w14:paraId="644AF1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sz w:val="21"/>
                <w:szCs w:val="21"/>
              </w:rPr>
            </w:pPr>
            <w:r>
              <w:rPr>
                <w:rFonts w:hint="eastAsia" w:ascii="宋体" w:hAnsi="宋体" w:eastAsia="宋体" w:cs="宋体"/>
                <w:color w:val="000000"/>
                <w:kern w:val="0"/>
                <w:sz w:val="21"/>
                <w:szCs w:val="21"/>
                <w:lang w:val="en-US" w:eastAsia="zh-CN" w:bidi="ar"/>
              </w:rPr>
              <w:t xml:space="preserve">9.6 采购人不承诺业务量，实际结算数量以采购人实际验收合格的数量为准。 </w:t>
            </w:r>
          </w:p>
          <w:p w14:paraId="547810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sz w:val="21"/>
                <w:szCs w:val="21"/>
              </w:rPr>
            </w:pPr>
            <w:r>
              <w:rPr>
                <w:rFonts w:hint="eastAsia" w:ascii="Arial" w:hAnsi="Arial" w:cs="Arial" w:eastAsiaTheme="minorEastAsia"/>
                <w:bCs/>
                <w:szCs w:val="21"/>
              </w:rPr>
              <w:t>▲</w:t>
            </w:r>
            <w:r>
              <w:rPr>
                <w:rFonts w:hint="eastAsia" w:ascii="宋体" w:hAnsi="宋体" w:eastAsia="宋体" w:cs="宋体"/>
                <w:color w:val="000000"/>
                <w:kern w:val="0"/>
                <w:sz w:val="21"/>
                <w:szCs w:val="21"/>
                <w:lang w:val="en-US" w:eastAsia="zh-CN" w:bidi="ar"/>
              </w:rPr>
              <w:t xml:space="preserve">三、管理要求 </w:t>
            </w:r>
          </w:p>
          <w:p w14:paraId="06DFC8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宋体" w:hAnsi="宋体" w:eastAsia="宋体" w:cs="宋体"/>
                <w:color w:val="000000"/>
                <w:kern w:val="0"/>
                <w:sz w:val="20"/>
                <w:szCs w:val="20"/>
                <w:lang w:val="en-US" w:eastAsia="zh-CN" w:bidi="ar"/>
              </w:rPr>
              <w:t xml:space="preserve">1、供需双方在药品购销过程中严格执行《药品管理法》、《医疗机构药事管理规定》和《处方管理办法》等法律法规的有关规定，诚信经营。 </w:t>
            </w:r>
          </w:p>
          <w:p w14:paraId="2328E4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宋体" w:hAnsi="宋体" w:eastAsia="宋体" w:cs="宋体"/>
                <w:color w:val="000000"/>
                <w:kern w:val="0"/>
                <w:sz w:val="20"/>
                <w:szCs w:val="20"/>
                <w:lang w:val="en-US" w:eastAsia="zh-CN" w:bidi="ar"/>
              </w:rPr>
              <w:t xml:space="preserve">2、中标供应商在保证药品质量、执行国家物价的前提下按约定的药品品种、剂型、规格、数量、价格、供货方式等供货，保证临床用药不断档。 </w:t>
            </w:r>
          </w:p>
          <w:p w14:paraId="34D4A5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宋体" w:hAnsi="宋体" w:eastAsia="宋体" w:cs="宋体"/>
                <w:color w:val="000000"/>
                <w:kern w:val="0"/>
                <w:sz w:val="20"/>
                <w:szCs w:val="20"/>
                <w:lang w:val="en-US" w:eastAsia="zh-CN" w:bidi="ar"/>
              </w:rPr>
              <w:t xml:space="preserve">3、中标供应商必须产品齐全，不得以任何借口（如无货，采购量少等）不执行采购人药品采购计划。 </w:t>
            </w:r>
          </w:p>
          <w:p w14:paraId="622C58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宋体" w:hAnsi="宋体" w:eastAsia="宋体" w:cs="宋体"/>
                <w:color w:val="000000"/>
                <w:kern w:val="0"/>
                <w:sz w:val="20"/>
                <w:szCs w:val="20"/>
                <w:lang w:val="en-US" w:eastAsia="zh-CN" w:bidi="ar"/>
              </w:rPr>
              <w:t xml:space="preserve">4、中标供应商派驻采购人的工作人员应通过岗前培训并经采购人考核合格。 </w:t>
            </w:r>
          </w:p>
          <w:p w14:paraId="0BFBC1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宋体" w:hAnsi="宋体" w:eastAsia="宋体" w:cs="宋体"/>
                <w:color w:val="000000"/>
                <w:kern w:val="0"/>
                <w:sz w:val="20"/>
                <w:szCs w:val="20"/>
                <w:lang w:val="en-US" w:eastAsia="zh-CN" w:bidi="ar"/>
              </w:rPr>
              <w:t xml:space="preserve">5、经法定机构确认为药品质量原因造成采购人损失的，其损失（包括由此造成的其它损失）一律由中标供应商承担。 </w:t>
            </w:r>
          </w:p>
          <w:p w14:paraId="2421D2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cs="Arial"/>
                <w:b/>
                <w:color w:val="auto"/>
                <w:sz w:val="21"/>
                <w:szCs w:val="21"/>
                <w:highlight w:val="none"/>
              </w:rPr>
            </w:pPr>
            <w:r>
              <w:rPr>
                <w:rFonts w:hint="eastAsia" w:ascii="宋体" w:hAnsi="宋体" w:eastAsia="宋体" w:cs="宋体"/>
                <w:color w:val="000000"/>
                <w:kern w:val="0"/>
                <w:sz w:val="20"/>
                <w:szCs w:val="20"/>
                <w:lang w:val="en-US" w:eastAsia="zh-CN" w:bidi="ar"/>
              </w:rPr>
              <w:t>6、若遇国家重大政策调整影响集中配送合同执行的情况，双方可共同友好协商解决。</w:t>
            </w:r>
          </w:p>
          <w:p w14:paraId="71FB3B4C">
            <w:pPr>
              <w:keepNext w:val="0"/>
              <w:keepLines w:val="0"/>
              <w:widowControl/>
              <w:suppressLineNumbers w:val="0"/>
              <w:jc w:val="left"/>
              <w:rPr>
                <w:color w:val="auto"/>
                <w:sz w:val="21"/>
                <w:szCs w:val="21"/>
                <w:highlight w:val="none"/>
              </w:rPr>
            </w:pPr>
          </w:p>
        </w:tc>
      </w:tr>
      <w:bookmarkEnd w:id="5"/>
      <w:tr w14:paraId="53A01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21C03309">
            <w:pPr>
              <w:spacing w:line="340" w:lineRule="atLeast"/>
              <w:rPr>
                <w:rFonts w:ascii="宋体" w:hAnsi="宋体"/>
                <w:b/>
                <w:color w:val="auto"/>
                <w:sz w:val="21"/>
                <w:szCs w:val="21"/>
                <w:highlight w:val="none"/>
              </w:rPr>
            </w:pPr>
            <w:r>
              <w:rPr>
                <w:rFonts w:hint="eastAsia" w:ascii="宋体" w:hAnsi="宋体"/>
                <w:color w:val="auto"/>
                <w:sz w:val="21"/>
                <w:szCs w:val="21"/>
                <w:highlight w:val="none"/>
              </w:rPr>
              <w:t>二</w:t>
            </w:r>
            <w:r>
              <w:rPr>
                <w:rFonts w:hint="eastAsia" w:ascii="宋体" w:hAnsi="宋体"/>
                <w:b/>
                <w:color w:val="auto"/>
                <w:sz w:val="21"/>
                <w:szCs w:val="21"/>
                <w:highlight w:val="none"/>
              </w:rPr>
              <w:t>、商务条款</w:t>
            </w:r>
          </w:p>
        </w:tc>
      </w:tr>
      <w:tr w14:paraId="25D5B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0"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71AAF32">
            <w:pPr>
              <w:spacing w:line="3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合同签订时间</w:t>
            </w:r>
          </w:p>
          <w:p w14:paraId="72EE066B">
            <w:pPr>
              <w:spacing w:line="340" w:lineRule="atLeas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及地点</w:t>
            </w:r>
          </w:p>
        </w:tc>
        <w:tc>
          <w:tcPr>
            <w:tcW w:w="396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7FAB225">
            <w:pPr>
              <w:snapToGrid w:val="0"/>
              <w:spacing w:line="360" w:lineRule="exact"/>
              <w:rPr>
                <w:rFonts w:hint="eastAsia" w:ascii="宋体" w:hAnsi="宋体" w:eastAsia="宋体"/>
                <w:color w:val="auto"/>
                <w:sz w:val="21"/>
                <w:szCs w:val="21"/>
                <w:highlight w:val="none"/>
              </w:rPr>
            </w:pPr>
            <w:r>
              <w:rPr>
                <w:rFonts w:hint="eastAsia" w:ascii="Arial" w:hAnsi="Arial" w:cs="Arial" w:eastAsiaTheme="minorEastAsia"/>
                <w:bCs/>
                <w:szCs w:val="21"/>
              </w:rPr>
              <w:t>▲</w:t>
            </w:r>
            <w:r>
              <w:rPr>
                <w:rFonts w:hint="eastAsia" w:ascii="宋体" w:hAnsi="宋体" w:eastAsia="宋体"/>
                <w:color w:val="auto"/>
                <w:sz w:val="21"/>
                <w:szCs w:val="21"/>
                <w:highlight w:val="none"/>
              </w:rPr>
              <w:t>1、合同签订时间：自中标通知书发出之日起25日内。</w:t>
            </w:r>
          </w:p>
          <w:p w14:paraId="02E5A277">
            <w:pPr>
              <w:snapToGrid w:val="0"/>
              <w:spacing w:line="360" w:lineRule="exact"/>
              <w:rPr>
                <w:rFonts w:hint="eastAsia" w:ascii="Calibri" w:hAnsi="Calibri" w:eastAsia="宋体" w:cs="Times New Roman"/>
                <w:color w:val="auto"/>
                <w:kern w:val="2"/>
                <w:sz w:val="21"/>
                <w:szCs w:val="21"/>
                <w:highlight w:val="none"/>
                <w:lang w:val="en-US" w:eastAsia="zh-CN" w:bidi="ar-SA"/>
              </w:rPr>
            </w:pPr>
            <w:r>
              <w:rPr>
                <w:rFonts w:hint="eastAsia" w:ascii="Arial" w:hAnsi="Arial" w:cs="Arial" w:eastAsiaTheme="minorEastAsia"/>
                <w:bCs/>
                <w:szCs w:val="21"/>
              </w:rPr>
              <w:t>▲</w:t>
            </w:r>
            <w:r>
              <w:rPr>
                <w:rFonts w:hint="eastAsia" w:ascii="宋体" w:hAnsi="宋体" w:eastAsia="宋体"/>
                <w:color w:val="auto"/>
                <w:sz w:val="21"/>
                <w:szCs w:val="21"/>
                <w:highlight w:val="none"/>
              </w:rPr>
              <w:t>2、合同签订地点：</w:t>
            </w:r>
            <w:r>
              <w:rPr>
                <w:rFonts w:hint="eastAsia" w:ascii="宋体" w:hAnsi="宋体" w:eastAsia="宋体"/>
                <w:color w:val="auto"/>
                <w:sz w:val="21"/>
                <w:szCs w:val="21"/>
                <w:highlight w:val="none"/>
                <w:lang w:val="en-US" w:eastAsia="zh-CN"/>
              </w:rPr>
              <w:t>广西壮族自治区生殖医院</w:t>
            </w:r>
            <w:r>
              <w:rPr>
                <w:rFonts w:hint="eastAsia" w:ascii="宋体" w:hAnsi="宋体" w:eastAsia="宋体"/>
                <w:color w:val="auto"/>
                <w:sz w:val="21"/>
                <w:szCs w:val="21"/>
                <w:highlight w:val="none"/>
              </w:rPr>
              <w:t>。</w:t>
            </w:r>
          </w:p>
        </w:tc>
      </w:tr>
      <w:tr w14:paraId="54625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0"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FE38EC3">
            <w:pPr>
              <w:spacing w:line="340" w:lineRule="atLeas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color w:val="000000" w:themeColor="text1"/>
                <w:sz w:val="21"/>
                <w:szCs w:val="21"/>
                <w14:textFill>
                  <w14:solidFill>
                    <w14:schemeClr w14:val="tx1"/>
                  </w14:solidFill>
                </w14:textFill>
              </w:rPr>
              <w:t>服务期限、供货时间和地点（范围）</w:t>
            </w:r>
          </w:p>
        </w:tc>
        <w:tc>
          <w:tcPr>
            <w:tcW w:w="396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8BAB8EA">
            <w:pPr>
              <w:widowControl w:val="0"/>
              <w:ind w:firstLine="27" w:firstLineChars="13"/>
              <w:rPr>
                <w:rFonts w:ascii="宋体" w:hAnsi="宋体"/>
                <w:color w:val="auto"/>
                <w:sz w:val="21"/>
                <w:szCs w:val="21"/>
                <w:highlight w:val="none"/>
              </w:rPr>
            </w:pPr>
            <w:r>
              <w:rPr>
                <w:rFonts w:hint="eastAsia" w:ascii="Arial" w:hAnsi="Arial" w:cs="Arial" w:eastAsiaTheme="minorEastAsia"/>
                <w:bCs/>
                <w:szCs w:val="21"/>
              </w:rPr>
              <w:t>▲</w:t>
            </w: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服务期限</w:t>
            </w:r>
            <w:r>
              <w:rPr>
                <w:rFonts w:hint="eastAsia" w:ascii="宋体" w:hAnsi="宋体"/>
                <w:color w:val="auto"/>
                <w:sz w:val="21"/>
                <w:szCs w:val="21"/>
                <w:highlight w:val="none"/>
              </w:rPr>
              <w:t>：</w:t>
            </w:r>
            <w:r>
              <w:rPr>
                <w:rFonts w:hint="eastAsia" w:ascii="宋体" w:hAnsi="宋体" w:eastAsia="宋体" w:cs="宋体"/>
                <w:color w:val="auto"/>
                <w:highlight w:val="none"/>
                <w:lang w:eastAsia="zh-CN"/>
              </w:rPr>
              <w:t>自合同签订之日起</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年或</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年内采购金额达到本标项合同总金额，合同终止，具体以签订时间为准</w:t>
            </w:r>
            <w:r>
              <w:rPr>
                <w:rFonts w:hint="eastAsia" w:ascii="宋体" w:hAnsi="宋体"/>
                <w:color w:val="auto"/>
                <w:sz w:val="21"/>
                <w:szCs w:val="21"/>
                <w:highlight w:val="none"/>
              </w:rPr>
              <w:t>。若遇国家或上级部门重大政策调整影响合同执行的情况，采购人及中标供应商均应共同遵守国家或上级部门的规定；同时，采购人有权根据规定单方面终止合同。</w:t>
            </w:r>
          </w:p>
          <w:p w14:paraId="7D48D279">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Arial" w:hAnsi="Arial" w:cs="Arial" w:eastAsiaTheme="minorEastAsia"/>
                <w:bCs/>
                <w:szCs w:val="21"/>
              </w:rPr>
              <w:t>▲</w:t>
            </w:r>
            <w:r>
              <w:rPr>
                <w:rFonts w:hint="eastAsia" w:ascii="宋体" w:hAnsi="宋体"/>
                <w:color w:val="auto"/>
                <w:sz w:val="21"/>
                <w:szCs w:val="21"/>
                <w:highlight w:val="none"/>
              </w:rPr>
              <w:t>2.交货期：</w:t>
            </w:r>
            <w:r>
              <w:rPr>
                <w:rFonts w:hint="eastAsia" w:ascii="宋体" w:hAnsi="宋体" w:eastAsia="宋体" w:cs="宋体"/>
                <w:color w:val="000000"/>
                <w:kern w:val="0"/>
                <w:sz w:val="21"/>
                <w:szCs w:val="21"/>
                <w:lang w:val="en-US" w:eastAsia="zh-CN" w:bidi="ar"/>
              </w:rPr>
              <w:t>中标供应商应自收到采购人订单通知起配送供货，急救、急用（特殊订单或紧急订单）药品原则上 3 小时内送达，一般药品（普通订单）3 天内送达。不能一次完成订单配送的，剩余部分须在 4 天内（含第一次配送时间）完成配送。</w:t>
            </w:r>
          </w:p>
          <w:p w14:paraId="560C2BD0">
            <w:pPr>
              <w:keepNext w:val="0"/>
              <w:keepLines w:val="0"/>
              <w:widowControl/>
              <w:suppressLineNumbers w:val="0"/>
              <w:jc w:val="left"/>
              <w:rPr>
                <w:rFonts w:hint="eastAsia" w:ascii="宋体" w:hAnsi="宋体" w:eastAsia="宋体" w:cs="Times New Roman"/>
                <w:color w:val="auto"/>
                <w:kern w:val="2"/>
                <w:sz w:val="21"/>
                <w:szCs w:val="21"/>
                <w:highlight w:val="none"/>
                <w:lang w:val="en-US" w:eastAsia="zh-CN" w:bidi="ar-SA"/>
              </w:rPr>
            </w:pPr>
            <w:r>
              <w:rPr>
                <w:rFonts w:hint="eastAsia" w:ascii="Arial" w:hAnsi="Arial" w:cs="Arial" w:eastAsiaTheme="minorEastAsia"/>
                <w:bCs/>
                <w:szCs w:val="21"/>
              </w:rPr>
              <w:t>▲</w:t>
            </w:r>
            <w:r>
              <w:rPr>
                <w:rFonts w:hint="eastAsia" w:ascii="宋体" w:hAnsi="宋体"/>
                <w:color w:val="auto"/>
                <w:sz w:val="21"/>
                <w:szCs w:val="21"/>
                <w:highlight w:val="none"/>
              </w:rPr>
              <w:t>3.交货地点：</w:t>
            </w:r>
            <w:r>
              <w:rPr>
                <w:rFonts w:hint="eastAsia" w:ascii="宋体" w:hAnsi="宋体" w:eastAsia="宋体" w:cs="宋体"/>
                <w:color w:val="000000" w:themeColor="text1"/>
                <w:sz w:val="21"/>
                <w:szCs w:val="21"/>
                <w14:textFill>
                  <w14:solidFill>
                    <w14:schemeClr w14:val="tx1"/>
                  </w14:solidFill>
                </w14:textFill>
              </w:rPr>
              <w:t>南宁市青秀区</w:t>
            </w:r>
            <w:r>
              <w:rPr>
                <w:rFonts w:hint="eastAsia" w:ascii="宋体" w:hAnsi="宋体" w:eastAsia="宋体" w:cs="宋体"/>
                <w:color w:val="000000" w:themeColor="text1"/>
                <w:sz w:val="21"/>
                <w:szCs w:val="21"/>
                <w:lang w:val="en-US" w:eastAsia="zh-CN"/>
                <w14:textFill>
                  <w14:solidFill>
                    <w14:schemeClr w14:val="tx1"/>
                  </w14:solidFill>
                </w14:textFill>
              </w:rPr>
              <w:t>龙源路</w:t>
            </w:r>
            <w:r>
              <w:rPr>
                <w:rFonts w:hint="eastAsia" w:ascii="宋体" w:hAnsi="宋体" w:eastAsia="宋体" w:cs="宋体"/>
                <w:color w:val="000000" w:themeColor="text1"/>
                <w:sz w:val="21"/>
                <w:szCs w:val="21"/>
                <w14:textFill>
                  <w14:solidFill>
                    <w14:schemeClr w14:val="tx1"/>
                  </w14:solidFill>
                </w14:textFill>
              </w:rPr>
              <w:t>3号</w:t>
            </w:r>
            <w:r>
              <w:rPr>
                <w:rFonts w:hint="eastAsia" w:ascii="宋体" w:hAnsi="宋体" w:eastAsia="宋体" w:cs="宋体"/>
                <w:color w:val="000000" w:themeColor="text1"/>
                <w:sz w:val="21"/>
                <w:szCs w:val="21"/>
                <w:lang w:val="en-US" w:eastAsia="zh-CN"/>
                <w14:textFill>
                  <w14:solidFill>
                    <w14:schemeClr w14:val="tx1"/>
                  </w14:solidFill>
                </w14:textFill>
              </w:rPr>
              <w:t>广西壮族自治区生殖医院</w:t>
            </w:r>
            <w:r>
              <w:rPr>
                <w:rFonts w:hint="eastAsia" w:ascii="宋体" w:hAnsi="宋体" w:eastAsia="宋体" w:cs="宋体"/>
                <w:color w:val="000000" w:themeColor="text1"/>
                <w:sz w:val="21"/>
                <w:szCs w:val="21"/>
                <w14:textFill>
                  <w14:solidFill>
                    <w14:schemeClr w14:val="tx1"/>
                  </w14:solidFill>
                </w14:textFill>
              </w:rPr>
              <w:t>采购人指定的地点</w:t>
            </w:r>
            <w:r>
              <w:rPr>
                <w:rFonts w:hint="eastAsia" w:ascii="宋体" w:hAnsi="宋体" w:cs="宋体"/>
                <w:color w:val="000000" w:themeColor="text1"/>
                <w:sz w:val="21"/>
                <w:szCs w:val="21"/>
                <w:lang w:eastAsia="zh-CN"/>
                <w14:textFill>
                  <w14:solidFill>
                    <w14:schemeClr w14:val="tx1"/>
                  </w14:solidFill>
                </w14:textFill>
              </w:rPr>
              <w:t>。</w:t>
            </w:r>
          </w:p>
        </w:tc>
      </w:tr>
      <w:tr w14:paraId="18FBA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0"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B7AEF44">
            <w:pPr>
              <w:spacing w:line="340" w:lineRule="atLeas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付款方式</w:t>
            </w:r>
          </w:p>
        </w:tc>
        <w:tc>
          <w:tcPr>
            <w:tcW w:w="396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F95E4D4">
            <w:pPr>
              <w:spacing w:line="380" w:lineRule="exact"/>
              <w:rPr>
                <w:rFonts w:ascii="宋体" w:hAnsi="宋体" w:cs="宋体"/>
                <w:color w:val="auto"/>
                <w:kern w:val="0"/>
                <w:sz w:val="21"/>
                <w:szCs w:val="21"/>
                <w:highlight w:val="none"/>
              </w:rPr>
            </w:pPr>
            <w:r>
              <w:rPr>
                <w:rFonts w:hint="eastAsia" w:ascii="Arial" w:hAnsi="Arial" w:cs="Arial" w:eastAsiaTheme="minorEastAsia"/>
                <w:bCs/>
                <w:szCs w:val="21"/>
              </w:rPr>
              <w:t>▲</w:t>
            </w:r>
            <w:r>
              <w:rPr>
                <w:rFonts w:hint="eastAsia" w:ascii="宋体" w:hAnsi="宋体" w:cs="宋体"/>
                <w:color w:val="auto"/>
                <w:kern w:val="0"/>
                <w:sz w:val="21"/>
                <w:szCs w:val="21"/>
                <w:highlight w:val="none"/>
              </w:rPr>
              <w:t>1、合同履行期间，采购人分批次采购中药配方颗粒，每批次中药配方颗粒交货验收合格后</w:t>
            </w:r>
            <w:r>
              <w:rPr>
                <w:rFonts w:hint="eastAsia" w:ascii="宋体" w:hAnsi="宋体" w:cs="宋体"/>
                <w:color w:val="auto"/>
                <w:kern w:val="0"/>
                <w:sz w:val="21"/>
                <w:szCs w:val="21"/>
                <w:highlight w:val="none"/>
                <w:lang w:val="en-US" w:eastAsia="zh-CN"/>
              </w:rPr>
              <w:t>90</w:t>
            </w:r>
            <w:r>
              <w:rPr>
                <w:rFonts w:hint="eastAsia" w:ascii="宋体" w:hAnsi="宋体" w:cs="宋体"/>
                <w:color w:val="auto"/>
                <w:kern w:val="0"/>
                <w:sz w:val="21"/>
                <w:szCs w:val="21"/>
                <w:highlight w:val="none"/>
              </w:rPr>
              <w:t>日内以转账、承兑汇票等方式付清该批货款。</w:t>
            </w:r>
          </w:p>
          <w:p w14:paraId="21D4EC36">
            <w:pPr>
              <w:rPr>
                <w:rFonts w:hint="eastAsia" w:ascii="宋体" w:hAnsi="宋体" w:eastAsia="宋体" w:cs="Times New Roman"/>
                <w:color w:val="auto"/>
                <w:kern w:val="2"/>
                <w:sz w:val="21"/>
                <w:szCs w:val="21"/>
                <w:highlight w:val="none"/>
                <w:lang w:val="en-US" w:eastAsia="zh-CN" w:bidi="ar-SA"/>
              </w:rPr>
            </w:pPr>
            <w:r>
              <w:rPr>
                <w:rFonts w:hint="eastAsia" w:ascii="Arial" w:hAnsi="Arial" w:cs="Arial" w:eastAsiaTheme="minorEastAsia"/>
                <w:bCs/>
                <w:szCs w:val="21"/>
              </w:rPr>
              <w:t>▲</w:t>
            </w:r>
            <w:r>
              <w:rPr>
                <w:rFonts w:hint="eastAsia" w:ascii="宋体" w:hAnsi="宋体" w:cs="宋体"/>
                <w:color w:val="auto"/>
                <w:kern w:val="0"/>
                <w:sz w:val="21"/>
                <w:szCs w:val="21"/>
                <w:highlight w:val="none"/>
              </w:rPr>
              <w:t>2、在验收过程中发现成交供应商有违约问题的，采购人可暂缓资金结算，待违约问题解决后，方可办理资金结算事宜。</w:t>
            </w:r>
          </w:p>
        </w:tc>
      </w:tr>
      <w:tr w14:paraId="018A5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0"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DB82E22">
            <w:pPr>
              <w:spacing w:line="340" w:lineRule="atLeas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质保期</w:t>
            </w:r>
          </w:p>
        </w:tc>
        <w:tc>
          <w:tcPr>
            <w:tcW w:w="396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86A8B5A">
            <w:pPr>
              <w:spacing w:line="340" w:lineRule="atLeast"/>
              <w:jc w:val="left"/>
              <w:rPr>
                <w:rFonts w:hint="eastAsia" w:ascii="宋体" w:hAnsi="宋体" w:eastAsia="宋体" w:cs="Times New Roman"/>
                <w:color w:val="auto"/>
                <w:kern w:val="2"/>
                <w:sz w:val="21"/>
                <w:szCs w:val="21"/>
                <w:highlight w:val="none"/>
                <w:lang w:val="en-US" w:eastAsia="zh-CN" w:bidi="ar-SA"/>
              </w:rPr>
            </w:pPr>
            <w:r>
              <w:rPr>
                <w:rFonts w:hint="eastAsia" w:ascii="Arial" w:hAnsi="Arial" w:cs="Arial" w:eastAsiaTheme="minorEastAsia"/>
                <w:bCs/>
                <w:szCs w:val="21"/>
              </w:rPr>
              <w:t>▲</w:t>
            </w:r>
            <w:r>
              <w:rPr>
                <w:rFonts w:hint="eastAsia" w:ascii="宋体" w:hAnsi="宋体" w:cs="Arial"/>
                <w:color w:val="auto"/>
                <w:sz w:val="21"/>
                <w:szCs w:val="21"/>
                <w:highlight w:val="none"/>
              </w:rPr>
              <w:t>所供药品到货入库的剩余</w:t>
            </w:r>
            <w:r>
              <w:rPr>
                <w:rFonts w:hint="eastAsia" w:ascii="宋体" w:hAnsi="宋体" w:cs="宋体"/>
                <w:color w:val="auto"/>
                <w:sz w:val="21"/>
                <w:szCs w:val="21"/>
                <w:highlight w:val="none"/>
                <w:lang w:val="en-US" w:eastAsia="zh-CN"/>
              </w:rPr>
              <w:t>有效期不少于1年（配方颗粒总有效期不足1年的验收入库的有效期不少于总有效期的三分之二）</w:t>
            </w:r>
          </w:p>
        </w:tc>
      </w:tr>
      <w:tr w14:paraId="6BB8B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0" w:type="pct"/>
            <w:gridSpan w:val="3"/>
            <w:tcBorders>
              <w:top w:val="single" w:color="auto" w:sz="4" w:space="0"/>
              <w:left w:val="single" w:color="auto" w:sz="4" w:space="0"/>
              <w:bottom w:val="single" w:color="auto" w:sz="4" w:space="0"/>
              <w:right w:val="single" w:color="auto" w:sz="4" w:space="0"/>
            </w:tcBorders>
            <w:noWrap w:val="0"/>
            <w:vAlign w:val="center"/>
          </w:tcPr>
          <w:p w14:paraId="55C1C860">
            <w:pPr>
              <w:spacing w:line="340" w:lineRule="atLeast"/>
              <w:jc w:val="center"/>
              <w:rPr>
                <w:rFonts w:ascii="宋体" w:hAnsi="宋体"/>
                <w:color w:val="auto"/>
                <w:sz w:val="21"/>
                <w:szCs w:val="21"/>
                <w:highlight w:val="none"/>
              </w:rPr>
            </w:pPr>
            <w:r>
              <w:rPr>
                <w:rFonts w:hint="eastAsia" w:ascii="宋体" w:hAnsi="宋体"/>
                <w:color w:val="auto"/>
                <w:sz w:val="21"/>
                <w:szCs w:val="21"/>
                <w:highlight w:val="none"/>
              </w:rPr>
              <w:t>售后服务要求</w:t>
            </w:r>
          </w:p>
        </w:tc>
        <w:tc>
          <w:tcPr>
            <w:tcW w:w="3969" w:type="pct"/>
            <w:gridSpan w:val="2"/>
            <w:tcBorders>
              <w:top w:val="single" w:color="auto" w:sz="4" w:space="0"/>
              <w:left w:val="single" w:color="auto" w:sz="4" w:space="0"/>
              <w:bottom w:val="single" w:color="auto" w:sz="4" w:space="0"/>
              <w:right w:val="single" w:color="auto" w:sz="4" w:space="0"/>
            </w:tcBorders>
            <w:noWrap w:val="0"/>
            <w:vAlign w:val="center"/>
          </w:tcPr>
          <w:p w14:paraId="10078BE1">
            <w:pPr>
              <w:spacing w:line="340" w:lineRule="atLeast"/>
              <w:jc w:val="left"/>
              <w:rPr>
                <w:rFonts w:ascii="宋体" w:hAnsi="宋体"/>
                <w:color w:val="auto"/>
                <w:sz w:val="21"/>
                <w:szCs w:val="21"/>
                <w:highlight w:val="none"/>
              </w:rPr>
            </w:pPr>
            <w:r>
              <w:rPr>
                <w:rFonts w:hint="eastAsia" w:ascii="Arial" w:hAnsi="Arial" w:cs="Arial" w:eastAsiaTheme="minorEastAsia"/>
                <w:bCs/>
                <w:szCs w:val="21"/>
              </w:rPr>
              <w:t>▲</w:t>
            </w:r>
            <w:r>
              <w:rPr>
                <w:rFonts w:hint="eastAsia" w:ascii="宋体" w:hAnsi="宋体"/>
                <w:color w:val="auto"/>
                <w:sz w:val="21"/>
                <w:szCs w:val="21"/>
                <w:highlight w:val="none"/>
              </w:rPr>
              <w:t>1.</w:t>
            </w:r>
            <w:r>
              <w:rPr>
                <w:rFonts w:hint="eastAsia" w:ascii="宋体" w:hAnsi="宋体"/>
                <w:color w:val="auto"/>
                <w:sz w:val="21"/>
                <w:szCs w:val="21"/>
                <w:highlight w:val="none"/>
                <w:lang w:eastAsia="zh-CN"/>
              </w:rPr>
              <w:t>中标供应商</w:t>
            </w:r>
            <w:r>
              <w:rPr>
                <w:rFonts w:hint="eastAsia" w:ascii="宋体" w:hAnsi="宋体"/>
                <w:color w:val="auto"/>
                <w:sz w:val="21"/>
                <w:szCs w:val="21"/>
                <w:highlight w:val="none"/>
              </w:rPr>
              <w:t>应在货物发运前对其进行满足运输距离、防潮、防震和防破损装卸等要求包装，以保证货物安全运输；并按与采购人确定的运输方式将货物运送至采购人指定地点，相关费用由</w:t>
            </w:r>
            <w:r>
              <w:rPr>
                <w:rFonts w:hint="eastAsia" w:ascii="宋体" w:hAnsi="宋体"/>
                <w:color w:val="auto"/>
                <w:sz w:val="21"/>
                <w:szCs w:val="21"/>
                <w:highlight w:val="none"/>
                <w:lang w:eastAsia="zh-CN"/>
              </w:rPr>
              <w:t>中标供应商</w:t>
            </w:r>
            <w:r>
              <w:rPr>
                <w:rFonts w:hint="eastAsia" w:ascii="宋体" w:hAnsi="宋体"/>
                <w:color w:val="auto"/>
                <w:sz w:val="21"/>
                <w:szCs w:val="21"/>
                <w:highlight w:val="none"/>
              </w:rPr>
              <w:t>承担。</w:t>
            </w:r>
          </w:p>
          <w:p w14:paraId="1A02DFD2">
            <w:pPr>
              <w:spacing w:line="340" w:lineRule="atLeast"/>
              <w:jc w:val="left"/>
              <w:rPr>
                <w:rFonts w:ascii="宋体" w:hAnsi="宋体"/>
                <w:color w:val="auto"/>
                <w:sz w:val="21"/>
                <w:szCs w:val="21"/>
                <w:highlight w:val="none"/>
              </w:rPr>
            </w:pPr>
            <w:r>
              <w:rPr>
                <w:rFonts w:hint="eastAsia" w:ascii="Arial" w:hAnsi="Arial" w:cs="Arial" w:eastAsiaTheme="minorEastAsia"/>
                <w:bCs/>
                <w:szCs w:val="21"/>
              </w:rPr>
              <w:t>▲</w:t>
            </w:r>
            <w:r>
              <w:rPr>
                <w:rFonts w:hint="eastAsia" w:ascii="宋体" w:hAnsi="宋体"/>
                <w:color w:val="auto"/>
                <w:sz w:val="21"/>
                <w:szCs w:val="21"/>
                <w:highlight w:val="none"/>
              </w:rPr>
              <w:t>2.提供质量合格的配方颗粒，并按供货批次提供中药配方颗粒质量检验报告书。</w:t>
            </w:r>
          </w:p>
          <w:p w14:paraId="31A9DC29">
            <w:pPr>
              <w:snapToGrid w:val="0"/>
              <w:spacing w:line="360" w:lineRule="exact"/>
              <w:jc w:val="left"/>
              <w:rPr>
                <w:rFonts w:ascii="宋体" w:hAnsi="宋体"/>
                <w:color w:val="auto"/>
                <w:sz w:val="21"/>
                <w:szCs w:val="21"/>
                <w:highlight w:val="none"/>
              </w:rPr>
            </w:pPr>
            <w:r>
              <w:rPr>
                <w:rFonts w:hint="eastAsia" w:ascii="Arial" w:hAnsi="Arial" w:cs="Arial" w:eastAsiaTheme="minorEastAsia"/>
                <w:bCs/>
                <w:szCs w:val="21"/>
              </w:rPr>
              <w:t>▲</w:t>
            </w:r>
            <w:r>
              <w:rPr>
                <w:rFonts w:hint="eastAsia" w:ascii="宋体" w:hAnsi="宋体"/>
                <w:color w:val="auto"/>
                <w:sz w:val="21"/>
                <w:szCs w:val="21"/>
                <w:highlight w:val="none"/>
              </w:rPr>
              <w:t>3.</w:t>
            </w:r>
            <w:r>
              <w:rPr>
                <w:rFonts w:hint="eastAsia" w:ascii="宋体" w:hAnsi="宋体"/>
                <w:color w:val="auto"/>
                <w:sz w:val="21"/>
                <w:szCs w:val="21"/>
                <w:highlight w:val="none"/>
                <w:lang w:eastAsia="zh-CN"/>
              </w:rPr>
              <w:t>中标供应商</w:t>
            </w:r>
            <w:r>
              <w:rPr>
                <w:rFonts w:hint="eastAsia" w:ascii="宋体" w:hAnsi="宋体"/>
                <w:color w:val="auto"/>
                <w:sz w:val="21"/>
                <w:szCs w:val="21"/>
                <w:highlight w:val="none"/>
              </w:rPr>
              <w:t>应根据采购人订单要求及时将货物送至采购人指定收货地点；若采购人订单所列品种</w:t>
            </w:r>
            <w:r>
              <w:rPr>
                <w:rFonts w:hint="eastAsia" w:ascii="宋体" w:hAnsi="宋体"/>
                <w:color w:val="auto"/>
                <w:sz w:val="21"/>
                <w:szCs w:val="21"/>
                <w:highlight w:val="none"/>
                <w:lang w:eastAsia="zh-CN"/>
              </w:rPr>
              <w:t>中标供应商</w:t>
            </w:r>
            <w:r>
              <w:rPr>
                <w:rFonts w:hint="eastAsia" w:ascii="宋体" w:hAnsi="宋体"/>
                <w:color w:val="auto"/>
                <w:sz w:val="21"/>
                <w:szCs w:val="21"/>
                <w:highlight w:val="none"/>
              </w:rPr>
              <w:t>暂不能提供，</w:t>
            </w:r>
            <w:r>
              <w:rPr>
                <w:rFonts w:hint="eastAsia" w:ascii="宋体" w:hAnsi="宋体"/>
                <w:color w:val="auto"/>
                <w:sz w:val="21"/>
                <w:szCs w:val="21"/>
                <w:highlight w:val="none"/>
                <w:lang w:eastAsia="zh-CN"/>
              </w:rPr>
              <w:t>中标供应商</w:t>
            </w:r>
            <w:r>
              <w:rPr>
                <w:rFonts w:hint="eastAsia" w:ascii="宋体" w:hAnsi="宋体"/>
                <w:color w:val="auto"/>
                <w:sz w:val="21"/>
                <w:szCs w:val="21"/>
                <w:highlight w:val="none"/>
              </w:rPr>
              <w:t>应在接单后24小时内及时通知采购人。</w:t>
            </w:r>
          </w:p>
          <w:p w14:paraId="1ED70D46">
            <w:pPr>
              <w:snapToGrid w:val="0"/>
              <w:spacing w:line="360" w:lineRule="exact"/>
              <w:jc w:val="left"/>
              <w:rPr>
                <w:rFonts w:ascii="宋体" w:hAnsi="宋体"/>
                <w:color w:val="auto"/>
                <w:sz w:val="21"/>
                <w:szCs w:val="21"/>
                <w:highlight w:val="none"/>
              </w:rPr>
            </w:pPr>
            <w:r>
              <w:rPr>
                <w:rFonts w:hint="eastAsia" w:ascii="Arial" w:hAnsi="Arial" w:cs="Arial" w:eastAsiaTheme="minorEastAsia"/>
                <w:bCs/>
                <w:szCs w:val="21"/>
              </w:rPr>
              <w:t>▲</w:t>
            </w:r>
            <w:r>
              <w:rPr>
                <w:rFonts w:hint="eastAsia" w:ascii="宋体" w:hAnsi="宋体"/>
                <w:color w:val="auto"/>
                <w:sz w:val="21"/>
                <w:szCs w:val="21"/>
                <w:highlight w:val="none"/>
              </w:rPr>
              <w:t>4.药品在交付采购人前发生的风险均由</w:t>
            </w:r>
            <w:r>
              <w:rPr>
                <w:rFonts w:hint="eastAsia" w:ascii="宋体" w:hAnsi="宋体"/>
                <w:color w:val="auto"/>
                <w:sz w:val="21"/>
                <w:szCs w:val="21"/>
                <w:highlight w:val="none"/>
                <w:lang w:eastAsia="zh-CN"/>
              </w:rPr>
              <w:t>中标供应商</w:t>
            </w:r>
            <w:r>
              <w:rPr>
                <w:rFonts w:hint="eastAsia" w:ascii="宋体" w:hAnsi="宋体"/>
                <w:color w:val="auto"/>
                <w:sz w:val="21"/>
                <w:szCs w:val="21"/>
                <w:highlight w:val="none"/>
              </w:rPr>
              <w:t>负责。</w:t>
            </w:r>
          </w:p>
          <w:p w14:paraId="40E1656F">
            <w:pPr>
              <w:snapToGrid w:val="0"/>
              <w:spacing w:line="360" w:lineRule="exact"/>
              <w:jc w:val="left"/>
              <w:rPr>
                <w:rFonts w:ascii="宋体" w:hAnsi="宋体"/>
                <w:color w:val="auto"/>
                <w:sz w:val="21"/>
                <w:szCs w:val="21"/>
                <w:highlight w:val="none"/>
              </w:rPr>
            </w:pPr>
            <w:r>
              <w:rPr>
                <w:rFonts w:hint="eastAsia" w:ascii="Arial" w:hAnsi="Arial" w:cs="Arial" w:eastAsiaTheme="minorEastAsia"/>
                <w:bCs/>
                <w:szCs w:val="21"/>
              </w:rPr>
              <w:t>▲</w:t>
            </w:r>
            <w:r>
              <w:rPr>
                <w:rFonts w:hint="eastAsia" w:ascii="宋体" w:hAnsi="宋体"/>
                <w:color w:val="auto"/>
                <w:sz w:val="21"/>
                <w:szCs w:val="21"/>
                <w:highlight w:val="none"/>
              </w:rPr>
              <w:t>5.</w:t>
            </w:r>
            <w:r>
              <w:rPr>
                <w:rFonts w:hint="eastAsia" w:ascii="宋体" w:hAnsi="宋体"/>
                <w:color w:val="auto"/>
                <w:sz w:val="21"/>
                <w:szCs w:val="21"/>
                <w:highlight w:val="none"/>
                <w:lang w:eastAsia="zh-CN"/>
              </w:rPr>
              <w:t>中标供应商</w:t>
            </w:r>
            <w:r>
              <w:rPr>
                <w:rFonts w:hint="eastAsia" w:ascii="宋体" w:hAnsi="宋体"/>
                <w:color w:val="auto"/>
                <w:sz w:val="21"/>
                <w:szCs w:val="21"/>
                <w:highlight w:val="none"/>
              </w:rPr>
              <w:t>提供的药品在质量保证期内，因设计、工艺或材料的缺陷和其它质量原因造成的问题（除患者自身保管不妥外），由</w:t>
            </w:r>
            <w:r>
              <w:rPr>
                <w:rFonts w:hint="eastAsia" w:ascii="宋体" w:hAnsi="宋体"/>
                <w:color w:val="auto"/>
                <w:sz w:val="21"/>
                <w:szCs w:val="21"/>
                <w:highlight w:val="none"/>
                <w:lang w:eastAsia="zh-CN"/>
              </w:rPr>
              <w:t>中标供应商</w:t>
            </w:r>
            <w:r>
              <w:rPr>
                <w:rFonts w:hint="eastAsia" w:ascii="宋体" w:hAnsi="宋体"/>
                <w:color w:val="auto"/>
                <w:sz w:val="21"/>
                <w:szCs w:val="21"/>
                <w:highlight w:val="none"/>
              </w:rPr>
              <w:t>负责。</w:t>
            </w:r>
          </w:p>
          <w:p w14:paraId="165B18E5">
            <w:pPr>
              <w:spacing w:line="340" w:lineRule="atLeast"/>
              <w:jc w:val="left"/>
              <w:rPr>
                <w:rFonts w:ascii="宋体" w:hAnsi="宋体"/>
                <w:color w:val="auto"/>
                <w:sz w:val="21"/>
                <w:szCs w:val="21"/>
                <w:highlight w:val="none"/>
              </w:rPr>
            </w:pPr>
            <w:r>
              <w:rPr>
                <w:rFonts w:hint="eastAsia" w:ascii="Arial" w:hAnsi="Arial" w:cs="Arial" w:eastAsiaTheme="minorEastAsia"/>
                <w:bCs/>
                <w:szCs w:val="21"/>
              </w:rPr>
              <w:t>▲</w:t>
            </w:r>
            <w:r>
              <w:rPr>
                <w:rFonts w:hint="eastAsia" w:ascii="宋体" w:hAnsi="宋体"/>
                <w:color w:val="auto"/>
                <w:sz w:val="21"/>
                <w:szCs w:val="21"/>
                <w:highlight w:val="none"/>
              </w:rPr>
              <w:t>6.在验收过程中发现</w:t>
            </w:r>
            <w:r>
              <w:rPr>
                <w:rFonts w:hint="eastAsia" w:ascii="宋体" w:hAnsi="宋体"/>
                <w:color w:val="auto"/>
                <w:sz w:val="21"/>
                <w:szCs w:val="21"/>
                <w:highlight w:val="none"/>
                <w:lang w:eastAsia="zh-CN"/>
              </w:rPr>
              <w:t>中标供应商</w:t>
            </w:r>
            <w:r>
              <w:rPr>
                <w:rFonts w:hint="eastAsia" w:ascii="宋体" w:hAnsi="宋体"/>
                <w:color w:val="auto"/>
                <w:sz w:val="21"/>
                <w:szCs w:val="21"/>
                <w:highlight w:val="none"/>
              </w:rPr>
              <w:t>有违约问题的，采购人可暂缓资金结算，待违约问题解决后，方可办理资金结算事宜。</w:t>
            </w:r>
          </w:p>
          <w:p w14:paraId="65432991">
            <w:pPr>
              <w:snapToGrid w:val="0"/>
              <w:spacing w:line="360" w:lineRule="exact"/>
              <w:jc w:val="left"/>
              <w:rPr>
                <w:rFonts w:hint="eastAsia" w:ascii="宋体" w:hAnsi="宋体" w:eastAsia="宋体"/>
                <w:color w:val="auto"/>
                <w:sz w:val="21"/>
                <w:szCs w:val="21"/>
                <w:highlight w:val="none"/>
              </w:rPr>
            </w:pPr>
            <w:r>
              <w:rPr>
                <w:rFonts w:hint="eastAsia" w:ascii="Arial" w:hAnsi="Arial" w:cs="Arial" w:eastAsiaTheme="minorEastAsia"/>
                <w:bCs/>
                <w:szCs w:val="21"/>
              </w:rPr>
              <w:t>▲</w:t>
            </w:r>
            <w:r>
              <w:rPr>
                <w:rFonts w:hint="eastAsia" w:ascii="宋体" w:hAnsi="宋体" w:eastAsia="宋体"/>
                <w:color w:val="auto"/>
                <w:sz w:val="21"/>
                <w:szCs w:val="21"/>
                <w:highlight w:val="none"/>
              </w:rPr>
              <w:t>7.接受采购人的临时抽检，检验样品由双方现场包装密封并签字，送有资质的相关部门检测，检测相关费用由</w:t>
            </w:r>
            <w:r>
              <w:rPr>
                <w:rFonts w:hint="eastAsia" w:ascii="宋体" w:hAnsi="宋体" w:eastAsia="宋体"/>
                <w:color w:val="auto"/>
                <w:sz w:val="21"/>
                <w:szCs w:val="21"/>
                <w:highlight w:val="none"/>
                <w:lang w:eastAsia="zh-CN"/>
              </w:rPr>
              <w:t>中标供应商</w:t>
            </w:r>
            <w:r>
              <w:rPr>
                <w:rFonts w:hint="eastAsia" w:ascii="宋体" w:hAnsi="宋体" w:eastAsia="宋体"/>
                <w:color w:val="auto"/>
                <w:sz w:val="21"/>
                <w:szCs w:val="21"/>
                <w:highlight w:val="none"/>
              </w:rPr>
              <w:t>承担。抽检定为假、劣药的按相关规定进行处理，并由成交供应商承担相关的法律责任，由此产生的相关费用由成交人自行负责。</w:t>
            </w:r>
          </w:p>
          <w:p w14:paraId="2D1F7E65">
            <w:pPr>
              <w:snapToGrid w:val="0"/>
              <w:spacing w:line="360" w:lineRule="exact"/>
              <w:jc w:val="left"/>
              <w:rPr>
                <w:rFonts w:hint="eastAsia" w:ascii="宋体" w:hAnsi="宋体" w:eastAsia="宋体"/>
                <w:color w:val="auto"/>
                <w:sz w:val="21"/>
                <w:szCs w:val="21"/>
                <w:highlight w:val="none"/>
              </w:rPr>
            </w:pPr>
            <w:r>
              <w:rPr>
                <w:rFonts w:hint="eastAsia" w:ascii="Arial" w:hAnsi="Arial" w:cs="Arial" w:eastAsiaTheme="minorEastAsia"/>
                <w:bCs/>
                <w:szCs w:val="21"/>
              </w:rPr>
              <w:t>▲</w:t>
            </w:r>
            <w:r>
              <w:rPr>
                <w:rFonts w:hint="eastAsia" w:ascii="宋体" w:hAnsi="宋体" w:eastAsia="宋体"/>
                <w:color w:val="auto"/>
                <w:sz w:val="21"/>
                <w:szCs w:val="21"/>
                <w:highlight w:val="none"/>
              </w:rPr>
              <w:t>8.临近有效期药品</w:t>
            </w:r>
            <w:r>
              <w:rPr>
                <w:rFonts w:hint="eastAsia" w:ascii="宋体" w:hAnsi="宋体" w:eastAsia="宋体"/>
                <w:color w:val="auto"/>
                <w:sz w:val="21"/>
                <w:szCs w:val="21"/>
                <w:highlight w:val="none"/>
                <w:lang w:eastAsia="zh-CN"/>
              </w:rPr>
              <w:t>中标供应商</w:t>
            </w:r>
            <w:r>
              <w:rPr>
                <w:rFonts w:hint="eastAsia" w:ascii="宋体" w:hAnsi="宋体" w:eastAsia="宋体"/>
                <w:color w:val="auto"/>
                <w:sz w:val="21"/>
                <w:szCs w:val="21"/>
                <w:highlight w:val="none"/>
              </w:rPr>
              <w:t>应无条件进行调换。年终盘点损耗由</w:t>
            </w:r>
            <w:r>
              <w:rPr>
                <w:rFonts w:hint="eastAsia" w:ascii="宋体" w:hAnsi="宋体" w:eastAsia="宋体"/>
                <w:color w:val="auto"/>
                <w:sz w:val="21"/>
                <w:szCs w:val="21"/>
                <w:highlight w:val="none"/>
                <w:lang w:eastAsia="zh-CN"/>
              </w:rPr>
              <w:t>中标供应商</w:t>
            </w:r>
            <w:r>
              <w:rPr>
                <w:rFonts w:hint="eastAsia" w:ascii="宋体" w:hAnsi="宋体" w:eastAsia="宋体"/>
                <w:color w:val="auto"/>
                <w:sz w:val="21"/>
                <w:szCs w:val="21"/>
                <w:highlight w:val="none"/>
              </w:rPr>
              <w:t>自行承担。</w:t>
            </w:r>
          </w:p>
          <w:p w14:paraId="16F91894">
            <w:pPr>
              <w:snapToGrid w:val="0"/>
              <w:spacing w:line="360" w:lineRule="exact"/>
              <w:jc w:val="left"/>
              <w:rPr>
                <w:rFonts w:hint="eastAsia"/>
                <w:color w:val="auto"/>
                <w:sz w:val="21"/>
                <w:szCs w:val="21"/>
                <w:lang w:eastAsia="zh-CN"/>
              </w:rPr>
            </w:pPr>
            <w:r>
              <w:rPr>
                <w:rFonts w:hint="eastAsia" w:ascii="Arial" w:hAnsi="Arial" w:cs="Arial" w:eastAsiaTheme="minorEastAsia"/>
                <w:bCs/>
                <w:szCs w:val="21"/>
              </w:rPr>
              <w:t>▲</w:t>
            </w:r>
            <w:r>
              <w:rPr>
                <w:rFonts w:hint="eastAsia" w:ascii="宋体" w:hAnsi="宋体" w:eastAsia="宋体"/>
                <w:color w:val="auto"/>
                <w:sz w:val="21"/>
                <w:szCs w:val="21"/>
                <w:highlight w:val="none"/>
                <w:lang w:val="en-US" w:eastAsia="zh-CN"/>
              </w:rPr>
              <w:t>9</w:t>
            </w:r>
            <w:r>
              <w:rPr>
                <w:rFonts w:hint="eastAsia" w:ascii="宋体" w:hAnsi="宋体" w:eastAsia="宋体"/>
                <w:color w:val="auto"/>
                <w:sz w:val="21"/>
                <w:szCs w:val="21"/>
                <w:highlight w:val="none"/>
              </w:rPr>
              <w:t>、中药配方颗粒品种一旦确定，不得无故不予配送，不配送及退货累计三次以上视为合同违约，采购人有权解除合同并要求成交供应商赔偿由此造成的所有损失。</w:t>
            </w:r>
          </w:p>
        </w:tc>
      </w:tr>
      <w:tr w14:paraId="7DF1D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0" w:type="pct"/>
            <w:gridSpan w:val="3"/>
            <w:tcBorders>
              <w:top w:val="single" w:color="auto" w:sz="4" w:space="0"/>
              <w:left w:val="single" w:color="auto" w:sz="4" w:space="0"/>
              <w:bottom w:val="single" w:color="auto" w:sz="4" w:space="0"/>
              <w:right w:val="single" w:color="auto" w:sz="4" w:space="0"/>
            </w:tcBorders>
            <w:noWrap w:val="0"/>
            <w:vAlign w:val="center"/>
          </w:tcPr>
          <w:p w14:paraId="58ED5688">
            <w:pPr>
              <w:spacing w:line="340" w:lineRule="atLeast"/>
              <w:jc w:val="center"/>
              <w:rPr>
                <w:rFonts w:ascii="宋体" w:hAnsi="宋体"/>
                <w:color w:val="auto"/>
                <w:sz w:val="21"/>
                <w:szCs w:val="21"/>
                <w:highlight w:val="none"/>
              </w:rPr>
            </w:pPr>
            <w:r>
              <w:rPr>
                <w:rFonts w:hint="eastAsia" w:ascii="宋体" w:hAnsi="宋体"/>
                <w:color w:val="auto"/>
                <w:sz w:val="21"/>
                <w:szCs w:val="21"/>
                <w:highlight w:val="none"/>
              </w:rPr>
              <w:t>报价要求</w:t>
            </w:r>
          </w:p>
        </w:tc>
        <w:tc>
          <w:tcPr>
            <w:tcW w:w="3969" w:type="pct"/>
            <w:gridSpan w:val="2"/>
            <w:tcBorders>
              <w:top w:val="single" w:color="auto" w:sz="4" w:space="0"/>
              <w:left w:val="single" w:color="auto" w:sz="4" w:space="0"/>
              <w:bottom w:val="single" w:color="auto" w:sz="4" w:space="0"/>
              <w:right w:val="single" w:color="auto" w:sz="4" w:space="0"/>
            </w:tcBorders>
            <w:noWrap w:val="0"/>
            <w:vAlign w:val="center"/>
          </w:tcPr>
          <w:p w14:paraId="7AB51DB9">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ascii="Arial" w:hAnsi="Arial" w:cs="Arial" w:eastAsiaTheme="minorEastAsia"/>
                <w:bCs/>
                <w:szCs w:val="21"/>
              </w:rPr>
              <w:t>▲</w:t>
            </w:r>
            <w:r>
              <w:rPr>
                <w:rFonts w:hint="eastAsia" w:ascii="宋体" w:hAnsi="宋体" w:eastAsia="宋体" w:cs="宋体"/>
                <w:color w:val="000000"/>
                <w:kern w:val="0"/>
                <w:sz w:val="21"/>
                <w:szCs w:val="21"/>
                <w:lang w:val="en-US" w:eastAsia="zh-CN" w:bidi="ar"/>
              </w:rPr>
              <w:t>1、本项目采购产品分为两部分，附表 1 为未纳入中药配方颗粒带量联动采购的品种， 附表 2 为已纳入中药配方颗粒带量联动采购的品种，投标人必须提供附表 2 所列所有产品按照中药配方颗粒带量联动采购的最新集采中选价格供应的承诺函及集采中选价格表。</w:t>
            </w:r>
          </w:p>
          <w:p w14:paraId="20C53B0F">
            <w:pPr>
              <w:keepNext w:val="0"/>
              <w:keepLines w:val="0"/>
              <w:widowControl/>
              <w:suppressLineNumbers w:val="0"/>
              <w:jc w:val="left"/>
              <w:rPr>
                <w:sz w:val="21"/>
                <w:szCs w:val="21"/>
              </w:rPr>
            </w:pPr>
            <w:r>
              <w:rPr>
                <w:rFonts w:hint="eastAsia" w:ascii="Arial" w:hAnsi="Arial" w:cs="Arial" w:eastAsiaTheme="minorEastAsia"/>
                <w:bCs/>
                <w:szCs w:val="21"/>
              </w:rPr>
              <w:t>▲</w:t>
            </w:r>
            <w:r>
              <w:rPr>
                <w:rFonts w:hint="eastAsia" w:ascii="宋体" w:hAnsi="宋体" w:eastAsia="宋体" w:cs="宋体"/>
                <w:color w:val="000000"/>
                <w:kern w:val="0"/>
                <w:sz w:val="21"/>
                <w:szCs w:val="21"/>
                <w:lang w:val="en-US" w:eastAsia="zh-CN" w:bidi="ar"/>
              </w:rPr>
              <w:t>2、投标人按附表 1 所列所有产品的单项单价报价合计为最终报价，供应商投标报价单价不得超过各项单价控制价，否则视为无效投标。评标价：附表1报价单价合计值作为评标价。</w:t>
            </w:r>
          </w:p>
          <w:p w14:paraId="2D27A3D1">
            <w:pPr>
              <w:keepNext w:val="0"/>
              <w:keepLines w:val="0"/>
              <w:widowControl/>
              <w:suppressLineNumbers w:val="0"/>
              <w:jc w:val="left"/>
              <w:rPr>
                <w:sz w:val="21"/>
                <w:szCs w:val="21"/>
              </w:rPr>
            </w:pPr>
            <w:r>
              <w:rPr>
                <w:rFonts w:hint="eastAsia" w:ascii="Arial" w:hAnsi="Arial" w:cs="Arial" w:eastAsiaTheme="minorEastAsia"/>
                <w:bCs/>
                <w:szCs w:val="21"/>
              </w:rPr>
              <w:t>▲</w:t>
            </w:r>
            <w:r>
              <w:rPr>
                <w:rFonts w:hint="eastAsia" w:ascii="宋体" w:hAnsi="宋体" w:eastAsia="宋体" w:cs="宋体"/>
                <w:color w:val="000000"/>
                <w:kern w:val="0"/>
                <w:sz w:val="21"/>
                <w:szCs w:val="21"/>
                <w:lang w:val="en-US" w:eastAsia="zh-CN" w:bidi="ar"/>
              </w:rPr>
              <w:t xml:space="preserve">3、报价应遵循质量优先、价格合理的原则；供应商不得进行恶意竞争，如有查证视为 供货商违约，采购人有权终止合同拒收货物，并追究供应商责任，同时报监督管理部门备案。 </w:t>
            </w:r>
          </w:p>
          <w:p w14:paraId="537BBA81">
            <w:pPr>
              <w:keepNext w:val="0"/>
              <w:keepLines w:val="0"/>
              <w:widowControl/>
              <w:suppressLineNumbers w:val="0"/>
              <w:jc w:val="left"/>
              <w:rPr>
                <w:sz w:val="21"/>
                <w:szCs w:val="21"/>
              </w:rPr>
            </w:pPr>
            <w:r>
              <w:rPr>
                <w:rFonts w:hint="eastAsia" w:ascii="Arial" w:hAnsi="Arial" w:cs="Arial" w:eastAsiaTheme="minorEastAsia"/>
                <w:bCs/>
                <w:szCs w:val="21"/>
              </w:rPr>
              <w:t>▲</w:t>
            </w:r>
            <w:r>
              <w:rPr>
                <w:rFonts w:hint="eastAsia" w:ascii="宋体" w:hAnsi="宋体" w:eastAsia="宋体" w:cs="宋体"/>
                <w:color w:val="000000"/>
                <w:kern w:val="0"/>
                <w:sz w:val="21"/>
                <w:szCs w:val="21"/>
                <w:lang w:val="en-US" w:eastAsia="zh-CN" w:bidi="ar"/>
              </w:rPr>
              <w:t xml:space="preserve">4、投标报价是履行合同的最终价格，统一按折合每克饮片报价。投标报价必须包含药 品（含药方颗粒原材料）、包装费、检测费、运输、保险、验收、售后服务、人员费用、 自动化调剂设备的投入及后续维护、配发服务、智能中药房改造安装、培训、税金以及所有的不定因素的风险导致的全部费用，供应商报价时应考虑报价风险。 </w:t>
            </w:r>
          </w:p>
          <w:p w14:paraId="2EEBE9A1">
            <w:pPr>
              <w:keepNext w:val="0"/>
              <w:keepLines w:val="0"/>
              <w:widowControl/>
              <w:suppressLineNumbers w:val="0"/>
              <w:jc w:val="left"/>
              <w:rPr>
                <w:rFonts w:ascii="宋体" w:hAnsi="宋体"/>
                <w:color w:val="auto"/>
                <w:sz w:val="21"/>
                <w:szCs w:val="21"/>
                <w:highlight w:val="none"/>
              </w:rPr>
            </w:pPr>
            <w:r>
              <w:rPr>
                <w:rFonts w:hint="eastAsia" w:ascii="Arial" w:hAnsi="Arial" w:cs="Arial" w:eastAsiaTheme="minorEastAsia"/>
                <w:bCs/>
                <w:szCs w:val="21"/>
              </w:rPr>
              <w:t>▲</w:t>
            </w:r>
            <w:r>
              <w:rPr>
                <w:rFonts w:hint="eastAsia" w:ascii="宋体" w:hAnsi="宋体" w:eastAsia="宋体" w:cs="宋体"/>
                <w:color w:val="000000"/>
                <w:kern w:val="0"/>
                <w:sz w:val="21"/>
                <w:szCs w:val="21"/>
                <w:lang w:val="en-US" w:eastAsia="zh-CN" w:bidi="ar"/>
              </w:rPr>
              <w:t>5、该投标报价为按折合每克饮片的报价，供货时，中标供应商按其中药颗粒剂每克报</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价及实际验收合格的数量计算货款。</w:t>
            </w:r>
          </w:p>
        </w:tc>
      </w:tr>
      <w:tr w14:paraId="007BF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0" w:type="pct"/>
            <w:gridSpan w:val="3"/>
            <w:tcBorders>
              <w:top w:val="single" w:color="auto" w:sz="4" w:space="0"/>
              <w:left w:val="single" w:color="auto" w:sz="4" w:space="0"/>
              <w:bottom w:val="single" w:color="auto" w:sz="4" w:space="0"/>
              <w:right w:val="single" w:color="auto" w:sz="4" w:space="0"/>
            </w:tcBorders>
            <w:noWrap w:val="0"/>
            <w:vAlign w:val="center"/>
          </w:tcPr>
          <w:p w14:paraId="1DCBB7C4">
            <w:pPr>
              <w:spacing w:line="340" w:lineRule="atLeast"/>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验收标准</w:t>
            </w:r>
          </w:p>
        </w:tc>
        <w:tc>
          <w:tcPr>
            <w:tcW w:w="3969" w:type="pct"/>
            <w:gridSpan w:val="2"/>
            <w:tcBorders>
              <w:top w:val="single" w:color="auto" w:sz="4" w:space="0"/>
              <w:left w:val="single" w:color="auto" w:sz="4" w:space="0"/>
              <w:bottom w:val="single" w:color="auto" w:sz="4" w:space="0"/>
              <w:right w:val="single" w:color="auto" w:sz="4" w:space="0"/>
            </w:tcBorders>
            <w:noWrap w:val="0"/>
            <w:vAlign w:val="center"/>
          </w:tcPr>
          <w:p w14:paraId="3B031D46">
            <w:pPr>
              <w:keepNext w:val="0"/>
              <w:keepLines w:val="0"/>
              <w:widowControl/>
              <w:suppressLineNumbers w:val="0"/>
              <w:jc w:val="left"/>
              <w:rPr>
                <w:rFonts w:hint="eastAsia" w:ascii="宋体" w:hAnsi="宋体"/>
                <w:color w:val="auto"/>
                <w:sz w:val="21"/>
                <w:szCs w:val="21"/>
                <w:highlight w:val="none"/>
              </w:rPr>
            </w:pPr>
            <w:r>
              <w:rPr>
                <w:rFonts w:hint="eastAsia" w:ascii="宋体" w:hAnsi="宋体" w:eastAsia="宋体" w:cs="宋体"/>
                <w:color w:val="000000"/>
                <w:kern w:val="0"/>
                <w:sz w:val="21"/>
                <w:szCs w:val="21"/>
                <w:lang w:val="en-US" w:eastAsia="zh-CN" w:bidi="ar"/>
              </w:rPr>
              <w:t>1.符合国家标准、行业标准、地方标准或者其他标准、规范。</w:t>
            </w:r>
          </w:p>
          <w:p w14:paraId="63FD114A">
            <w:pPr>
              <w:spacing w:line="340" w:lineRule="atLeast"/>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.由采购人对货物或服务的质量、规格和数量及其他进行检验。验收不合格时，中标单位必须在采购人指定的时间内无条件更换，由此造成的损失和责任由中标单位承担。</w:t>
            </w:r>
          </w:p>
          <w:p w14:paraId="1BE43F81">
            <w:pPr>
              <w:spacing w:line="340" w:lineRule="atLeast"/>
              <w:rPr>
                <w:rFonts w:ascii="宋体" w:hAnsi="宋体"/>
                <w:color w:val="auto"/>
                <w:sz w:val="21"/>
                <w:szCs w:val="21"/>
                <w:highlight w:val="none"/>
              </w:rPr>
            </w:pPr>
            <w:r>
              <w:rPr>
                <w:rFonts w:hint="eastAsia" w:ascii="宋体" w:hAnsi="宋体"/>
                <w:color w:val="auto"/>
                <w:sz w:val="21"/>
                <w:szCs w:val="21"/>
                <w:highlight w:val="none"/>
              </w:rPr>
              <w:t>2.采购人将根据</w:t>
            </w:r>
            <w:r>
              <w:rPr>
                <w:rFonts w:hint="eastAsia" w:ascii="宋体" w:hAnsi="宋体"/>
                <w:color w:val="auto"/>
                <w:sz w:val="21"/>
                <w:szCs w:val="21"/>
                <w:highlight w:val="none"/>
                <w:lang w:eastAsia="zh-CN"/>
              </w:rPr>
              <w:t>中标供应商</w:t>
            </w:r>
            <w:r>
              <w:rPr>
                <w:rFonts w:hint="eastAsia" w:ascii="宋体" w:hAnsi="宋体"/>
                <w:color w:val="auto"/>
                <w:sz w:val="21"/>
                <w:szCs w:val="21"/>
                <w:highlight w:val="none"/>
              </w:rPr>
              <w:t>承诺对应提供的服务进行考核，如存在违约行为将告知</w:t>
            </w:r>
            <w:r>
              <w:rPr>
                <w:rFonts w:hint="eastAsia" w:ascii="宋体" w:hAnsi="宋体"/>
                <w:color w:val="auto"/>
                <w:sz w:val="21"/>
                <w:szCs w:val="21"/>
                <w:highlight w:val="none"/>
                <w:lang w:eastAsia="zh-CN"/>
              </w:rPr>
              <w:t>中标供应商</w:t>
            </w:r>
            <w:r>
              <w:rPr>
                <w:rFonts w:hint="eastAsia" w:ascii="宋体" w:hAnsi="宋体"/>
                <w:color w:val="auto"/>
                <w:sz w:val="21"/>
                <w:szCs w:val="21"/>
                <w:highlight w:val="none"/>
              </w:rPr>
              <w:t>，两次违约将终止合同。</w:t>
            </w:r>
          </w:p>
        </w:tc>
      </w:tr>
      <w:tr w14:paraId="6FF2A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0"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D4158AF">
            <w:pPr>
              <w:keepNext w:val="0"/>
              <w:keepLines w:val="0"/>
              <w:pageBreakBefore w:val="0"/>
              <w:widowControl w:val="0"/>
              <w:kinsoku/>
              <w:wordWrap/>
              <w:overflowPunct/>
              <w:topLinePunct w:val="0"/>
              <w:bidi w:val="0"/>
              <w:adjustRightInd/>
              <w:snapToGrid w:val="0"/>
              <w:spacing w:line="380" w:lineRule="exact"/>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kern w:val="0"/>
                <w:sz w:val="21"/>
                <w:szCs w:val="21"/>
              </w:rPr>
              <w:t>履约保证金</w:t>
            </w:r>
          </w:p>
        </w:tc>
        <w:tc>
          <w:tcPr>
            <w:tcW w:w="396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AAB8CB2">
            <w:pPr>
              <w:keepNext w:val="0"/>
              <w:keepLines w:val="0"/>
              <w:pageBreakBefore w:val="0"/>
              <w:widowControl w:val="0"/>
              <w:kinsoku/>
              <w:wordWrap/>
              <w:overflowPunct/>
              <w:topLinePunct w:val="0"/>
              <w:autoSpaceDE w:val="0"/>
              <w:autoSpaceDN w:val="0"/>
              <w:bidi w:val="0"/>
              <w:adjustRightInd/>
              <w:snapToGrid w:val="0"/>
              <w:spacing w:line="380" w:lineRule="exac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履约保证金金额：按暂定合同金额（三年采购预算）的5%（如中标供应商为中小微企业，按2%）</w:t>
            </w:r>
          </w:p>
          <w:p w14:paraId="700E77AC">
            <w:pPr>
              <w:keepNext w:val="0"/>
              <w:keepLines w:val="0"/>
              <w:pageBreakBefore w:val="0"/>
              <w:widowControl w:val="0"/>
              <w:kinsoku/>
              <w:wordWrap/>
              <w:overflowPunct/>
              <w:topLinePunct w:val="0"/>
              <w:bidi w:val="0"/>
              <w:adjustRightInd/>
              <w:snapToGrid w:val="0"/>
              <w:spacing w:line="380" w:lineRule="exac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在签订合同之前，中标供应商需把履约保证金足额交到采购人指定账户。履约保证金自项目验收合格后，待中标供应商履行完合同义务且无违约情况下，由中标供应商提出书面申请后，采购人无息退还。本合同履行过程中，中标供应商存在违约的，采购人有权从履约保证金中先行扣除按本合同约定中标供应商应付款项，不足部分由中标供应商另行支付，采购人直接从履约保证金中扣除按本合同约定中标供应商应付款项的，中标供应商应于接到采购人补足履约保证金通知之日起3个工作日内补足。</w:t>
            </w:r>
          </w:p>
        </w:tc>
      </w:tr>
      <w:tr w14:paraId="77AEB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0" w:type="pct"/>
            <w:gridSpan w:val="3"/>
            <w:tcBorders>
              <w:top w:val="single" w:color="auto" w:sz="4" w:space="0"/>
              <w:left w:val="single" w:color="auto" w:sz="4" w:space="0"/>
              <w:bottom w:val="single" w:color="auto" w:sz="4" w:space="0"/>
              <w:right w:val="single" w:color="auto" w:sz="4" w:space="0"/>
            </w:tcBorders>
            <w:noWrap w:val="0"/>
            <w:vAlign w:val="center"/>
          </w:tcPr>
          <w:p w14:paraId="4E73AE32">
            <w:pPr>
              <w:keepNext w:val="0"/>
              <w:keepLines w:val="0"/>
              <w:pageBreakBefore w:val="0"/>
              <w:widowControl w:val="0"/>
              <w:kinsoku/>
              <w:wordWrap/>
              <w:overflowPunct/>
              <w:topLinePunct w:val="0"/>
              <w:bidi w:val="0"/>
              <w:adjustRightInd/>
              <w:snapToGrid w:val="0"/>
              <w:spacing w:line="3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其他要求</w:t>
            </w:r>
          </w:p>
        </w:tc>
        <w:tc>
          <w:tcPr>
            <w:tcW w:w="3969" w:type="pct"/>
            <w:gridSpan w:val="2"/>
            <w:tcBorders>
              <w:top w:val="single" w:color="auto" w:sz="4" w:space="0"/>
              <w:left w:val="single" w:color="auto" w:sz="4" w:space="0"/>
              <w:bottom w:val="single" w:color="auto" w:sz="4" w:space="0"/>
              <w:right w:val="single" w:color="auto" w:sz="4" w:space="0"/>
            </w:tcBorders>
            <w:noWrap w:val="0"/>
            <w:vAlign w:val="center"/>
          </w:tcPr>
          <w:p w14:paraId="0C3EAD9D">
            <w:pPr>
              <w:keepNext w:val="0"/>
              <w:keepLines w:val="0"/>
              <w:pageBreakBefore w:val="0"/>
              <w:widowControl w:val="0"/>
              <w:kinsoku/>
              <w:wordWrap/>
              <w:overflowPunct/>
              <w:topLinePunct w:val="0"/>
              <w:bidi w:val="0"/>
              <w:adjustRightInd/>
              <w:snapToGrid w:val="0"/>
              <w:spacing w:line="380" w:lineRule="exact"/>
              <w:rPr>
                <w:rFonts w:hint="eastAsia" w:ascii="宋体" w:hAnsi="宋体" w:eastAsia="宋体" w:cs="宋体"/>
                <w:color w:val="000000" w:themeColor="text1"/>
                <w:sz w:val="21"/>
                <w:szCs w:val="21"/>
                <w14:textFill>
                  <w14:solidFill>
                    <w14:schemeClr w14:val="tx1"/>
                  </w14:solidFill>
                </w14:textFill>
              </w:rPr>
            </w:pPr>
            <w:r>
              <w:rPr>
                <w:rFonts w:hint="eastAsia" w:ascii="Arial" w:hAnsi="Arial" w:cs="Arial" w:eastAsiaTheme="minorEastAsia"/>
                <w:bCs/>
                <w:szCs w:val="21"/>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1、除附件目录内的配送品种以外需要新增配送品种的。新增品种价格需与采购人另 行协商，达成一致后方可进行配送。 </w:t>
            </w:r>
          </w:p>
          <w:p w14:paraId="7BBCEE5A">
            <w:pPr>
              <w:keepNext w:val="0"/>
              <w:keepLines w:val="0"/>
              <w:pageBreakBefore w:val="0"/>
              <w:widowControl w:val="0"/>
              <w:kinsoku/>
              <w:wordWrap/>
              <w:overflowPunct/>
              <w:topLinePunct w:val="0"/>
              <w:bidi w:val="0"/>
              <w:adjustRightInd/>
              <w:snapToGrid w:val="0"/>
              <w:spacing w:line="380" w:lineRule="exact"/>
              <w:rPr>
                <w:rFonts w:hint="eastAsia" w:ascii="宋体" w:hAnsi="宋体" w:eastAsia="宋体" w:cs="宋体"/>
                <w:color w:val="000000" w:themeColor="text1"/>
                <w:sz w:val="21"/>
                <w:szCs w:val="21"/>
                <w14:textFill>
                  <w14:solidFill>
                    <w14:schemeClr w14:val="tx1"/>
                  </w14:solidFill>
                </w14:textFill>
              </w:rPr>
            </w:pPr>
            <w:r>
              <w:rPr>
                <w:rFonts w:hint="eastAsia" w:ascii="Arial" w:hAnsi="Arial" w:cs="Arial" w:eastAsiaTheme="minorEastAsia"/>
                <w:bCs/>
                <w:szCs w:val="21"/>
              </w:rPr>
              <w:t>▲</w:t>
            </w:r>
            <w:r>
              <w:rPr>
                <w:rFonts w:hint="eastAsia" w:ascii="宋体" w:hAnsi="宋体" w:eastAsia="宋体" w:cs="宋体"/>
                <w:color w:val="000000" w:themeColor="text1"/>
                <w:sz w:val="21"/>
                <w:szCs w:val="21"/>
                <w:lang w:val="en-US" w:eastAsia="zh-CN"/>
                <w14:textFill>
                  <w14:solidFill>
                    <w14:schemeClr w14:val="tx1"/>
                  </w14:solidFill>
                </w14:textFill>
              </w:rPr>
              <w:t>2、合同履行过程中，因中药市场原药材价格波动导致的中药饮片价格上涨或下跌，价格上涨及下跌时供应商可每季度提出一次调价申请，并提供相关证明材料。如遇国家或自治区政策性调价，需随时调整。</w:t>
            </w:r>
          </w:p>
          <w:p w14:paraId="5752C1AE">
            <w:pPr>
              <w:keepNext w:val="0"/>
              <w:keepLines w:val="0"/>
              <w:pageBreakBefore w:val="0"/>
              <w:widowControl w:val="0"/>
              <w:kinsoku/>
              <w:wordWrap/>
              <w:overflowPunct/>
              <w:topLinePunct w:val="0"/>
              <w:bidi w:val="0"/>
              <w:adjustRightInd/>
              <w:snapToGrid w:val="0"/>
              <w:spacing w:line="380" w:lineRule="exact"/>
              <w:rPr>
                <w:rFonts w:hint="eastAsia" w:ascii="宋体" w:hAnsi="宋体" w:eastAsia="宋体" w:cs="宋体"/>
                <w:color w:val="000000" w:themeColor="text1"/>
                <w:sz w:val="21"/>
                <w:szCs w:val="21"/>
                <w14:textFill>
                  <w14:solidFill>
                    <w14:schemeClr w14:val="tx1"/>
                  </w14:solidFill>
                </w14:textFill>
              </w:rPr>
            </w:pPr>
            <w:r>
              <w:rPr>
                <w:rFonts w:hint="eastAsia" w:ascii="Arial" w:hAnsi="Arial" w:cs="Arial" w:eastAsiaTheme="minorEastAsia"/>
                <w:bCs/>
                <w:szCs w:val="21"/>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3、已纳入中药配方颗粒带量联动采购的品种（附表 2 产品）如集采中选价格有调整的，按调整后的价格进行结算。 </w:t>
            </w:r>
          </w:p>
          <w:p w14:paraId="0B6EDEC3">
            <w:pPr>
              <w:keepNext w:val="0"/>
              <w:keepLines w:val="0"/>
              <w:pageBreakBefore w:val="0"/>
              <w:widowControl w:val="0"/>
              <w:kinsoku/>
              <w:wordWrap/>
              <w:overflowPunct/>
              <w:topLinePunct w:val="0"/>
              <w:bidi w:val="0"/>
              <w:adjustRightInd/>
              <w:snapToGrid w:val="0"/>
              <w:spacing w:line="380" w:lineRule="exact"/>
              <w:rPr>
                <w:rFonts w:hint="eastAsia" w:ascii="宋体" w:hAnsi="宋体" w:eastAsia="宋体" w:cs="宋体"/>
                <w:color w:val="000000" w:themeColor="text1"/>
                <w:sz w:val="21"/>
                <w:szCs w:val="21"/>
                <w14:textFill>
                  <w14:solidFill>
                    <w14:schemeClr w14:val="tx1"/>
                  </w14:solidFill>
                </w14:textFill>
              </w:rPr>
            </w:pPr>
            <w:r>
              <w:rPr>
                <w:rFonts w:hint="eastAsia" w:ascii="Arial" w:hAnsi="Arial" w:cs="Arial" w:eastAsiaTheme="minorEastAsia"/>
                <w:bCs/>
                <w:szCs w:val="21"/>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4、本次采购的附表 1 产品中如在服务期内被纳入中药配方颗粒带量联动采购的，按集采中选价格进行结算。 </w:t>
            </w:r>
          </w:p>
          <w:p w14:paraId="2620FBC7">
            <w:pPr>
              <w:keepNext w:val="0"/>
              <w:keepLines w:val="0"/>
              <w:pageBreakBefore w:val="0"/>
              <w:widowControl w:val="0"/>
              <w:kinsoku/>
              <w:wordWrap/>
              <w:overflowPunct/>
              <w:topLinePunct w:val="0"/>
              <w:bidi w:val="0"/>
              <w:adjustRightInd/>
              <w:snapToGrid w:val="0"/>
              <w:spacing w:line="380" w:lineRule="exact"/>
              <w:rPr>
                <w:rFonts w:hint="eastAsia" w:ascii="宋体" w:hAnsi="宋体" w:eastAsia="宋体" w:cs="宋体"/>
                <w:color w:val="000000" w:themeColor="text1"/>
                <w:sz w:val="21"/>
                <w:szCs w:val="21"/>
                <w14:textFill>
                  <w14:solidFill>
                    <w14:schemeClr w14:val="tx1"/>
                  </w14:solidFill>
                </w14:textFill>
              </w:rPr>
            </w:pPr>
            <w:r>
              <w:rPr>
                <w:rFonts w:hint="eastAsia" w:ascii="Arial" w:hAnsi="Arial" w:cs="Arial" w:eastAsiaTheme="minorEastAsia"/>
                <w:bCs/>
                <w:szCs w:val="21"/>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5、服务期内，所有被纳入中药配方颗粒带量联动采购的品种，必须通过国家医保障信息平台药品和医用耗材招采管理子系统(广西）进行交易。 </w:t>
            </w:r>
          </w:p>
          <w:p w14:paraId="5642978B">
            <w:pPr>
              <w:keepNext w:val="0"/>
              <w:keepLines w:val="0"/>
              <w:pageBreakBefore w:val="0"/>
              <w:widowControl w:val="0"/>
              <w:kinsoku/>
              <w:wordWrap/>
              <w:overflowPunct/>
              <w:topLinePunct w:val="0"/>
              <w:bidi w:val="0"/>
              <w:adjustRightInd/>
              <w:snapToGrid w:val="0"/>
              <w:spacing w:line="380" w:lineRule="exact"/>
              <w:rPr>
                <w:rFonts w:hint="eastAsia" w:ascii="宋体" w:hAnsi="宋体" w:eastAsia="宋体" w:cs="宋体"/>
                <w:color w:val="000000" w:themeColor="text1"/>
                <w:sz w:val="21"/>
                <w:szCs w:val="21"/>
                <w14:textFill>
                  <w14:solidFill>
                    <w14:schemeClr w14:val="tx1"/>
                  </w14:solidFill>
                </w14:textFill>
              </w:rPr>
            </w:pPr>
            <w:r>
              <w:rPr>
                <w:rFonts w:hint="eastAsia" w:ascii="Arial" w:hAnsi="Arial" w:cs="Arial" w:eastAsiaTheme="minorEastAsia"/>
                <w:bCs/>
                <w:szCs w:val="21"/>
              </w:rPr>
              <w:t>▲</w:t>
            </w:r>
            <w:bookmarkStart w:id="6" w:name="_GoBack"/>
            <w:bookmarkEnd w:id="6"/>
            <w:r>
              <w:rPr>
                <w:rFonts w:hint="eastAsia" w:ascii="宋体" w:hAnsi="宋体" w:eastAsia="宋体" w:cs="宋体"/>
                <w:color w:val="000000" w:themeColor="text1"/>
                <w:sz w:val="21"/>
                <w:szCs w:val="21"/>
                <w:lang w:val="en-US" w:eastAsia="zh-CN"/>
                <w14:textFill>
                  <w14:solidFill>
                    <w14:schemeClr w14:val="tx1"/>
                  </w14:solidFill>
                </w14:textFill>
              </w:rPr>
              <w:t>6、如遇国家政策调整或行政主管部门出台规定，服务无法继续履行的，采购人有权随时解除本项目合同，供应商应无条件执行。</w:t>
            </w:r>
          </w:p>
        </w:tc>
      </w:tr>
    </w:tbl>
    <w:p w14:paraId="3C97227A"/>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MWQ3ZjhlN2VkYTdkZmEwMDQwOTc5OWZkZTM1YjcifQ=="/>
  </w:docVars>
  <w:rsids>
    <w:rsidRoot w:val="736D47CE"/>
    <w:rsid w:val="01D50039"/>
    <w:rsid w:val="038500F8"/>
    <w:rsid w:val="0D034F44"/>
    <w:rsid w:val="10F64409"/>
    <w:rsid w:val="13484ADE"/>
    <w:rsid w:val="1A1B4EBB"/>
    <w:rsid w:val="1A815666"/>
    <w:rsid w:val="1EF61C27"/>
    <w:rsid w:val="267E201B"/>
    <w:rsid w:val="279A49D2"/>
    <w:rsid w:val="2A2E0C3A"/>
    <w:rsid w:val="2D0B5263"/>
    <w:rsid w:val="2D230377"/>
    <w:rsid w:val="2F7976EA"/>
    <w:rsid w:val="38A91071"/>
    <w:rsid w:val="3A52002D"/>
    <w:rsid w:val="3B5923EF"/>
    <w:rsid w:val="3E267009"/>
    <w:rsid w:val="3FB93FBC"/>
    <w:rsid w:val="493F2437"/>
    <w:rsid w:val="4A5D0A54"/>
    <w:rsid w:val="4ADA2298"/>
    <w:rsid w:val="4F5A55B8"/>
    <w:rsid w:val="4FF53CA0"/>
    <w:rsid w:val="53DF619F"/>
    <w:rsid w:val="5BA6549C"/>
    <w:rsid w:val="5F6A587D"/>
    <w:rsid w:val="67EE6D37"/>
    <w:rsid w:val="6BB64010"/>
    <w:rsid w:val="71323A03"/>
    <w:rsid w:val="736D47CE"/>
    <w:rsid w:val="757C1E26"/>
    <w:rsid w:val="75D43A11"/>
    <w:rsid w:val="7A345EB6"/>
    <w:rsid w:val="7AC51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cs="Times New Roman"/>
    </w:rPr>
  </w:style>
  <w:style w:type="paragraph" w:styleId="4">
    <w:name w:val="Body Text"/>
    <w:basedOn w:val="1"/>
    <w:next w:val="1"/>
    <w:qFormat/>
    <w:uiPriority w:val="0"/>
    <w:pPr>
      <w:spacing w:line="380" w:lineRule="exact"/>
    </w:pPr>
    <w:rPr>
      <w:sz w:val="24"/>
    </w:rPr>
  </w:style>
  <w:style w:type="paragraph" w:styleId="5">
    <w:name w:val="Title"/>
    <w:basedOn w:val="1"/>
    <w:next w:val="1"/>
    <w:qFormat/>
    <w:uiPriority w:val="10"/>
    <w:pPr>
      <w:spacing w:before="240" w:after="60"/>
      <w:jc w:val="center"/>
      <w:outlineLvl w:val="0"/>
    </w:pPr>
    <w:rPr>
      <w:rFonts w:ascii="Cambria" w:hAnsi="Cambria"/>
      <w:b/>
      <w:bCs/>
      <w:sz w:val="32"/>
      <w:szCs w:val="32"/>
    </w:rPr>
  </w:style>
  <w:style w:type="paragraph" w:styleId="6">
    <w:name w:val="Body Text First Indent"/>
    <w:basedOn w:val="4"/>
    <w:semiHidden/>
    <w:unhideWhenUsed/>
    <w:qFormat/>
    <w:uiPriority w:val="99"/>
    <w:pPr>
      <w:ind w:firstLine="420" w:firstLineChars="100"/>
    </w:pPr>
    <w:rPr>
      <w:rFonts w:asciiTheme="minorHAnsi"/>
      <w:sz w:val="21"/>
      <w:szCs w:val="22"/>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1"/>
    <w:basedOn w:val="1"/>
    <w:autoRedefine/>
    <w:qFormat/>
    <w:uiPriority w:val="0"/>
    <w:pPr>
      <w:spacing w:line="318" w:lineRule="atLeast"/>
      <w:ind w:left="369" w:firstLine="369"/>
    </w:pPr>
    <w:rPr>
      <w:rFonts w:ascii="宋体"/>
    </w:rPr>
  </w:style>
  <w:style w:type="paragraph" w:customStyle="1" w:styleId="11">
    <w:name w:val="01、普通正文"/>
    <w:basedOn w:val="1"/>
    <w:autoRedefine/>
    <w:qFormat/>
    <w:uiPriority w:val="0"/>
    <w:pPr>
      <w:tabs>
        <w:tab w:val="left" w:pos="0"/>
      </w:tabs>
      <w:wordWrap w:val="0"/>
      <w:topLinePunct/>
      <w:ind w:firstLine="0" w:firstLineChars="0"/>
    </w:pPr>
    <w:rPr>
      <w:rFonts w:ascii="宋体" w:hAnsi="宋体" w:eastAsia="宋体"/>
      <w:snapToGrid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4723</Words>
  <Characters>4810</Characters>
  <Lines>0</Lines>
  <Paragraphs>0</Paragraphs>
  <TotalTime>0</TotalTime>
  <ScaleCrop>false</ScaleCrop>
  <LinksUpToDate>false</LinksUpToDate>
  <CharactersWithSpaces>4868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2024-10-29T06:27:00Z</dcterms:created>
  <dc:creator>冰雨笑笑</dc:creator>
  <cp:lastModifiedBy>冰雨笑笑</cp:lastModifiedBy>
  <cp:lastPrinted>2025-06-16T08:08:00Z</cp:lastPrinted>
  <dcterms:modified xsi:type="dcterms:W3CDTF">2025-07-02T08:33:55Z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9DDCC62DEF7547E4A8EBD060A8B1A196_11</vt:lpwstr>
  </property>
  <property fmtid="{D5CDD505-2E9C-101B-9397-08002B2CF9AE}" pid="4" name="KSOTemplateDocerSaveRecord">
    <vt:lpwstr>eyJoZGlkIjoiYTA3MWQ3ZjhlN2VkYTdkZmEwMDQwOTc5OWZkZTM1YjciLCJ1c2VySWQiOiI2MTM5MDc4NzAifQ==</vt:lpwstr>
  </property>
</Properties>
</file>