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4D06D5">
      <w:pPr>
        <w:spacing w:before="312" w:beforeLines="100" w:after="156" w:afterLines="50" w:line="360" w:lineRule="auto"/>
        <w:jc w:val="center"/>
        <w:rPr>
          <w:rFonts w:hint="eastAsia" w:ascii="宋体" w:hAnsi="宋体" w:eastAsia="宋体"/>
          <w:b/>
          <w:sz w:val="72"/>
          <w:szCs w:val="72"/>
          <w:lang w:eastAsia="zh-CN"/>
        </w:rPr>
      </w:pPr>
    </w:p>
    <w:p w14:paraId="345907D3">
      <w:pPr>
        <w:spacing w:before="312" w:beforeLines="100" w:after="156" w:afterLines="50" w:line="360" w:lineRule="auto"/>
        <w:jc w:val="center"/>
        <w:rPr>
          <w:rFonts w:hint="eastAsia" w:ascii="宋体" w:hAnsi="宋体"/>
          <w:b/>
          <w:sz w:val="72"/>
          <w:szCs w:val="72"/>
        </w:rPr>
      </w:pPr>
    </w:p>
    <w:p w14:paraId="14ADFCB2">
      <w:pPr>
        <w:spacing w:before="312" w:beforeLines="100" w:after="156" w:afterLines="50" w:line="360" w:lineRule="auto"/>
        <w:jc w:val="center"/>
        <w:rPr>
          <w:rFonts w:hint="eastAsia" w:ascii="宋体" w:hAnsi="宋体" w:eastAsia="宋体"/>
          <w:b/>
          <w:sz w:val="72"/>
          <w:szCs w:val="72"/>
          <w:lang w:val="en-US" w:eastAsia="zh-CN"/>
        </w:rPr>
      </w:pPr>
      <w:r>
        <w:rPr>
          <w:rFonts w:hint="eastAsia" w:ascii="宋体" w:hAnsi="宋体"/>
          <w:b/>
          <w:sz w:val="72"/>
          <w:szCs w:val="72"/>
        </w:rPr>
        <w:t>采购项目需求</w:t>
      </w:r>
    </w:p>
    <w:p w14:paraId="304E344A">
      <w:pPr>
        <w:spacing w:before="312" w:beforeLines="100" w:after="156" w:afterLines="50" w:line="360" w:lineRule="auto"/>
        <w:jc w:val="center"/>
        <w:rPr>
          <w:rFonts w:hint="eastAsia" w:ascii="宋体" w:hAnsi="宋体"/>
          <w:b/>
          <w:sz w:val="72"/>
          <w:szCs w:val="72"/>
        </w:rPr>
      </w:pPr>
    </w:p>
    <w:p w14:paraId="69A40B1D">
      <w:pPr>
        <w:spacing w:before="312" w:beforeLines="100" w:after="156" w:afterLines="50" w:line="360" w:lineRule="auto"/>
        <w:jc w:val="center"/>
        <w:rPr>
          <w:rFonts w:hint="eastAsia" w:ascii="宋体" w:hAnsi="宋体"/>
          <w:b/>
          <w:sz w:val="72"/>
          <w:szCs w:val="72"/>
        </w:rPr>
      </w:pPr>
    </w:p>
    <w:p w14:paraId="1A77BABC">
      <w:pPr>
        <w:spacing w:before="312" w:beforeLines="100" w:after="156" w:afterLines="50" w:line="360" w:lineRule="auto"/>
        <w:jc w:val="center"/>
        <w:rPr>
          <w:rFonts w:hint="eastAsia" w:ascii="宋体" w:hAnsi="宋体"/>
          <w:b/>
          <w:sz w:val="72"/>
          <w:szCs w:val="72"/>
        </w:rPr>
      </w:pPr>
    </w:p>
    <w:p w14:paraId="27E4A41B">
      <w:pPr>
        <w:pStyle w:val="17"/>
        <w:keepNext w:val="0"/>
        <w:keepLines w:val="0"/>
        <w:pageBreakBefore w:val="0"/>
        <w:widowControl w:val="0"/>
        <w:kinsoku/>
        <w:wordWrap/>
        <w:overflowPunct/>
        <w:topLinePunct w:val="0"/>
        <w:autoSpaceDE/>
        <w:autoSpaceDN/>
        <w:bidi w:val="0"/>
        <w:adjustRightInd/>
        <w:snapToGrid w:val="0"/>
        <w:spacing w:before="50" w:after="120" w:line="360" w:lineRule="auto"/>
        <w:jc w:val="center"/>
        <w:textAlignment w:val="auto"/>
        <w:rPr>
          <w:rFonts w:hint="eastAsia" w:ascii="宋体" w:hAnsi="宋体"/>
          <w:b/>
          <w:sz w:val="32"/>
          <w:szCs w:val="32"/>
          <w:lang w:eastAsia="zh-CN"/>
        </w:rPr>
      </w:pPr>
      <w:r>
        <w:rPr>
          <w:rFonts w:hint="eastAsia" w:ascii="宋体" w:hAnsi="宋体" w:eastAsia="宋体"/>
          <w:b/>
          <w:sz w:val="32"/>
          <w:szCs w:val="32"/>
          <w:lang w:eastAsia="zh-CN"/>
        </w:rPr>
        <w:t>项目名称：检验科抗β2糖蛋白I抗体IgA非定值质控品等一批试剂</w:t>
      </w:r>
    </w:p>
    <w:p w14:paraId="56B834C0">
      <w:pPr>
        <w:pStyle w:val="17"/>
        <w:keepNext w:val="0"/>
        <w:keepLines w:val="0"/>
        <w:pageBreakBefore w:val="0"/>
        <w:widowControl w:val="0"/>
        <w:kinsoku/>
        <w:wordWrap/>
        <w:overflowPunct/>
        <w:topLinePunct w:val="0"/>
        <w:autoSpaceDE/>
        <w:autoSpaceDN/>
        <w:bidi w:val="0"/>
        <w:adjustRightInd/>
        <w:snapToGrid w:val="0"/>
        <w:spacing w:before="50" w:after="120" w:line="360" w:lineRule="auto"/>
        <w:jc w:val="center"/>
        <w:textAlignment w:val="auto"/>
        <w:rPr>
          <w:rFonts w:hint="eastAsia" w:ascii="宋体" w:hAnsi="宋体"/>
          <w:b/>
          <w:color w:val="FF0000"/>
          <w:sz w:val="32"/>
          <w:szCs w:val="32"/>
          <w:lang w:eastAsia="zh-CN"/>
        </w:rPr>
      </w:pPr>
      <w:r>
        <w:rPr>
          <w:rFonts w:hint="eastAsia" w:ascii="宋体" w:hAnsi="宋体"/>
          <w:b/>
          <w:sz w:val="32"/>
          <w:szCs w:val="32"/>
          <w:lang w:eastAsia="zh-CN"/>
        </w:rPr>
        <w:t>编号：GXSZ2026-021-JYB</w:t>
      </w:r>
    </w:p>
    <w:p w14:paraId="28764F66">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b/>
          <w:sz w:val="32"/>
          <w:szCs w:val="32"/>
        </w:rPr>
      </w:pPr>
      <w:r>
        <w:rPr>
          <w:rFonts w:hint="eastAsia" w:ascii="宋体" w:hAnsi="宋体"/>
          <w:b/>
          <w:sz w:val="32"/>
          <w:szCs w:val="32"/>
        </w:rPr>
        <w:t>采购单位：</w:t>
      </w:r>
      <w:r>
        <w:rPr>
          <w:rFonts w:hint="eastAsia" w:hAnsi="宋体"/>
          <w:b/>
          <w:sz w:val="32"/>
          <w:szCs w:val="32"/>
          <w:lang w:eastAsia="zh-CN"/>
        </w:rPr>
        <w:t>广西壮族自治区生殖</w:t>
      </w:r>
      <w:r>
        <w:rPr>
          <w:rFonts w:hint="eastAsia" w:ascii="宋体" w:hAnsi="宋体"/>
          <w:b/>
          <w:sz w:val="32"/>
          <w:szCs w:val="32"/>
        </w:rPr>
        <w:t>医院</w:t>
      </w:r>
    </w:p>
    <w:p w14:paraId="0A46851E">
      <w:pPr>
        <w:keepNext w:val="0"/>
        <w:keepLines w:val="0"/>
        <w:pageBreakBefore w:val="0"/>
        <w:widowControl w:val="0"/>
        <w:kinsoku/>
        <w:wordWrap/>
        <w:overflowPunct/>
        <w:topLinePunct w:val="0"/>
        <w:autoSpaceDE/>
        <w:autoSpaceDN/>
        <w:bidi w:val="0"/>
        <w:adjustRightInd/>
        <w:spacing w:line="360" w:lineRule="auto"/>
        <w:jc w:val="both"/>
        <w:textAlignment w:val="auto"/>
        <w:rPr>
          <w:rFonts w:hint="eastAsia" w:ascii="宋体" w:hAnsi="宋体"/>
          <w:b/>
          <w:sz w:val="32"/>
          <w:szCs w:val="32"/>
        </w:rPr>
      </w:pPr>
    </w:p>
    <w:p w14:paraId="31D4DE08">
      <w:pPr>
        <w:spacing w:line="360" w:lineRule="auto"/>
        <w:jc w:val="center"/>
        <w:rPr>
          <w:rFonts w:hint="eastAsia" w:ascii="宋体" w:hAnsi="宋体"/>
          <w:b/>
          <w:sz w:val="32"/>
          <w:szCs w:val="32"/>
        </w:rPr>
      </w:pPr>
    </w:p>
    <w:p w14:paraId="24F97C84">
      <w:pPr>
        <w:spacing w:line="360" w:lineRule="auto"/>
        <w:jc w:val="both"/>
        <w:rPr>
          <w:rFonts w:hint="eastAsia" w:ascii="宋体" w:hAnsi="宋体"/>
          <w:b/>
          <w:sz w:val="32"/>
          <w:szCs w:val="32"/>
        </w:rPr>
      </w:pPr>
    </w:p>
    <w:p w14:paraId="732B3909">
      <w:pPr>
        <w:spacing w:line="360" w:lineRule="auto"/>
        <w:jc w:val="center"/>
        <w:rPr>
          <w:rFonts w:hint="eastAsia" w:ascii="宋体" w:hAnsi="宋体"/>
          <w:b/>
          <w:sz w:val="32"/>
          <w:szCs w:val="32"/>
        </w:rPr>
      </w:pPr>
    </w:p>
    <w:p w14:paraId="3DAAB2A5">
      <w:pPr>
        <w:spacing w:line="360" w:lineRule="auto"/>
        <w:jc w:val="center"/>
        <w:rPr>
          <w:rFonts w:hint="eastAsia" w:ascii="宋体" w:hAnsi="宋体"/>
          <w:b/>
          <w:sz w:val="32"/>
          <w:szCs w:val="32"/>
        </w:rPr>
      </w:pPr>
      <w:r>
        <w:rPr>
          <w:rFonts w:hint="eastAsia" w:ascii="宋体" w:hAnsi="宋体"/>
          <w:b/>
          <w:sz w:val="32"/>
          <w:szCs w:val="32"/>
          <w:lang w:val="en-US" w:eastAsia="zh-CN"/>
        </w:rPr>
        <w:t>2026</w:t>
      </w:r>
      <w:r>
        <w:rPr>
          <w:rFonts w:hint="eastAsia" w:ascii="宋体" w:hAnsi="宋体"/>
          <w:b/>
          <w:sz w:val="32"/>
          <w:szCs w:val="32"/>
        </w:rPr>
        <w:t>年</w:t>
      </w:r>
      <w:r>
        <w:rPr>
          <w:rFonts w:hint="eastAsia" w:ascii="宋体" w:hAnsi="宋体"/>
          <w:b/>
          <w:sz w:val="32"/>
          <w:szCs w:val="32"/>
          <w:lang w:val="en-US" w:eastAsia="zh-CN"/>
        </w:rPr>
        <w:t>10</w:t>
      </w:r>
      <w:r>
        <w:rPr>
          <w:rFonts w:hint="eastAsia" w:ascii="宋体" w:hAnsi="宋体"/>
          <w:b/>
          <w:sz w:val="32"/>
          <w:szCs w:val="32"/>
        </w:rPr>
        <w:t>月</w:t>
      </w:r>
    </w:p>
    <w:p w14:paraId="4ED003AD">
      <w:pPr>
        <w:spacing w:line="360" w:lineRule="auto"/>
        <w:jc w:val="both"/>
        <w:rPr>
          <w:rFonts w:hint="eastAsia" w:ascii="宋体" w:hAnsi="宋体"/>
          <w:b/>
          <w:sz w:val="44"/>
          <w:szCs w:val="44"/>
        </w:rPr>
        <w:sectPr>
          <w:headerReference r:id="rId3" w:type="default"/>
          <w:footerReference r:id="rId4" w:type="default"/>
          <w:pgSz w:w="11906" w:h="16838"/>
          <w:pgMar w:top="1701" w:right="1417" w:bottom="1417" w:left="1701" w:header="851" w:footer="992" w:gutter="0"/>
          <w:pgNumType w:fmt="decimal" w:start="1"/>
          <w:cols w:space="425" w:num="1"/>
          <w:docGrid w:type="lines" w:linePitch="312" w:charSpace="0"/>
        </w:sectPr>
      </w:pPr>
    </w:p>
    <w:p w14:paraId="378F59EA">
      <w:pPr>
        <w:spacing w:line="360" w:lineRule="auto"/>
        <w:jc w:val="center"/>
        <w:rPr>
          <w:rFonts w:hint="eastAsia" w:ascii="宋体" w:hAnsi="宋体"/>
          <w:b/>
          <w:sz w:val="32"/>
          <w:szCs w:val="32"/>
        </w:rPr>
      </w:pPr>
      <w:r>
        <w:rPr>
          <w:rFonts w:hint="eastAsia" w:ascii="宋体" w:hAnsi="宋体"/>
          <w:b/>
          <w:sz w:val="32"/>
          <w:szCs w:val="32"/>
        </w:rPr>
        <w:t>目   录</w:t>
      </w:r>
    </w:p>
    <w:p w14:paraId="65CA51B4">
      <w:pPr>
        <w:pStyle w:val="21"/>
        <w:tabs>
          <w:tab w:val="right" w:leader="dot" w:pos="8788"/>
        </w:tabs>
        <w:spacing w:line="360" w:lineRule="auto"/>
        <w:rPr>
          <w:rFonts w:hint="eastAsia" w:ascii="Times New Roman" w:hAnsi="Times New Roman" w:eastAsia="宋体" w:cs="Times New Roman"/>
          <w:sz w:val="28"/>
          <w:szCs w:val="28"/>
          <w:highlight w:val="none"/>
          <w:lang w:val="en-US" w:eastAsia="zh-CN"/>
        </w:rPr>
      </w:pPr>
    </w:p>
    <w:p w14:paraId="4130A916">
      <w:pPr>
        <w:pStyle w:val="21"/>
        <w:tabs>
          <w:tab w:val="right" w:leader="dot" w:pos="8788"/>
        </w:tabs>
        <w:spacing w:line="360" w:lineRule="auto"/>
        <w:rPr>
          <w:sz w:val="28"/>
          <w:szCs w:val="28"/>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TOC \o "1-3" \h \z \u </w:instrText>
      </w:r>
      <w:r>
        <w:rPr>
          <w:rFonts w:hint="eastAsia" w:ascii="Times New Roman" w:hAnsi="Times New Roman" w:eastAsia="宋体" w:cs="Times New Roman"/>
          <w:sz w:val="28"/>
          <w:szCs w:val="28"/>
          <w:highlight w:val="none"/>
          <w:lang w:val="en-US" w:eastAsia="zh-CN"/>
        </w:rPr>
        <w:fldChar w:fldCharType="separate"/>
      </w: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_Toc17140 </w:instrText>
      </w:r>
      <w:r>
        <w:rPr>
          <w:rFonts w:hint="eastAsia" w:ascii="Times New Roman" w:hAnsi="Times New Roman" w:eastAsia="宋体" w:cs="Times New Roman"/>
          <w:sz w:val="28"/>
          <w:szCs w:val="28"/>
          <w:highlight w:val="none"/>
          <w:lang w:val="en-US" w:eastAsia="zh-CN"/>
        </w:rPr>
        <w:fldChar w:fldCharType="separate"/>
      </w:r>
      <w:r>
        <w:rPr>
          <w:rFonts w:hint="eastAsia"/>
          <w:sz w:val="28"/>
          <w:szCs w:val="28"/>
          <w:lang w:val="en-US" w:eastAsia="zh-CN"/>
        </w:rPr>
        <w:t>第一章</w:t>
      </w:r>
      <w:r>
        <w:rPr>
          <w:rFonts w:hint="eastAsia" w:eastAsia="宋体"/>
          <w:sz w:val="28"/>
          <w:szCs w:val="28"/>
          <w:lang w:val="en-US" w:eastAsia="zh-CN"/>
        </w:rPr>
        <w:t xml:space="preserve"> 采购公告</w:t>
      </w:r>
      <w:r>
        <w:rPr>
          <w:sz w:val="28"/>
          <w:szCs w:val="28"/>
        </w:rPr>
        <w:tab/>
      </w:r>
      <w:r>
        <w:rPr>
          <w:sz w:val="28"/>
          <w:szCs w:val="28"/>
        </w:rPr>
        <w:fldChar w:fldCharType="begin"/>
      </w:r>
      <w:r>
        <w:rPr>
          <w:sz w:val="28"/>
          <w:szCs w:val="28"/>
        </w:rPr>
        <w:instrText xml:space="preserve"> PAGEREF _Toc17140 \h </w:instrText>
      </w:r>
      <w:r>
        <w:rPr>
          <w:sz w:val="28"/>
          <w:szCs w:val="28"/>
        </w:rPr>
        <w:fldChar w:fldCharType="separate"/>
      </w:r>
      <w:r>
        <w:rPr>
          <w:sz w:val="28"/>
          <w:szCs w:val="28"/>
        </w:rPr>
        <w:t>3</w:t>
      </w:r>
      <w:r>
        <w:rPr>
          <w:sz w:val="28"/>
          <w:szCs w:val="28"/>
        </w:rPr>
        <w:fldChar w:fldCharType="end"/>
      </w:r>
      <w:r>
        <w:rPr>
          <w:rFonts w:hint="eastAsia" w:ascii="Times New Roman" w:hAnsi="Times New Roman" w:eastAsia="宋体" w:cs="Times New Roman"/>
          <w:sz w:val="28"/>
          <w:szCs w:val="28"/>
          <w:highlight w:val="none"/>
          <w:lang w:val="en-US" w:eastAsia="zh-CN"/>
        </w:rPr>
        <w:fldChar w:fldCharType="end"/>
      </w:r>
    </w:p>
    <w:p w14:paraId="1A8B6A9F">
      <w:pPr>
        <w:pStyle w:val="21"/>
        <w:tabs>
          <w:tab w:val="right" w:leader="dot" w:pos="8788"/>
        </w:tabs>
        <w:spacing w:line="360" w:lineRule="auto"/>
        <w:rPr>
          <w:sz w:val="28"/>
          <w:szCs w:val="28"/>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_Toc30074 </w:instrText>
      </w:r>
      <w:r>
        <w:rPr>
          <w:rFonts w:hint="eastAsia" w:ascii="Times New Roman" w:hAnsi="Times New Roman" w:eastAsia="宋体" w:cs="Times New Roman"/>
          <w:sz w:val="28"/>
          <w:szCs w:val="28"/>
          <w:highlight w:val="none"/>
          <w:lang w:val="en-US" w:eastAsia="zh-CN"/>
        </w:rPr>
        <w:fldChar w:fldCharType="separate"/>
      </w:r>
      <w:r>
        <w:rPr>
          <w:rFonts w:hint="eastAsia"/>
          <w:sz w:val="28"/>
          <w:szCs w:val="28"/>
          <w:lang w:val="en-US" w:eastAsia="zh-CN"/>
        </w:rPr>
        <w:t>第二</w:t>
      </w:r>
      <w:r>
        <w:rPr>
          <w:rFonts w:hint="eastAsia" w:eastAsia="宋体"/>
          <w:sz w:val="28"/>
          <w:szCs w:val="28"/>
          <w:lang w:val="en-US" w:eastAsia="zh-CN"/>
        </w:rPr>
        <w:t xml:space="preserve">章 </w:t>
      </w:r>
      <w:r>
        <w:rPr>
          <w:rFonts w:hint="eastAsia"/>
          <w:sz w:val="28"/>
          <w:szCs w:val="28"/>
          <w:lang w:val="en-US" w:eastAsia="zh-CN"/>
        </w:rPr>
        <w:t>项目</w:t>
      </w:r>
      <w:r>
        <w:rPr>
          <w:rFonts w:hint="eastAsia" w:eastAsia="宋体"/>
          <w:sz w:val="28"/>
          <w:szCs w:val="28"/>
          <w:lang w:val="en-US" w:eastAsia="zh-CN"/>
        </w:rPr>
        <w:t>需求</w:t>
      </w:r>
      <w:r>
        <w:rPr>
          <w:sz w:val="28"/>
          <w:szCs w:val="28"/>
        </w:rPr>
        <w:tab/>
      </w:r>
      <w:r>
        <w:rPr>
          <w:rFonts w:hint="eastAsia"/>
          <w:sz w:val="28"/>
          <w:szCs w:val="28"/>
          <w:lang w:val="en-US" w:eastAsia="zh-CN"/>
        </w:rPr>
        <w:t>6</w:t>
      </w:r>
      <w:r>
        <w:rPr>
          <w:rFonts w:hint="eastAsia" w:ascii="Times New Roman" w:hAnsi="Times New Roman" w:eastAsia="宋体" w:cs="Times New Roman"/>
          <w:sz w:val="28"/>
          <w:szCs w:val="28"/>
          <w:highlight w:val="none"/>
          <w:lang w:val="en-US" w:eastAsia="zh-CN"/>
        </w:rPr>
        <w:fldChar w:fldCharType="end"/>
      </w:r>
    </w:p>
    <w:p w14:paraId="5E0DA633">
      <w:pPr>
        <w:pStyle w:val="21"/>
        <w:tabs>
          <w:tab w:val="right" w:leader="dot" w:pos="8788"/>
        </w:tabs>
        <w:spacing w:line="360" w:lineRule="auto"/>
        <w:rPr>
          <w:rFonts w:hint="default"/>
          <w:sz w:val="28"/>
          <w:szCs w:val="28"/>
          <w:lang w:val="en-US"/>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_Toc18067 </w:instrText>
      </w:r>
      <w:r>
        <w:rPr>
          <w:rFonts w:hint="eastAsia" w:ascii="Times New Roman" w:hAnsi="Times New Roman" w:eastAsia="宋体" w:cs="Times New Roman"/>
          <w:sz w:val="28"/>
          <w:szCs w:val="28"/>
          <w:highlight w:val="none"/>
          <w:lang w:val="en-US" w:eastAsia="zh-CN"/>
        </w:rPr>
        <w:fldChar w:fldCharType="separate"/>
      </w:r>
      <w:r>
        <w:rPr>
          <w:rFonts w:hint="eastAsia" w:ascii="Times New Roman" w:hAnsi="Times New Roman" w:eastAsia="宋体" w:cs="Times New Roman"/>
          <w:sz w:val="28"/>
          <w:szCs w:val="28"/>
          <w:highlight w:val="none"/>
          <w:lang w:val="en-US" w:eastAsia="zh-CN"/>
        </w:rPr>
        <w:t>第三章 响应文件格式</w:t>
      </w:r>
      <w:r>
        <w:rPr>
          <w:sz w:val="28"/>
          <w:szCs w:val="28"/>
        </w:rPr>
        <w:tab/>
      </w:r>
      <w:r>
        <w:rPr>
          <w:rFonts w:hint="eastAsia"/>
          <w:sz w:val="28"/>
          <w:szCs w:val="28"/>
          <w:lang w:val="en-US" w:eastAsia="zh-CN"/>
        </w:rPr>
        <w:t>1</w:t>
      </w:r>
      <w:r>
        <w:rPr>
          <w:rFonts w:hint="eastAsia" w:ascii="Times New Roman" w:hAnsi="Times New Roman" w:eastAsia="宋体" w:cs="Times New Roman"/>
          <w:sz w:val="28"/>
          <w:szCs w:val="28"/>
          <w:highlight w:val="none"/>
          <w:lang w:val="en-US" w:eastAsia="zh-CN"/>
        </w:rPr>
        <w:fldChar w:fldCharType="end"/>
      </w:r>
      <w:r>
        <w:rPr>
          <w:rFonts w:hint="eastAsia" w:cs="Times New Roman"/>
          <w:sz w:val="28"/>
          <w:szCs w:val="28"/>
          <w:highlight w:val="none"/>
          <w:lang w:val="en-US" w:eastAsia="zh-CN"/>
        </w:rPr>
        <w:t>5</w:t>
      </w:r>
    </w:p>
    <w:p w14:paraId="73BAD2EA">
      <w:pPr>
        <w:pStyle w:val="21"/>
        <w:tabs>
          <w:tab w:val="right" w:leader="dot" w:pos="8788"/>
        </w:tabs>
        <w:spacing w:line="360" w:lineRule="auto"/>
        <w:rPr>
          <w:rFonts w:hint="default"/>
          <w:sz w:val="28"/>
          <w:szCs w:val="28"/>
          <w:lang w:val="en-US"/>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_Toc22671 </w:instrText>
      </w:r>
      <w:r>
        <w:rPr>
          <w:rFonts w:hint="eastAsia" w:ascii="Times New Roman" w:hAnsi="Times New Roman" w:eastAsia="宋体" w:cs="Times New Roman"/>
          <w:sz w:val="28"/>
          <w:szCs w:val="28"/>
          <w:highlight w:val="none"/>
          <w:lang w:val="en-US" w:eastAsia="zh-CN"/>
        </w:rPr>
        <w:fldChar w:fldCharType="separate"/>
      </w:r>
      <w:r>
        <w:rPr>
          <w:rFonts w:hint="eastAsia" w:ascii="Times New Roman" w:hAnsi="Times New Roman" w:cs="Times New Roman"/>
          <w:sz w:val="28"/>
          <w:szCs w:val="28"/>
          <w:highlight w:val="none"/>
          <w:lang w:val="en-US" w:eastAsia="zh-CN"/>
        </w:rPr>
        <w:t>第</w:t>
      </w:r>
      <w:r>
        <w:rPr>
          <w:rFonts w:hint="eastAsia" w:cs="Times New Roman"/>
          <w:sz w:val="28"/>
          <w:szCs w:val="28"/>
          <w:highlight w:val="none"/>
          <w:lang w:val="en-US" w:eastAsia="zh-CN"/>
        </w:rPr>
        <w:t>四</w:t>
      </w:r>
      <w:r>
        <w:rPr>
          <w:rFonts w:hint="eastAsia" w:ascii="Times New Roman" w:hAnsi="Times New Roman" w:cs="Times New Roman"/>
          <w:sz w:val="28"/>
          <w:szCs w:val="28"/>
          <w:highlight w:val="none"/>
          <w:lang w:val="en-US" w:eastAsia="zh-CN"/>
        </w:rPr>
        <w:t>章 合同主要条款</w:t>
      </w:r>
      <w:r>
        <w:rPr>
          <w:sz w:val="28"/>
          <w:szCs w:val="28"/>
        </w:rPr>
        <w:tab/>
      </w:r>
      <w:r>
        <w:rPr>
          <w:rFonts w:hint="eastAsia"/>
          <w:sz w:val="28"/>
          <w:szCs w:val="28"/>
          <w:lang w:val="en-US" w:eastAsia="zh-CN"/>
        </w:rPr>
        <w:t>21</w:t>
      </w:r>
      <w:r>
        <w:rPr>
          <w:rFonts w:hint="eastAsia" w:ascii="Times New Roman" w:hAnsi="Times New Roman" w:eastAsia="宋体" w:cs="Times New Roman"/>
          <w:sz w:val="28"/>
          <w:szCs w:val="28"/>
          <w:highlight w:val="none"/>
          <w:lang w:val="en-US" w:eastAsia="zh-CN"/>
        </w:rPr>
        <w:fldChar w:fldCharType="end"/>
      </w:r>
    </w:p>
    <w:p w14:paraId="29AD163D">
      <w:pPr>
        <w:pStyle w:val="21"/>
        <w:tabs>
          <w:tab w:val="right" w:leader="dot" w:pos="8788"/>
        </w:tabs>
        <w:spacing w:line="360" w:lineRule="auto"/>
        <w:rPr>
          <w:rFonts w:hint="eastAsia" w:ascii="宋体" w:hAnsi="宋体" w:eastAsia="宋体" w:cs="宋体"/>
          <w:sz w:val="30"/>
          <w:szCs w:val="30"/>
        </w:rPr>
      </w:pPr>
      <w:r>
        <w:rPr>
          <w:rFonts w:hint="eastAsia" w:ascii="Times New Roman" w:hAnsi="Times New Roman" w:eastAsia="宋体" w:cs="Times New Roman"/>
          <w:sz w:val="28"/>
          <w:szCs w:val="28"/>
          <w:highlight w:val="none"/>
          <w:lang w:val="en-US" w:eastAsia="zh-CN"/>
        </w:rPr>
        <w:fldChar w:fldCharType="end"/>
      </w:r>
      <w:bookmarkStart w:id="0" w:name="_Toc499576933"/>
      <w:bookmarkStart w:id="1" w:name="_Toc9294"/>
    </w:p>
    <w:p w14:paraId="50AF129E">
      <w:pPr>
        <w:spacing w:line="360" w:lineRule="auto"/>
        <w:rPr>
          <w:rFonts w:hint="eastAsia" w:ascii="宋体" w:hAnsi="宋体" w:eastAsia="宋体" w:cs="宋体"/>
          <w:sz w:val="30"/>
          <w:szCs w:val="30"/>
        </w:rPr>
      </w:pPr>
      <w:r>
        <w:rPr>
          <w:rFonts w:hint="eastAsia" w:ascii="宋体" w:hAnsi="宋体" w:eastAsia="宋体" w:cs="宋体"/>
          <w:sz w:val="30"/>
          <w:szCs w:val="30"/>
        </w:rPr>
        <w:br w:type="page"/>
      </w:r>
    </w:p>
    <w:bookmarkEnd w:id="0"/>
    <w:bookmarkEnd w:id="1"/>
    <w:p w14:paraId="0655DE4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b/>
          <w:spacing w:val="-10"/>
          <w:sz w:val="36"/>
          <w:szCs w:val="36"/>
        </w:rPr>
      </w:pPr>
      <w:r>
        <w:rPr>
          <w:rFonts w:hint="eastAsia" w:ascii="宋体" w:hAnsi="宋体" w:eastAsia="宋体" w:cs="Times New Roman"/>
          <w:b/>
          <w:spacing w:val="-10"/>
          <w:sz w:val="36"/>
          <w:szCs w:val="36"/>
        </w:rPr>
        <w:t>广西壮族自治区生殖医院</w:t>
      </w:r>
    </w:p>
    <w:p w14:paraId="1BD4238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spacing w:val="-10"/>
          <w:sz w:val="36"/>
          <w:szCs w:val="36"/>
          <w:lang w:val="en-US" w:eastAsia="zh-CN"/>
        </w:rPr>
      </w:pPr>
      <w:r>
        <w:rPr>
          <w:rFonts w:hint="eastAsia" w:ascii="宋体" w:hAnsi="宋体" w:cs="Times New Roman"/>
          <w:b/>
          <w:spacing w:val="-10"/>
          <w:sz w:val="36"/>
          <w:szCs w:val="36"/>
          <w:lang w:val="en-US" w:eastAsia="zh-CN"/>
        </w:rPr>
        <w:t>检验科抗β2糖蛋白I抗体IgA非定值质控品等一批试剂采购项目采购</w:t>
      </w:r>
      <w:r>
        <w:rPr>
          <w:rFonts w:hint="eastAsia" w:ascii="宋体" w:hAnsi="宋体" w:eastAsia="宋体" w:cs="Times New Roman"/>
          <w:b/>
          <w:spacing w:val="-10"/>
          <w:sz w:val="36"/>
          <w:szCs w:val="36"/>
          <w:lang w:eastAsia="zh-CN"/>
        </w:rPr>
        <w:t>公告</w:t>
      </w:r>
    </w:p>
    <w:p w14:paraId="061EBCDA">
      <w:pPr>
        <w:keepNext w:val="0"/>
        <w:keepLines w:val="0"/>
        <w:pageBreakBefore w:val="0"/>
        <w:widowControl w:val="0"/>
        <w:kinsoku/>
        <w:wordWrap/>
        <w:overflowPunct/>
        <w:topLinePunct w:val="0"/>
        <w:autoSpaceDE/>
        <w:autoSpaceDN/>
        <w:bidi w:val="0"/>
        <w:adjustRightInd/>
        <w:spacing w:line="360" w:lineRule="auto"/>
        <w:jc w:val="left"/>
        <w:textAlignment w:val="auto"/>
        <w:rPr>
          <w:rFonts w:hint="eastAsia" w:ascii="宋体" w:hAnsi="宋体" w:eastAsia="宋体" w:cs="Times New Roman"/>
          <w:szCs w:val="21"/>
          <w:lang w:val="en-US" w:eastAsia="zh-CN"/>
        </w:rPr>
      </w:pPr>
    </w:p>
    <w:p w14:paraId="083B7B76">
      <w:pPr>
        <w:keepNext w:val="0"/>
        <w:keepLines w:val="0"/>
        <w:pageBreakBefore w:val="0"/>
        <w:widowControl w:val="0"/>
        <w:kinsoku/>
        <w:wordWrap/>
        <w:overflowPunct/>
        <w:topLinePunct w:val="0"/>
        <w:autoSpaceDE/>
        <w:autoSpaceDN/>
        <w:bidi w:val="0"/>
        <w:adjustRightInd/>
        <w:spacing w:line="360" w:lineRule="auto"/>
        <w:ind w:firstLine="420" w:firstLineChars="200"/>
        <w:jc w:val="lef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根据医院工作需要，现对检验科抗β2糖蛋白I抗体IgA非定值质控品等一批试剂采购项目进行</w:t>
      </w:r>
      <w:r>
        <w:rPr>
          <w:rFonts w:hint="eastAsia" w:ascii="宋体" w:hAnsi="宋体" w:cs="Times New Roman"/>
          <w:szCs w:val="21"/>
          <w:lang w:val="en-US" w:eastAsia="zh-CN"/>
        </w:rPr>
        <w:t>院内询价</w:t>
      </w:r>
      <w:r>
        <w:rPr>
          <w:rFonts w:hint="eastAsia" w:ascii="宋体" w:hAnsi="宋体" w:eastAsia="宋体" w:cs="Times New Roman"/>
          <w:szCs w:val="21"/>
          <w:lang w:val="en-US" w:eastAsia="zh-CN"/>
        </w:rPr>
        <w:t>采购，欢迎符合条件的供应商前来参加采购活动，有关事项公告如下：</w:t>
      </w:r>
    </w:p>
    <w:p w14:paraId="56F0634B">
      <w:pPr>
        <w:keepNext w:val="0"/>
        <w:keepLines w:val="0"/>
        <w:pageBreakBefore w:val="0"/>
        <w:widowControl w:val="0"/>
        <w:kinsoku/>
        <w:wordWrap/>
        <w:overflowPunct/>
        <w:topLinePunct w:val="0"/>
        <w:autoSpaceDE/>
        <w:autoSpaceDN/>
        <w:bidi w:val="0"/>
        <w:adjustRightInd/>
        <w:spacing w:line="360" w:lineRule="auto"/>
        <w:ind w:firstLine="422" w:firstLineChars="200"/>
        <w:jc w:val="left"/>
        <w:textAlignment w:val="auto"/>
        <w:rPr>
          <w:rFonts w:hint="eastAsia" w:ascii="宋体" w:hAnsi="宋体" w:eastAsia="宋体" w:cs="Times New Roman"/>
          <w:b/>
          <w:szCs w:val="21"/>
          <w:highlight w:val="none"/>
          <w:lang w:val="en-US" w:eastAsia="zh-CN"/>
        </w:rPr>
      </w:pPr>
      <w:r>
        <w:rPr>
          <w:rFonts w:hint="eastAsia" w:ascii="宋体" w:hAnsi="宋体" w:eastAsia="宋体" w:cs="Times New Roman"/>
          <w:b/>
          <w:szCs w:val="21"/>
          <w:highlight w:val="none"/>
          <w:lang w:val="en-US" w:eastAsia="zh-CN"/>
        </w:rPr>
        <w:t>一、项目基本情况</w:t>
      </w:r>
    </w:p>
    <w:p w14:paraId="269F19C2">
      <w:pPr>
        <w:keepNext w:val="0"/>
        <w:keepLines w:val="0"/>
        <w:pageBreakBefore w:val="0"/>
        <w:widowControl w:val="0"/>
        <w:kinsoku/>
        <w:wordWrap/>
        <w:overflowPunct/>
        <w:topLinePunct w:val="0"/>
        <w:autoSpaceDE/>
        <w:autoSpaceDN/>
        <w:bidi w:val="0"/>
        <w:adjustRightInd/>
        <w:spacing w:line="360" w:lineRule="auto"/>
        <w:ind w:firstLine="420" w:firstLineChars="200"/>
        <w:jc w:val="lef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1</w:t>
      </w:r>
      <w:r>
        <w:rPr>
          <w:rFonts w:hint="eastAsia" w:ascii="宋体" w:hAnsi="宋体" w:cs="Times New Roman"/>
          <w:szCs w:val="21"/>
          <w:lang w:val="en-US" w:eastAsia="zh-CN"/>
        </w:rPr>
        <w:t>、</w:t>
      </w:r>
      <w:r>
        <w:rPr>
          <w:rFonts w:hint="eastAsia" w:ascii="宋体" w:hAnsi="宋体" w:eastAsia="宋体" w:cs="Times New Roman"/>
          <w:szCs w:val="21"/>
          <w:lang w:val="en-US" w:eastAsia="zh-CN"/>
        </w:rPr>
        <w:t>项目名称：检验科抗β2糖蛋白I抗体IgA非定值质控品等一批试剂采购项目</w:t>
      </w:r>
    </w:p>
    <w:p w14:paraId="15C39F22">
      <w:pPr>
        <w:keepNext w:val="0"/>
        <w:keepLines w:val="0"/>
        <w:pageBreakBefore w:val="0"/>
        <w:widowControl w:val="0"/>
        <w:kinsoku/>
        <w:wordWrap/>
        <w:overflowPunct/>
        <w:topLinePunct w:val="0"/>
        <w:autoSpaceDE/>
        <w:autoSpaceDN/>
        <w:bidi w:val="0"/>
        <w:adjustRightInd/>
        <w:spacing w:line="360" w:lineRule="auto"/>
        <w:ind w:firstLine="420" w:firstLineChars="200"/>
        <w:jc w:val="lef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2</w:t>
      </w:r>
      <w:r>
        <w:rPr>
          <w:rFonts w:hint="eastAsia" w:ascii="宋体" w:hAnsi="宋体" w:cs="Times New Roman"/>
          <w:szCs w:val="21"/>
          <w:lang w:val="en-US" w:eastAsia="zh-CN"/>
        </w:rPr>
        <w:t>、</w:t>
      </w:r>
      <w:r>
        <w:rPr>
          <w:rFonts w:hint="eastAsia" w:ascii="宋体" w:hAnsi="宋体" w:eastAsia="宋体" w:cs="Times New Roman"/>
          <w:szCs w:val="21"/>
          <w:lang w:val="en-US" w:eastAsia="zh-CN"/>
        </w:rPr>
        <w:t>项目编号：GXSZ2026-021-JYB</w:t>
      </w:r>
    </w:p>
    <w:p w14:paraId="2CE2E75F">
      <w:pPr>
        <w:keepNext w:val="0"/>
        <w:keepLines w:val="0"/>
        <w:pageBreakBefore w:val="0"/>
        <w:widowControl w:val="0"/>
        <w:kinsoku/>
        <w:wordWrap/>
        <w:overflowPunct/>
        <w:topLinePunct w:val="0"/>
        <w:autoSpaceDE/>
        <w:autoSpaceDN/>
        <w:bidi w:val="0"/>
        <w:adjustRightInd/>
        <w:spacing w:line="360" w:lineRule="auto"/>
        <w:ind w:firstLine="420" w:firstLineChars="200"/>
        <w:jc w:val="left"/>
        <w:textAlignment w:val="auto"/>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3</w:t>
      </w:r>
      <w:r>
        <w:rPr>
          <w:rFonts w:hint="eastAsia" w:ascii="宋体" w:hAnsi="宋体" w:cs="Times New Roman"/>
          <w:szCs w:val="21"/>
          <w:lang w:val="en-US" w:eastAsia="zh-CN"/>
        </w:rPr>
        <w:t>、</w:t>
      </w:r>
      <w:r>
        <w:rPr>
          <w:rFonts w:hint="eastAsia" w:ascii="宋体" w:hAnsi="宋体" w:eastAsia="宋体" w:cs="Times New Roman"/>
          <w:szCs w:val="21"/>
          <w:lang w:val="en-US" w:eastAsia="zh-CN"/>
        </w:rPr>
        <w:t>采购方式：</w:t>
      </w:r>
      <w:r>
        <w:rPr>
          <w:rFonts w:hint="eastAsia" w:ascii="宋体" w:hAnsi="宋体" w:cs="Times New Roman"/>
          <w:szCs w:val="21"/>
          <w:lang w:val="en-US" w:eastAsia="zh-CN"/>
        </w:rPr>
        <w:t>院内询价</w:t>
      </w:r>
    </w:p>
    <w:p w14:paraId="288471BC">
      <w:pPr>
        <w:spacing w:line="360" w:lineRule="auto"/>
        <w:ind w:firstLine="420" w:firstLineChars="200"/>
        <w:jc w:val="left"/>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4</w:t>
      </w:r>
      <w:r>
        <w:rPr>
          <w:rFonts w:hint="eastAsia" w:ascii="宋体" w:hAnsi="宋体" w:cs="Times New Roman"/>
          <w:szCs w:val="21"/>
          <w:highlight w:val="none"/>
          <w:lang w:val="en-US" w:eastAsia="zh-CN"/>
        </w:rPr>
        <w:t>、</w:t>
      </w:r>
      <w:r>
        <w:rPr>
          <w:rFonts w:hint="eastAsia" w:ascii="宋体" w:hAnsi="宋体" w:eastAsia="宋体" w:cs="Times New Roman"/>
          <w:szCs w:val="21"/>
          <w:highlight w:val="none"/>
          <w:lang w:val="en-US" w:eastAsia="zh-CN"/>
        </w:rPr>
        <w:t>预算金额：人民币（大写）贰万伍仟陆佰伍拾元整（¥</w:t>
      </w:r>
      <w:r>
        <w:rPr>
          <w:rFonts w:hint="eastAsia" w:ascii="宋体" w:hAnsi="宋体" w:cs="Times New Roman"/>
          <w:szCs w:val="21"/>
          <w:highlight w:val="none"/>
          <w:lang w:val="en-US" w:eastAsia="zh-CN"/>
        </w:rPr>
        <w:t>25650</w:t>
      </w:r>
      <w:r>
        <w:rPr>
          <w:rFonts w:hint="eastAsia" w:ascii="宋体" w:hAnsi="宋体" w:eastAsia="宋体" w:cs="Times New Roman"/>
          <w:szCs w:val="21"/>
          <w:highlight w:val="none"/>
          <w:lang w:val="en-US" w:eastAsia="zh-CN"/>
        </w:rPr>
        <w:t>.00）</w:t>
      </w:r>
    </w:p>
    <w:p w14:paraId="6AF2DAC7">
      <w:pPr>
        <w:spacing w:line="360" w:lineRule="auto"/>
        <w:ind w:firstLine="420" w:firstLineChars="200"/>
        <w:jc w:val="left"/>
        <w:rPr>
          <w:rFonts w:hint="eastAsia" w:asciiTheme="minorEastAsia" w:hAnsiTheme="minorEastAsia" w:eastAsiaTheme="minorEastAsia" w:cstheme="minorEastAsia"/>
          <w:sz w:val="21"/>
          <w:szCs w:val="21"/>
          <w:highlight w:val="none"/>
        </w:rPr>
      </w:pPr>
      <w:r>
        <w:rPr>
          <w:rFonts w:hint="eastAsia" w:ascii="宋体" w:hAnsi="宋体" w:cs="Times New Roman"/>
          <w:szCs w:val="21"/>
          <w:highlight w:val="none"/>
          <w:lang w:val="en-US" w:eastAsia="zh-CN"/>
        </w:rPr>
        <w:t>5、</w:t>
      </w:r>
      <w:r>
        <w:rPr>
          <w:rFonts w:hint="eastAsia" w:asciiTheme="minorEastAsia" w:hAnsiTheme="minorEastAsia" w:eastAsiaTheme="minorEastAsia" w:cstheme="minorEastAsia"/>
          <w:sz w:val="21"/>
          <w:szCs w:val="21"/>
          <w:highlight w:val="none"/>
        </w:rPr>
        <w:t>最高限价：人民币（大写）贰万伍仟叁佰捌拾元整</w:t>
      </w:r>
      <w:r>
        <w:rPr>
          <w:rFonts w:hint="eastAsia" w:asciiTheme="minorEastAsia" w:hAnsiTheme="minorEastAsia" w:eastAsiaTheme="minorEastAsia" w:cstheme="minorEastAsia"/>
          <w:sz w:val="21"/>
          <w:szCs w:val="21"/>
          <w:highlight w:val="none"/>
          <w:lang w:eastAsia="zh-CN"/>
        </w:rPr>
        <w:t>（</w:t>
      </w:r>
      <w:r>
        <w:rPr>
          <w:rFonts w:hint="eastAsia" w:ascii="宋体" w:hAnsi="宋体" w:eastAsia="宋体" w:cs="Times New Roman"/>
          <w:szCs w:val="21"/>
          <w:highlight w:val="none"/>
          <w:lang w:val="en-US" w:eastAsia="zh-CN"/>
        </w:rPr>
        <w:t>¥</w:t>
      </w:r>
      <w:r>
        <w:rPr>
          <w:rFonts w:hint="eastAsia" w:asciiTheme="minorEastAsia" w:hAnsiTheme="minorEastAsia" w:eastAsiaTheme="minorEastAsia" w:cstheme="minorEastAsia"/>
          <w:sz w:val="21"/>
          <w:szCs w:val="21"/>
          <w:highlight w:val="none"/>
        </w:rPr>
        <w:t>25380.00）</w:t>
      </w:r>
    </w:p>
    <w:p w14:paraId="57E573C2">
      <w:pPr>
        <w:spacing w:line="360" w:lineRule="auto"/>
        <w:ind w:firstLine="420" w:firstLineChars="200"/>
        <w:rPr>
          <w:rFonts w:hint="eastAsia" w:ascii="宋体" w:hAnsi="宋体" w:eastAsia="宋体" w:cs="Times New Roman"/>
          <w:szCs w:val="21"/>
          <w:lang w:val="en-US" w:eastAsia="zh-CN"/>
        </w:rPr>
      </w:pPr>
      <w:r>
        <w:rPr>
          <w:rFonts w:hint="eastAsia" w:ascii="宋体" w:hAnsi="宋体" w:cs="Times New Roman"/>
          <w:szCs w:val="21"/>
          <w:lang w:val="en-US" w:eastAsia="zh-CN"/>
        </w:rPr>
        <w:t>6、</w:t>
      </w:r>
      <w:r>
        <w:rPr>
          <w:rFonts w:hint="eastAsia" w:ascii="宋体" w:hAnsi="宋体" w:eastAsia="宋体" w:cs="Times New Roman"/>
          <w:szCs w:val="21"/>
          <w:lang w:val="en-US" w:eastAsia="zh-CN"/>
        </w:rPr>
        <w:t>采购内容：详见</w:t>
      </w:r>
      <w:r>
        <w:rPr>
          <w:rFonts w:hint="eastAsia" w:ascii="宋体" w:hAnsi="宋体" w:cs="Times New Roman"/>
          <w:szCs w:val="21"/>
          <w:lang w:val="en-US" w:eastAsia="zh-CN"/>
        </w:rPr>
        <w:t>《采购项目需求》第二章内容。</w:t>
      </w:r>
    </w:p>
    <w:p w14:paraId="7E19DD6D">
      <w:pPr>
        <w:numPr>
          <w:ilvl w:val="0"/>
          <w:numId w:val="0"/>
        </w:numPr>
        <w:spacing w:line="360" w:lineRule="auto"/>
        <w:ind w:firstLine="422" w:firstLineChars="200"/>
        <w:rPr>
          <w:rFonts w:hint="eastAsia"/>
        </w:rPr>
      </w:pPr>
      <w:r>
        <w:rPr>
          <w:rFonts w:hint="eastAsia" w:ascii="宋体" w:hAnsi="宋体" w:cs="宋体"/>
          <w:b/>
          <w:bCs/>
          <w:highlight w:val="none"/>
        </w:rPr>
        <w:t>二、供应商的资格要求</w:t>
      </w:r>
    </w:p>
    <w:p w14:paraId="1B1C64E2">
      <w:pPr>
        <w:spacing w:line="360" w:lineRule="auto"/>
        <w:ind w:firstLine="420" w:firstLineChars="200"/>
        <w:rPr>
          <w:rFonts w:hint="eastAsia" w:ascii="宋体" w:hAnsi="宋体" w:eastAsia="宋体"/>
          <w:szCs w:val="21"/>
          <w:highlight w:val="none"/>
          <w:lang w:eastAsia="zh-CN"/>
        </w:rPr>
      </w:pPr>
      <w:r>
        <w:rPr>
          <w:rFonts w:hint="eastAsia" w:ascii="宋体" w:hAnsi="宋体"/>
          <w:szCs w:val="21"/>
          <w:highlight w:val="none"/>
        </w:rPr>
        <w:t>1</w:t>
      </w:r>
      <w:r>
        <w:rPr>
          <w:rFonts w:hint="eastAsia" w:ascii="宋体" w:hAnsi="宋体"/>
          <w:szCs w:val="21"/>
          <w:highlight w:val="none"/>
          <w:lang w:eastAsia="zh-CN"/>
        </w:rPr>
        <w:t>、</w:t>
      </w:r>
      <w:r>
        <w:rPr>
          <w:rFonts w:hint="eastAsia" w:ascii="宋体" w:hAnsi="宋体"/>
          <w:szCs w:val="21"/>
          <w:highlight w:val="none"/>
        </w:rPr>
        <w:t>满足《中华人民共和国政府采购法》第二十二条规定</w:t>
      </w:r>
      <w:r>
        <w:rPr>
          <w:rFonts w:hint="eastAsia" w:ascii="宋体" w:hAnsi="宋体"/>
          <w:szCs w:val="21"/>
          <w:highlight w:val="none"/>
          <w:lang w:eastAsia="zh-CN"/>
        </w:rPr>
        <w:t>：</w:t>
      </w:r>
    </w:p>
    <w:p w14:paraId="347AF155">
      <w:pPr>
        <w:spacing w:line="360" w:lineRule="auto"/>
        <w:ind w:firstLine="420" w:firstLineChars="200"/>
        <w:rPr>
          <w:rFonts w:hint="eastAsia" w:ascii="宋体" w:hAnsi="宋体"/>
          <w:szCs w:val="21"/>
          <w:highlight w:val="none"/>
        </w:rPr>
      </w:pPr>
      <w:r>
        <w:rPr>
          <w:rFonts w:hint="eastAsia" w:ascii="宋体" w:hAnsi="宋体"/>
          <w:szCs w:val="21"/>
          <w:highlight w:val="none"/>
        </w:rPr>
        <w:t>（1）具有独立承担民事责任的能力；</w:t>
      </w:r>
    </w:p>
    <w:p w14:paraId="400D57FF">
      <w:pPr>
        <w:spacing w:line="360" w:lineRule="auto"/>
        <w:ind w:firstLine="420" w:firstLineChars="200"/>
        <w:rPr>
          <w:rFonts w:hint="eastAsia" w:ascii="宋体" w:hAnsi="宋体"/>
          <w:szCs w:val="21"/>
          <w:highlight w:val="none"/>
        </w:rPr>
      </w:pPr>
      <w:r>
        <w:rPr>
          <w:rFonts w:hint="eastAsia" w:ascii="宋体" w:hAnsi="宋体"/>
          <w:szCs w:val="21"/>
          <w:highlight w:val="none"/>
        </w:rPr>
        <w:t>（2）具有良好的商业信誉和健全的财务会计制度；</w:t>
      </w:r>
    </w:p>
    <w:p w14:paraId="75F6C997">
      <w:pPr>
        <w:spacing w:line="360" w:lineRule="auto"/>
        <w:ind w:firstLine="420" w:firstLineChars="200"/>
        <w:rPr>
          <w:rFonts w:hint="eastAsia" w:ascii="宋体" w:hAnsi="宋体"/>
          <w:szCs w:val="21"/>
          <w:highlight w:val="none"/>
        </w:rPr>
      </w:pPr>
      <w:r>
        <w:rPr>
          <w:rFonts w:hint="eastAsia" w:ascii="宋体" w:hAnsi="宋体"/>
          <w:szCs w:val="21"/>
          <w:highlight w:val="none"/>
        </w:rPr>
        <w:t>（3）具有履行合同所必需的设备和专业技术能力；</w:t>
      </w:r>
    </w:p>
    <w:p w14:paraId="1046A154">
      <w:pPr>
        <w:spacing w:line="360" w:lineRule="auto"/>
        <w:ind w:firstLine="420" w:firstLineChars="200"/>
        <w:rPr>
          <w:rFonts w:hint="eastAsia" w:ascii="宋体" w:hAnsi="宋体"/>
          <w:szCs w:val="21"/>
          <w:highlight w:val="none"/>
        </w:rPr>
      </w:pPr>
      <w:r>
        <w:rPr>
          <w:rFonts w:hint="eastAsia" w:ascii="宋体" w:hAnsi="宋体"/>
          <w:szCs w:val="21"/>
          <w:highlight w:val="none"/>
        </w:rPr>
        <w:t>（4）有依法缴纳税收和社会保障资金的良好记录；</w:t>
      </w:r>
    </w:p>
    <w:p w14:paraId="585DC6DB">
      <w:pPr>
        <w:spacing w:line="360" w:lineRule="auto"/>
        <w:ind w:firstLine="420" w:firstLineChars="200"/>
        <w:rPr>
          <w:rFonts w:hint="eastAsia" w:ascii="宋体" w:hAnsi="宋体"/>
          <w:szCs w:val="21"/>
          <w:highlight w:val="none"/>
        </w:rPr>
      </w:pPr>
      <w:r>
        <w:rPr>
          <w:rFonts w:hint="eastAsia" w:ascii="宋体" w:hAnsi="宋体"/>
          <w:szCs w:val="21"/>
          <w:highlight w:val="none"/>
        </w:rPr>
        <w:t xml:space="preserve">（5）参加本次采购活动前三年内，在经营活动中没有重大违法记录； </w:t>
      </w:r>
    </w:p>
    <w:p w14:paraId="08CF0FFF">
      <w:pPr>
        <w:spacing w:line="360" w:lineRule="auto"/>
        <w:ind w:firstLine="420" w:firstLineChars="200"/>
        <w:rPr>
          <w:rFonts w:hint="eastAsia" w:ascii="宋体" w:hAnsi="宋体"/>
          <w:szCs w:val="21"/>
          <w:highlight w:val="none"/>
        </w:rPr>
      </w:pPr>
      <w:r>
        <w:rPr>
          <w:rFonts w:hint="eastAsia" w:ascii="宋体" w:hAnsi="宋体"/>
          <w:szCs w:val="21"/>
          <w:highlight w:val="none"/>
        </w:rPr>
        <w:t>（6）法律、行政法规规定的其他条件。</w:t>
      </w:r>
    </w:p>
    <w:p w14:paraId="7F0EE402">
      <w:pPr>
        <w:spacing w:line="360" w:lineRule="auto"/>
        <w:ind w:firstLine="420" w:firstLineChars="200"/>
        <w:rPr>
          <w:rFonts w:hint="eastAsia" w:ascii="宋体" w:hAnsi="宋体" w:cs="Arial"/>
          <w:szCs w:val="21"/>
          <w:highlight w:val="none"/>
        </w:rPr>
      </w:pPr>
      <w:r>
        <w:rPr>
          <w:rFonts w:hint="eastAsia" w:ascii="宋体" w:hAnsi="宋体" w:cs="Arial"/>
          <w:szCs w:val="21"/>
          <w:highlight w:val="none"/>
        </w:rPr>
        <w:t>2</w:t>
      </w:r>
      <w:r>
        <w:rPr>
          <w:rFonts w:hint="eastAsia" w:ascii="宋体" w:hAnsi="宋体" w:cs="Arial"/>
          <w:szCs w:val="21"/>
          <w:highlight w:val="none"/>
          <w:lang w:eastAsia="zh-CN"/>
        </w:rPr>
        <w:t>、</w:t>
      </w:r>
      <w:r>
        <w:rPr>
          <w:rFonts w:hint="eastAsia" w:ascii="宋体" w:hAnsi="宋体" w:cs="Arial"/>
          <w:szCs w:val="21"/>
          <w:highlight w:val="none"/>
        </w:rPr>
        <w:t>国内注册（指按工商管理有关规定要求核准登记的）依法取得营业执照，经营范围达到本次采购需求的供应商。</w:t>
      </w:r>
    </w:p>
    <w:p w14:paraId="5F918680">
      <w:pPr>
        <w:spacing w:line="360" w:lineRule="auto"/>
        <w:ind w:firstLine="420" w:firstLineChars="200"/>
        <w:rPr>
          <w:rFonts w:hint="eastAsia" w:ascii="宋体" w:hAnsi="宋体" w:cs="Arial"/>
          <w:szCs w:val="21"/>
          <w:highlight w:val="none"/>
          <w:lang w:val="en-US" w:eastAsia="zh-CN"/>
        </w:rPr>
      </w:pPr>
      <w:r>
        <w:rPr>
          <w:rFonts w:hint="eastAsia" w:ascii="宋体" w:hAnsi="宋体" w:cs="Arial"/>
          <w:szCs w:val="21"/>
          <w:highlight w:val="none"/>
          <w:lang w:val="en-US" w:eastAsia="zh-CN"/>
        </w:rPr>
        <w:t>3、本项目的特定资格要求：</w:t>
      </w:r>
    </w:p>
    <w:p w14:paraId="4E6F5FED">
      <w:pPr>
        <w:keepNext w:val="0"/>
        <w:keepLines w:val="0"/>
        <w:pageBreakBefore w:val="0"/>
        <w:widowControl w:val="0"/>
        <w:shd w:val="clear"/>
        <w:kinsoku/>
        <w:wordWrap/>
        <w:overflowPunct/>
        <w:topLinePunct w:val="0"/>
        <w:autoSpaceDE/>
        <w:autoSpaceDN/>
        <w:bidi w:val="0"/>
        <w:adjustRightInd/>
        <w:snapToGrid/>
        <w:spacing w:line="400" w:lineRule="exact"/>
        <w:ind w:firstLine="420" w:firstLineChars="200"/>
        <w:textAlignment w:val="auto"/>
        <w:rPr>
          <w:rFonts w:hint="eastAsia" w:ascii="宋体" w:hAnsi="宋体" w:cs="Arial"/>
          <w:szCs w:val="21"/>
          <w:highlight w:val="none"/>
          <w:lang w:val="en-US" w:eastAsia="zh-CN"/>
        </w:rPr>
      </w:pPr>
      <w:r>
        <w:rPr>
          <w:rFonts w:hint="eastAsia" w:ascii="宋体" w:hAnsi="宋体" w:cs="Arial"/>
          <w:szCs w:val="21"/>
          <w:highlight w:val="none"/>
          <w:lang w:val="en-US" w:eastAsia="zh-CN"/>
        </w:rPr>
        <w:t>（1）</w:t>
      </w:r>
      <w:r>
        <w:rPr>
          <w:rFonts w:hint="eastAsia" w:ascii="宋体" w:hAnsi="宋体" w:cs="宋体"/>
          <w:szCs w:val="21"/>
          <w:highlight w:val="none"/>
          <w:lang w:eastAsia="zh-CN"/>
        </w:rPr>
        <w:t>本项目采购标的为第三类医疗器械，供应商须按《医疗器械监督管理条例》（国务院令第739号)的分类管理要求，具备有效的第三类《医疗器械经营许可证》（经营范围须包含本次采购标的);或供应商为产品注册人，具有《医疗器械监督管理条例》第四十三条规定的医疗器械注册人凭证。</w:t>
      </w:r>
    </w:p>
    <w:p w14:paraId="78AD812F">
      <w:pPr>
        <w:spacing w:line="360" w:lineRule="auto"/>
        <w:ind w:firstLine="420" w:firstLineChars="200"/>
        <w:rPr>
          <w:rFonts w:hint="default" w:ascii="宋体" w:hAnsi="宋体" w:eastAsia="宋体" w:cs="Arial"/>
          <w:szCs w:val="21"/>
          <w:highlight w:val="none"/>
          <w:lang w:val="en-US" w:eastAsia="zh-CN"/>
        </w:rPr>
      </w:pPr>
      <w:r>
        <w:rPr>
          <w:rFonts w:hint="eastAsia" w:ascii="宋体" w:hAnsi="宋体" w:eastAsia="宋体" w:cs="Arial"/>
          <w:szCs w:val="21"/>
          <w:highlight w:val="none"/>
          <w:lang w:val="en-US" w:eastAsia="zh-CN"/>
        </w:rPr>
        <w:t>4</w:t>
      </w:r>
      <w:r>
        <w:rPr>
          <w:rFonts w:hint="eastAsia" w:ascii="宋体" w:hAnsi="宋体" w:cs="Arial"/>
          <w:szCs w:val="21"/>
          <w:highlight w:val="none"/>
          <w:lang w:val="en-US" w:eastAsia="zh-CN"/>
        </w:rPr>
        <w:t>、</w:t>
      </w:r>
      <w:r>
        <w:rPr>
          <w:rFonts w:hint="eastAsia" w:ascii="宋体" w:hAnsi="宋体" w:eastAsia="宋体" w:cs="Arial"/>
          <w:szCs w:val="21"/>
          <w:highlight w:val="none"/>
          <w:lang w:val="en-US" w:eastAsia="zh-CN"/>
        </w:rPr>
        <w:t>本项目不允许外包、分包、转包，不接受联合体供应商参与本项目采购活动。</w:t>
      </w:r>
    </w:p>
    <w:p w14:paraId="5DC2A32A">
      <w:pPr>
        <w:numPr>
          <w:ilvl w:val="0"/>
          <w:numId w:val="0"/>
        </w:numPr>
        <w:spacing w:line="360" w:lineRule="auto"/>
        <w:ind w:firstLine="422" w:firstLineChars="200"/>
        <w:rPr>
          <w:rFonts w:hint="eastAsia" w:ascii="宋体" w:hAnsi="宋体" w:cs="宋体"/>
          <w:b/>
          <w:bCs/>
          <w:color w:val="auto"/>
          <w:highlight w:val="none"/>
        </w:rPr>
      </w:pPr>
      <w:r>
        <w:rPr>
          <w:rFonts w:hint="eastAsia" w:ascii="宋体" w:hAnsi="宋体" w:cs="宋体"/>
          <w:b/>
          <w:bCs/>
          <w:color w:val="auto"/>
          <w:highlight w:val="none"/>
          <w:lang w:val="en-US" w:eastAsia="zh-CN"/>
        </w:rPr>
        <w:t>三、</w:t>
      </w:r>
      <w:r>
        <w:rPr>
          <w:rFonts w:hint="eastAsia" w:ascii="宋体" w:hAnsi="宋体" w:cs="宋体"/>
          <w:b/>
          <w:bCs/>
          <w:color w:val="auto"/>
          <w:highlight w:val="none"/>
        </w:rPr>
        <w:t>报名所需资料</w:t>
      </w:r>
    </w:p>
    <w:p w14:paraId="1CE325EA">
      <w:pPr>
        <w:spacing w:line="360" w:lineRule="auto"/>
        <w:ind w:firstLine="420" w:firstLineChars="200"/>
        <w:rPr>
          <w:rFonts w:hint="eastAsia" w:ascii="宋体" w:hAnsi="宋体" w:cs="Arial"/>
          <w:color w:val="auto"/>
          <w:szCs w:val="21"/>
          <w:highlight w:val="none"/>
        </w:rPr>
      </w:pPr>
      <w:r>
        <w:rPr>
          <w:rFonts w:hint="eastAsia" w:ascii="宋体" w:hAnsi="宋体" w:cs="Arial"/>
          <w:color w:val="auto"/>
          <w:szCs w:val="21"/>
          <w:highlight w:val="none"/>
          <w:lang w:val="en-US" w:eastAsia="zh-CN"/>
        </w:rPr>
        <w:t>1、</w:t>
      </w:r>
      <w:r>
        <w:rPr>
          <w:rFonts w:hint="eastAsia" w:ascii="宋体" w:hAnsi="宋体" w:cs="Arial"/>
          <w:color w:val="auto"/>
          <w:szCs w:val="21"/>
          <w:highlight w:val="none"/>
        </w:rPr>
        <w:t>响应文件</w:t>
      </w:r>
      <w:r>
        <w:rPr>
          <w:rFonts w:hint="eastAsia" w:ascii="宋体" w:hAnsi="宋体" w:cs="Arial"/>
          <w:color w:val="auto"/>
          <w:szCs w:val="21"/>
          <w:highlight w:val="none"/>
          <w:lang w:eastAsia="zh-CN"/>
        </w:rPr>
        <w:t>：</w:t>
      </w:r>
      <w:r>
        <w:rPr>
          <w:rFonts w:hint="eastAsia" w:ascii="宋体" w:hAnsi="宋体" w:cs="Arial"/>
          <w:color w:val="auto"/>
          <w:szCs w:val="21"/>
          <w:highlight w:val="none"/>
          <w:lang w:val="en-US" w:eastAsia="zh-CN"/>
        </w:rPr>
        <w:t>详见</w:t>
      </w:r>
      <w:r>
        <w:rPr>
          <w:rFonts w:hint="eastAsia" w:ascii="宋体" w:hAnsi="宋体" w:cs="Times New Roman"/>
          <w:szCs w:val="21"/>
          <w:lang w:val="en-US" w:eastAsia="zh-CN"/>
        </w:rPr>
        <w:t>《采购项目需求》第三章内容。</w:t>
      </w:r>
    </w:p>
    <w:p w14:paraId="72D98E4A">
      <w:pPr>
        <w:spacing w:line="360" w:lineRule="auto"/>
        <w:ind w:firstLine="420" w:firstLineChars="200"/>
        <w:rPr>
          <w:rFonts w:hint="default" w:ascii="宋体" w:hAnsi="宋体" w:cs="Arial"/>
          <w:szCs w:val="21"/>
          <w:highlight w:val="none"/>
          <w:lang w:val="en-US" w:eastAsia="zh-CN"/>
        </w:rPr>
      </w:pPr>
      <w:r>
        <w:rPr>
          <w:rFonts w:hint="eastAsia" w:ascii="宋体" w:hAnsi="宋体" w:cs="Arial"/>
          <w:color w:val="auto"/>
          <w:szCs w:val="21"/>
          <w:highlight w:val="none"/>
          <w:lang w:val="en-US" w:eastAsia="zh-CN"/>
        </w:rPr>
        <w:t>2、报名表：详见《采购项目需求》第一章《广西壮族自治区生殖医院采购项目报名表》</w:t>
      </w:r>
      <w:r>
        <w:rPr>
          <w:rFonts w:hint="eastAsia" w:ascii="宋体" w:hAnsi="宋体" w:cs="Arial"/>
          <w:szCs w:val="21"/>
          <w:highlight w:val="none"/>
        </w:rPr>
        <w:t>。</w:t>
      </w:r>
    </w:p>
    <w:p w14:paraId="22B62C22">
      <w:pPr>
        <w:spacing w:line="360" w:lineRule="auto"/>
        <w:ind w:firstLine="422" w:firstLineChars="200"/>
        <w:rPr>
          <w:rFonts w:hint="default" w:ascii="宋体" w:hAnsi="宋体" w:eastAsia="宋体"/>
          <w:b/>
          <w:szCs w:val="21"/>
          <w:highlight w:val="none"/>
          <w:lang w:val="en-US" w:eastAsia="zh-CN"/>
        </w:rPr>
      </w:pPr>
      <w:r>
        <w:rPr>
          <w:rFonts w:hint="eastAsia" w:ascii="宋体" w:hAnsi="宋体"/>
          <w:b/>
          <w:szCs w:val="21"/>
          <w:highlight w:val="none"/>
          <w:lang w:val="en-US" w:eastAsia="zh-CN"/>
        </w:rPr>
        <w:t>四</w:t>
      </w:r>
      <w:r>
        <w:rPr>
          <w:rFonts w:hint="eastAsia" w:ascii="宋体" w:hAnsi="宋体"/>
          <w:b/>
          <w:szCs w:val="21"/>
          <w:highlight w:val="none"/>
        </w:rPr>
        <w:t>、响应文件递交</w:t>
      </w:r>
      <w:r>
        <w:rPr>
          <w:rFonts w:hint="eastAsia" w:ascii="宋体" w:hAnsi="宋体"/>
          <w:b/>
          <w:szCs w:val="21"/>
          <w:highlight w:val="none"/>
          <w:lang w:val="en-US" w:eastAsia="zh-CN"/>
        </w:rPr>
        <w:t>时间和地点</w:t>
      </w:r>
    </w:p>
    <w:p w14:paraId="236BEB45">
      <w:pPr>
        <w:snapToGrid w:val="0"/>
        <w:spacing w:line="360" w:lineRule="auto"/>
        <w:ind w:firstLine="420" w:firstLineChars="200"/>
        <w:rPr>
          <w:rFonts w:ascii="宋体" w:hAnsi="宋体"/>
          <w:szCs w:val="21"/>
          <w:highlight w:val="none"/>
        </w:rPr>
      </w:pPr>
      <w:r>
        <w:rPr>
          <w:rFonts w:hint="eastAsia" w:ascii="宋体" w:hAnsi="宋体"/>
          <w:szCs w:val="21"/>
          <w:highlight w:val="none"/>
          <w:lang w:val="en-US" w:eastAsia="zh-CN"/>
        </w:rPr>
        <w:t>1、 递交时间：2026年10月 30日起至2026年11月3 日，每天上</w:t>
      </w:r>
      <w:r>
        <w:rPr>
          <w:rFonts w:hint="eastAsia" w:ascii="宋体" w:hAnsi="宋体" w:cs="Arial"/>
          <w:szCs w:val="21"/>
        </w:rPr>
        <w:t>午8:00-12:00，下午13:30-16:30</w:t>
      </w:r>
      <w:r>
        <w:rPr>
          <w:rFonts w:hint="eastAsia" w:ascii="宋体" w:hAnsi="宋体" w:cs="Arial"/>
          <w:szCs w:val="21"/>
          <w:lang w:eastAsia="zh-CN"/>
        </w:rPr>
        <w:t>（</w:t>
      </w:r>
      <w:r>
        <w:rPr>
          <w:rFonts w:hint="eastAsia" w:ascii="宋体" w:hAnsi="宋体" w:cs="Arial"/>
          <w:szCs w:val="21"/>
          <w:lang w:val="en-US" w:eastAsia="zh-CN"/>
        </w:rPr>
        <w:t>北京时间</w:t>
      </w:r>
      <w:r>
        <w:rPr>
          <w:rFonts w:hint="eastAsia" w:ascii="宋体" w:hAnsi="宋体" w:cs="Arial"/>
          <w:szCs w:val="21"/>
        </w:rPr>
        <w:t>，</w:t>
      </w:r>
      <w:r>
        <w:rPr>
          <w:rFonts w:ascii="宋体" w:hAnsi="宋体" w:cs="Arial"/>
          <w:color w:val="000000"/>
          <w:szCs w:val="21"/>
        </w:rPr>
        <w:t>法定节假日</w:t>
      </w:r>
      <w:r>
        <w:rPr>
          <w:rFonts w:hint="eastAsia" w:ascii="宋体" w:hAnsi="宋体" w:cs="Arial"/>
          <w:color w:val="000000"/>
          <w:szCs w:val="21"/>
        </w:rPr>
        <w:t>除外</w:t>
      </w:r>
      <w:r>
        <w:rPr>
          <w:rFonts w:hint="eastAsia" w:ascii="宋体" w:hAnsi="宋体" w:cs="Arial"/>
          <w:szCs w:val="21"/>
        </w:rPr>
        <w:t>）</w:t>
      </w:r>
    </w:p>
    <w:p w14:paraId="63D1D7D2">
      <w:pPr>
        <w:snapToGrid w:val="0"/>
        <w:spacing w:line="360" w:lineRule="auto"/>
        <w:ind w:firstLine="420" w:firstLineChars="200"/>
        <w:rPr>
          <w:rFonts w:hint="eastAsia" w:ascii="宋体" w:hAnsi="宋体" w:cs="Arial"/>
          <w:szCs w:val="21"/>
          <w:highlight w:val="none"/>
        </w:rPr>
      </w:pPr>
      <w:r>
        <w:rPr>
          <w:rFonts w:hint="eastAsia" w:ascii="宋体" w:hAnsi="宋体"/>
          <w:szCs w:val="21"/>
          <w:highlight w:val="none"/>
        </w:rPr>
        <w:t>2</w:t>
      </w:r>
      <w:r>
        <w:rPr>
          <w:rFonts w:hint="eastAsia" w:ascii="宋体" w:hAnsi="宋体"/>
          <w:szCs w:val="21"/>
          <w:highlight w:val="none"/>
          <w:lang w:eastAsia="zh-CN"/>
        </w:rPr>
        <w:t>、</w:t>
      </w:r>
      <w:r>
        <w:rPr>
          <w:rFonts w:hint="eastAsia" w:ascii="宋体" w:hAnsi="宋体"/>
          <w:szCs w:val="21"/>
          <w:highlight w:val="none"/>
        </w:rPr>
        <w:t>递交地点：</w:t>
      </w:r>
      <w:r>
        <w:rPr>
          <w:rFonts w:hint="eastAsia" w:ascii="宋体" w:hAnsi="宋体"/>
          <w:szCs w:val="21"/>
          <w:highlight w:val="none"/>
          <w:lang w:val="en-US" w:eastAsia="zh-CN"/>
        </w:rPr>
        <w:t>广西</w:t>
      </w:r>
      <w:r>
        <w:rPr>
          <w:rFonts w:hint="eastAsia" w:ascii="宋体" w:hAnsi="宋体" w:cs="Arial"/>
          <w:szCs w:val="21"/>
          <w:highlight w:val="none"/>
        </w:rPr>
        <w:t>南宁市青秀区青环路85号宇浩国际A座8楼招标采购办公室。</w:t>
      </w:r>
    </w:p>
    <w:p w14:paraId="00EFC306">
      <w:pPr>
        <w:spacing w:line="360" w:lineRule="auto"/>
        <w:ind w:firstLine="422" w:firstLineChars="200"/>
        <w:rPr>
          <w:rFonts w:hint="eastAsia" w:ascii="宋体" w:hAnsi="宋体" w:eastAsia="宋体"/>
          <w:b/>
          <w:bCs/>
          <w:szCs w:val="21"/>
          <w:highlight w:val="none"/>
          <w:lang w:val="en-US" w:eastAsia="zh-CN"/>
        </w:rPr>
      </w:pPr>
      <w:r>
        <w:rPr>
          <w:rFonts w:hint="eastAsia" w:ascii="宋体" w:hAnsi="宋体"/>
          <w:b/>
          <w:szCs w:val="21"/>
          <w:highlight w:val="none"/>
        </w:rPr>
        <w:t>※</w:t>
      </w:r>
      <w:r>
        <w:rPr>
          <w:rFonts w:hint="eastAsia" w:ascii="宋体" w:hAnsi="宋体" w:eastAsia="宋体" w:cs="Times New Roman"/>
          <w:b/>
          <w:szCs w:val="21"/>
          <w:highlight w:val="none"/>
        </w:rPr>
        <w:t>特别说明：（</w:t>
      </w:r>
      <w:r>
        <w:rPr>
          <w:rFonts w:hint="eastAsia" w:ascii="宋体" w:hAnsi="宋体" w:cs="Times New Roman"/>
          <w:b/>
          <w:szCs w:val="21"/>
          <w:highlight w:val="none"/>
          <w:lang w:val="en-US" w:eastAsia="zh-CN"/>
        </w:rPr>
        <w:t>1</w:t>
      </w:r>
      <w:r>
        <w:rPr>
          <w:rFonts w:hint="eastAsia" w:ascii="宋体" w:hAnsi="宋体" w:eastAsia="宋体" w:cs="Times New Roman"/>
          <w:b/>
          <w:szCs w:val="21"/>
          <w:highlight w:val="none"/>
        </w:rPr>
        <w:t>）《采购项目报名表》不需要密封，</w:t>
      </w:r>
      <w:r>
        <w:rPr>
          <w:rFonts w:hint="eastAsia" w:ascii="宋体" w:hAnsi="宋体" w:cs="Times New Roman"/>
          <w:b/>
          <w:szCs w:val="21"/>
          <w:highlight w:val="none"/>
          <w:lang w:val="en-US" w:eastAsia="zh-CN"/>
        </w:rPr>
        <w:t>加盖单位公章有效，</w:t>
      </w:r>
      <w:r>
        <w:rPr>
          <w:rFonts w:hint="eastAsia" w:ascii="宋体" w:hAnsi="宋体" w:eastAsia="宋体" w:cs="Times New Roman"/>
          <w:b/>
          <w:szCs w:val="21"/>
          <w:highlight w:val="none"/>
        </w:rPr>
        <w:t>随同响应文件统一递交；（</w:t>
      </w:r>
      <w:r>
        <w:rPr>
          <w:rFonts w:hint="eastAsia" w:ascii="宋体" w:hAnsi="宋体" w:cs="Times New Roman"/>
          <w:b/>
          <w:szCs w:val="21"/>
          <w:highlight w:val="none"/>
          <w:lang w:val="en-US" w:eastAsia="zh-CN"/>
        </w:rPr>
        <w:t>2</w:t>
      </w:r>
      <w:r>
        <w:rPr>
          <w:rFonts w:hint="eastAsia" w:ascii="宋体" w:hAnsi="宋体" w:eastAsia="宋体" w:cs="Times New Roman"/>
          <w:b/>
          <w:szCs w:val="21"/>
          <w:highlight w:val="none"/>
        </w:rPr>
        <w:t>）响应文件加盖单位公章</w:t>
      </w:r>
      <w:r>
        <w:rPr>
          <w:rFonts w:hint="eastAsia" w:ascii="宋体" w:hAnsi="宋体" w:cs="Times New Roman"/>
          <w:b/>
          <w:szCs w:val="21"/>
          <w:highlight w:val="none"/>
          <w:lang w:val="en-US" w:eastAsia="zh-CN"/>
        </w:rPr>
        <w:t>密封</w:t>
      </w:r>
      <w:r>
        <w:rPr>
          <w:rFonts w:hint="eastAsia" w:ascii="宋体" w:hAnsi="宋体" w:eastAsia="宋体" w:cs="Times New Roman"/>
          <w:b/>
          <w:szCs w:val="21"/>
          <w:highlight w:val="none"/>
        </w:rPr>
        <w:t>有效（一</w:t>
      </w:r>
      <w:r>
        <w:rPr>
          <w:rFonts w:hint="eastAsia" w:ascii="宋体" w:hAnsi="宋体" w:cs="Times New Roman"/>
          <w:b/>
          <w:szCs w:val="21"/>
          <w:highlight w:val="none"/>
          <w:lang w:val="en-US" w:eastAsia="zh-CN"/>
        </w:rPr>
        <w:t>本</w:t>
      </w:r>
      <w:r>
        <w:rPr>
          <w:rFonts w:hint="eastAsia" w:ascii="宋体" w:hAnsi="宋体" w:eastAsia="宋体" w:cs="Times New Roman"/>
          <w:b/>
          <w:szCs w:val="21"/>
          <w:highlight w:val="none"/>
        </w:rPr>
        <w:t>正</w:t>
      </w:r>
      <w:r>
        <w:rPr>
          <w:rFonts w:hint="eastAsia" w:ascii="宋体" w:hAnsi="宋体" w:cs="Times New Roman"/>
          <w:b/>
          <w:szCs w:val="21"/>
          <w:highlight w:val="none"/>
          <w:lang w:val="en-US" w:eastAsia="zh-CN"/>
        </w:rPr>
        <w:t>本，</w:t>
      </w:r>
      <w:r>
        <w:rPr>
          <w:rFonts w:hint="eastAsia" w:ascii="宋体" w:hAnsi="宋体" w:eastAsia="宋体" w:cs="Times New Roman"/>
          <w:b/>
          <w:szCs w:val="21"/>
          <w:highlight w:val="none"/>
        </w:rPr>
        <w:t>一</w:t>
      </w:r>
      <w:r>
        <w:rPr>
          <w:rFonts w:hint="eastAsia" w:ascii="宋体" w:hAnsi="宋体" w:cs="Times New Roman"/>
          <w:b/>
          <w:szCs w:val="21"/>
          <w:highlight w:val="none"/>
          <w:lang w:val="en-US" w:eastAsia="zh-CN"/>
        </w:rPr>
        <w:t>本</w:t>
      </w:r>
      <w:r>
        <w:rPr>
          <w:rFonts w:hint="eastAsia" w:ascii="宋体" w:hAnsi="宋体" w:eastAsia="宋体" w:cs="Times New Roman"/>
          <w:b/>
          <w:szCs w:val="21"/>
          <w:highlight w:val="none"/>
        </w:rPr>
        <w:t>副</w:t>
      </w:r>
      <w:r>
        <w:rPr>
          <w:rFonts w:hint="eastAsia" w:ascii="宋体" w:hAnsi="宋体" w:cs="Times New Roman"/>
          <w:b/>
          <w:szCs w:val="21"/>
          <w:highlight w:val="none"/>
          <w:lang w:val="en-US" w:eastAsia="zh-CN"/>
        </w:rPr>
        <w:t>本</w:t>
      </w:r>
      <w:r>
        <w:rPr>
          <w:rFonts w:hint="eastAsia" w:ascii="宋体" w:hAnsi="宋体" w:eastAsia="宋体" w:cs="Times New Roman"/>
          <w:b/>
          <w:szCs w:val="21"/>
          <w:highlight w:val="none"/>
        </w:rPr>
        <w:t>），未按要求密封</w:t>
      </w:r>
      <w:r>
        <w:rPr>
          <w:rFonts w:hint="eastAsia" w:ascii="宋体" w:hAnsi="宋体" w:cs="Times New Roman"/>
          <w:b/>
          <w:szCs w:val="21"/>
          <w:highlight w:val="none"/>
          <w:lang w:val="en-US" w:eastAsia="zh-CN"/>
        </w:rPr>
        <w:t>的</w:t>
      </w:r>
      <w:r>
        <w:rPr>
          <w:rFonts w:hint="eastAsia" w:ascii="宋体" w:hAnsi="宋体" w:cs="Times New Roman"/>
          <w:b/>
          <w:szCs w:val="21"/>
          <w:highlight w:val="none"/>
          <w:lang w:eastAsia="zh-CN"/>
        </w:rPr>
        <w:t>，</w:t>
      </w:r>
      <w:r>
        <w:rPr>
          <w:rFonts w:hint="eastAsia" w:ascii="宋体" w:hAnsi="宋体" w:eastAsia="宋体" w:cs="Times New Roman"/>
          <w:b/>
          <w:szCs w:val="21"/>
          <w:highlight w:val="none"/>
        </w:rPr>
        <w:t>采购人将予以拒收；</w:t>
      </w:r>
      <w:r>
        <w:rPr>
          <w:rFonts w:hint="eastAsia" w:ascii="宋体" w:hAnsi="宋体" w:cs="Times New Roman"/>
          <w:b/>
          <w:szCs w:val="21"/>
          <w:highlight w:val="none"/>
          <w:lang w:eastAsia="zh-CN"/>
        </w:rPr>
        <w:t>（</w:t>
      </w:r>
      <w:r>
        <w:rPr>
          <w:rFonts w:hint="eastAsia" w:ascii="宋体" w:hAnsi="宋体" w:cs="Times New Roman"/>
          <w:b/>
          <w:szCs w:val="21"/>
          <w:highlight w:val="none"/>
          <w:lang w:val="en-US" w:eastAsia="zh-CN"/>
        </w:rPr>
        <w:t>3）响应文件采用</w:t>
      </w:r>
      <w:r>
        <w:rPr>
          <w:rFonts w:hint="eastAsia" w:ascii="宋体" w:hAnsi="宋体" w:cs="Arial"/>
          <w:b/>
          <w:bCs/>
          <w:szCs w:val="21"/>
          <w:highlight w:val="none"/>
          <w:lang w:val="en-US" w:eastAsia="zh-CN"/>
        </w:rPr>
        <w:t>邮寄或现场递交方式，</w:t>
      </w:r>
      <w:r>
        <w:rPr>
          <w:rFonts w:hint="eastAsia" w:ascii="宋体" w:hAnsi="宋体" w:eastAsia="宋体" w:cs="Times New Roman"/>
          <w:b/>
          <w:szCs w:val="21"/>
          <w:highlight w:val="none"/>
        </w:rPr>
        <w:t>逾时送达的</w:t>
      </w:r>
      <w:r>
        <w:rPr>
          <w:rFonts w:hint="eastAsia" w:ascii="宋体" w:hAnsi="宋体" w:cs="Times New Roman"/>
          <w:b/>
          <w:szCs w:val="21"/>
          <w:highlight w:val="none"/>
          <w:lang w:eastAsia="zh-CN"/>
        </w:rPr>
        <w:t>，</w:t>
      </w:r>
      <w:r>
        <w:rPr>
          <w:rFonts w:hint="eastAsia" w:ascii="宋体" w:hAnsi="宋体" w:eastAsia="宋体" w:cs="Times New Roman"/>
          <w:b/>
          <w:szCs w:val="21"/>
          <w:highlight w:val="none"/>
        </w:rPr>
        <w:t>采购人将予以拒收</w:t>
      </w:r>
      <w:r>
        <w:rPr>
          <w:rFonts w:hint="eastAsia" w:ascii="宋体" w:hAnsi="宋体" w:cs="Arial"/>
          <w:b/>
          <w:bCs/>
          <w:szCs w:val="21"/>
          <w:highlight w:val="none"/>
          <w:lang w:val="en-US" w:eastAsia="zh-CN"/>
        </w:rPr>
        <w:t>；</w:t>
      </w:r>
      <w:r>
        <w:rPr>
          <w:rFonts w:hint="eastAsia" w:ascii="宋体" w:hAnsi="宋体" w:eastAsia="宋体" w:cs="Times New Roman"/>
          <w:b/>
          <w:szCs w:val="21"/>
          <w:highlight w:val="none"/>
        </w:rPr>
        <w:t>（</w:t>
      </w:r>
      <w:r>
        <w:rPr>
          <w:rFonts w:hint="eastAsia" w:ascii="宋体" w:hAnsi="宋体" w:cs="Times New Roman"/>
          <w:b/>
          <w:szCs w:val="21"/>
          <w:highlight w:val="none"/>
          <w:lang w:val="en-US" w:eastAsia="zh-CN"/>
        </w:rPr>
        <w:t>4</w:t>
      </w:r>
      <w:r>
        <w:rPr>
          <w:rFonts w:hint="eastAsia" w:ascii="宋体" w:hAnsi="宋体" w:eastAsia="宋体" w:cs="Times New Roman"/>
          <w:b/>
          <w:szCs w:val="21"/>
          <w:highlight w:val="none"/>
        </w:rPr>
        <w:t>）询价时间由采购人另行电话通知</w:t>
      </w:r>
      <w:r>
        <w:rPr>
          <w:rFonts w:hint="eastAsia" w:ascii="宋体" w:hAnsi="宋体" w:cs="Arial"/>
          <w:b/>
          <w:bCs/>
          <w:szCs w:val="21"/>
          <w:highlight w:val="none"/>
          <w:lang w:val="en-US" w:eastAsia="zh-CN"/>
        </w:rPr>
        <w:t>。</w:t>
      </w:r>
    </w:p>
    <w:p w14:paraId="079BCF4B">
      <w:pPr>
        <w:spacing w:line="360" w:lineRule="auto"/>
        <w:ind w:firstLine="422" w:firstLineChars="200"/>
        <w:rPr>
          <w:rFonts w:hint="eastAsia" w:ascii="宋体" w:hAnsi="宋体"/>
          <w:b/>
          <w:szCs w:val="21"/>
          <w:highlight w:val="none"/>
        </w:rPr>
      </w:pPr>
      <w:r>
        <w:rPr>
          <w:rFonts w:hint="eastAsia" w:ascii="宋体" w:hAnsi="宋体"/>
          <w:b/>
          <w:szCs w:val="21"/>
          <w:highlight w:val="none"/>
          <w:lang w:val="en-US" w:eastAsia="zh-CN"/>
        </w:rPr>
        <w:t>五</w:t>
      </w:r>
      <w:r>
        <w:rPr>
          <w:rFonts w:hint="eastAsia" w:ascii="宋体" w:hAnsi="宋体"/>
          <w:b/>
          <w:szCs w:val="21"/>
          <w:highlight w:val="none"/>
        </w:rPr>
        <w:t>、联系事项</w:t>
      </w:r>
    </w:p>
    <w:p w14:paraId="48D35D07">
      <w:pPr>
        <w:snapToGrid w:val="0"/>
        <w:spacing w:line="360" w:lineRule="auto"/>
        <w:ind w:firstLine="420" w:firstLineChars="200"/>
        <w:rPr>
          <w:rFonts w:hint="eastAsia" w:ascii="宋体" w:hAnsi="宋体" w:cs="Arial"/>
          <w:szCs w:val="21"/>
          <w:highlight w:val="none"/>
        </w:rPr>
      </w:pPr>
      <w:r>
        <w:rPr>
          <w:rFonts w:hint="eastAsia" w:ascii="宋体" w:hAnsi="宋体" w:cs="Arial"/>
          <w:szCs w:val="21"/>
          <w:highlight w:val="none"/>
        </w:rPr>
        <w:t>1</w:t>
      </w:r>
      <w:r>
        <w:rPr>
          <w:rFonts w:hint="eastAsia" w:ascii="宋体" w:hAnsi="宋体" w:cs="Arial"/>
          <w:szCs w:val="21"/>
          <w:highlight w:val="none"/>
          <w:lang w:eastAsia="zh-CN"/>
        </w:rPr>
        <w:t>、</w:t>
      </w:r>
      <w:r>
        <w:rPr>
          <w:rFonts w:hint="eastAsia" w:ascii="宋体" w:hAnsi="宋体" w:cs="Arial"/>
          <w:szCs w:val="21"/>
          <w:highlight w:val="none"/>
        </w:rPr>
        <w:t>采购人：广西壮族自治区生殖医院</w:t>
      </w:r>
    </w:p>
    <w:p w14:paraId="2DE7524A">
      <w:pPr>
        <w:snapToGrid w:val="0"/>
        <w:spacing w:line="360" w:lineRule="auto"/>
        <w:ind w:firstLine="420" w:firstLineChars="200"/>
        <w:rPr>
          <w:rFonts w:hint="eastAsia" w:ascii="宋体" w:hAnsi="宋体"/>
          <w:color w:val="000000"/>
          <w:szCs w:val="21"/>
          <w:highlight w:val="none"/>
        </w:rPr>
      </w:pPr>
      <w:r>
        <w:rPr>
          <w:rFonts w:hint="eastAsia" w:ascii="宋体" w:hAnsi="宋体" w:cs="Arial"/>
          <w:szCs w:val="21"/>
          <w:highlight w:val="none"/>
        </w:rPr>
        <w:t>2</w:t>
      </w:r>
      <w:r>
        <w:rPr>
          <w:rFonts w:hint="eastAsia" w:ascii="宋体" w:hAnsi="宋体" w:cs="Arial"/>
          <w:szCs w:val="21"/>
          <w:highlight w:val="none"/>
          <w:lang w:eastAsia="zh-CN"/>
        </w:rPr>
        <w:t>、</w:t>
      </w:r>
      <w:r>
        <w:rPr>
          <w:rFonts w:hint="eastAsia" w:ascii="宋体" w:hAnsi="宋体" w:cs="Arial"/>
          <w:szCs w:val="21"/>
          <w:highlight w:val="none"/>
        </w:rPr>
        <w:t>联系人：</w:t>
      </w:r>
      <w:r>
        <w:rPr>
          <w:rFonts w:hint="eastAsia" w:ascii="宋体" w:hAnsi="宋体" w:cs="Arial"/>
          <w:szCs w:val="21"/>
          <w:highlight w:val="none"/>
          <w:lang w:val="en-US" w:eastAsia="zh-CN"/>
        </w:rPr>
        <w:t>汪</w:t>
      </w:r>
      <w:r>
        <w:rPr>
          <w:rFonts w:hint="eastAsia" w:ascii="宋体" w:hAnsi="宋体" w:cs="Arial"/>
          <w:szCs w:val="21"/>
          <w:highlight w:val="none"/>
        </w:rPr>
        <w:t>老师（招标采购办公室）、</w:t>
      </w:r>
      <w:r>
        <w:rPr>
          <w:rFonts w:hint="eastAsia" w:ascii="宋体" w:hAnsi="宋体" w:cs="Arial"/>
          <w:szCs w:val="21"/>
          <w:highlight w:val="none"/>
          <w:lang w:val="en-US" w:eastAsia="zh-CN"/>
        </w:rPr>
        <w:t>刘</w:t>
      </w:r>
      <w:r>
        <w:rPr>
          <w:rFonts w:hint="eastAsia" w:ascii="宋体" w:hAnsi="宋体" w:cs="Arial"/>
          <w:szCs w:val="21"/>
          <w:highlight w:val="none"/>
        </w:rPr>
        <w:t>老师（监察室）</w:t>
      </w:r>
    </w:p>
    <w:p w14:paraId="012A347A">
      <w:pPr>
        <w:snapToGrid w:val="0"/>
        <w:spacing w:line="360" w:lineRule="auto"/>
        <w:ind w:firstLine="420" w:firstLineChars="200"/>
        <w:rPr>
          <w:rFonts w:hint="eastAsia" w:ascii="宋体" w:hAnsi="宋体" w:cs="Arial"/>
          <w:szCs w:val="21"/>
          <w:highlight w:val="none"/>
        </w:rPr>
      </w:pPr>
      <w:r>
        <w:rPr>
          <w:rFonts w:hint="eastAsia" w:ascii="宋体" w:hAnsi="宋体" w:cs="Arial"/>
          <w:szCs w:val="21"/>
          <w:highlight w:val="none"/>
        </w:rPr>
        <w:t>3</w:t>
      </w:r>
      <w:r>
        <w:rPr>
          <w:rFonts w:hint="eastAsia" w:ascii="宋体" w:hAnsi="宋体" w:cs="Arial"/>
          <w:szCs w:val="21"/>
          <w:highlight w:val="none"/>
          <w:lang w:eastAsia="zh-CN"/>
        </w:rPr>
        <w:t>、</w:t>
      </w:r>
      <w:r>
        <w:rPr>
          <w:rFonts w:hint="eastAsia" w:ascii="宋体" w:hAnsi="宋体" w:cs="Arial"/>
          <w:szCs w:val="21"/>
          <w:highlight w:val="none"/>
        </w:rPr>
        <w:t>联系电话：0771-2239975（招标采购办公室）、2239681（监察室）</w:t>
      </w:r>
    </w:p>
    <w:p w14:paraId="342F4E90">
      <w:pPr>
        <w:snapToGrid w:val="0"/>
        <w:spacing w:line="360" w:lineRule="auto"/>
        <w:ind w:firstLine="420" w:firstLineChars="200"/>
        <w:rPr>
          <w:rFonts w:hint="default" w:ascii="宋体" w:hAnsi="宋体" w:eastAsia="宋体" w:cs="Arial"/>
          <w:szCs w:val="21"/>
          <w:highlight w:val="none"/>
          <w:lang w:val="en-US" w:eastAsia="zh-CN"/>
        </w:rPr>
      </w:pPr>
      <w:r>
        <w:rPr>
          <w:rFonts w:hint="eastAsia" w:ascii="宋体" w:hAnsi="宋体" w:cs="Arial"/>
          <w:szCs w:val="21"/>
          <w:highlight w:val="none"/>
          <w:lang w:val="en-US" w:eastAsia="zh-CN"/>
        </w:rPr>
        <w:t>4、电子邮箱：zcb@gxszyy.cn</w:t>
      </w:r>
    </w:p>
    <w:p w14:paraId="20886D67">
      <w:pPr>
        <w:snapToGrid w:val="0"/>
        <w:spacing w:line="360" w:lineRule="auto"/>
        <w:ind w:firstLine="420" w:firstLineChars="200"/>
        <w:rPr>
          <w:rFonts w:hint="eastAsia" w:ascii="宋体" w:hAnsi="宋体" w:cs="Arial"/>
          <w:szCs w:val="21"/>
          <w:highlight w:val="none"/>
        </w:rPr>
      </w:pPr>
      <w:r>
        <w:rPr>
          <w:rFonts w:hint="eastAsia" w:ascii="宋体" w:hAnsi="宋体" w:cs="Arial"/>
          <w:szCs w:val="21"/>
          <w:highlight w:val="none"/>
        </w:rPr>
        <w:t>5</w:t>
      </w:r>
      <w:r>
        <w:rPr>
          <w:rFonts w:hint="eastAsia" w:ascii="宋体" w:hAnsi="宋体" w:cs="Arial"/>
          <w:szCs w:val="21"/>
          <w:highlight w:val="none"/>
          <w:lang w:eastAsia="zh-CN"/>
        </w:rPr>
        <w:t>、</w:t>
      </w:r>
      <w:r>
        <w:rPr>
          <w:rFonts w:hint="eastAsia" w:ascii="宋体" w:hAnsi="宋体" w:cs="Arial"/>
          <w:szCs w:val="21"/>
          <w:highlight w:val="none"/>
        </w:rPr>
        <w:t>采购人地址：</w:t>
      </w:r>
      <w:r>
        <w:rPr>
          <w:rFonts w:hint="eastAsia" w:ascii="宋体" w:hAnsi="宋体"/>
          <w:color w:val="000000"/>
          <w:szCs w:val="21"/>
          <w:highlight w:val="none"/>
        </w:rPr>
        <w:t>广西南宁市青秀区龙源路3号（</w:t>
      </w:r>
      <w:r>
        <w:rPr>
          <w:rFonts w:hint="eastAsia" w:ascii="宋体" w:hAnsi="宋体" w:cs="Arial"/>
          <w:szCs w:val="21"/>
          <w:highlight w:val="none"/>
        </w:rPr>
        <w:t>邮编：</w:t>
      </w:r>
      <w:r>
        <w:rPr>
          <w:rFonts w:ascii="宋体" w:hAnsi="宋体" w:cs="Arial"/>
          <w:szCs w:val="21"/>
          <w:highlight w:val="none"/>
        </w:rPr>
        <w:t>530</w:t>
      </w:r>
      <w:r>
        <w:rPr>
          <w:rFonts w:hint="eastAsia" w:ascii="宋体" w:hAnsi="宋体" w:cs="Arial"/>
          <w:szCs w:val="21"/>
          <w:highlight w:val="none"/>
          <w:lang w:val="en-US" w:eastAsia="zh-CN"/>
        </w:rPr>
        <w:t>000</w:t>
      </w:r>
      <w:r>
        <w:rPr>
          <w:rFonts w:hint="eastAsia" w:ascii="宋体" w:hAnsi="宋体" w:cs="Arial"/>
          <w:szCs w:val="21"/>
          <w:highlight w:val="none"/>
        </w:rPr>
        <w:t>）</w:t>
      </w:r>
    </w:p>
    <w:p w14:paraId="6BF67127">
      <w:pPr>
        <w:spacing w:line="360" w:lineRule="auto"/>
        <w:ind w:firstLine="422" w:firstLineChars="200"/>
        <w:rPr>
          <w:rFonts w:hint="eastAsia" w:ascii="宋体" w:hAnsi="宋体"/>
          <w:b/>
          <w:szCs w:val="21"/>
        </w:rPr>
      </w:pPr>
      <w:r>
        <w:rPr>
          <w:rFonts w:hint="eastAsia" w:ascii="宋体" w:hAnsi="宋体"/>
          <w:b/>
          <w:szCs w:val="21"/>
          <w:lang w:val="en-US" w:eastAsia="zh-CN"/>
        </w:rPr>
        <w:t>六</w:t>
      </w:r>
      <w:r>
        <w:rPr>
          <w:rFonts w:hint="eastAsia" w:ascii="宋体" w:hAnsi="宋体"/>
          <w:b/>
          <w:szCs w:val="21"/>
        </w:rPr>
        <w:t>、网上公告媒体查询</w:t>
      </w:r>
    </w:p>
    <w:p w14:paraId="63757CAB">
      <w:pPr>
        <w:snapToGrid w:val="0"/>
        <w:spacing w:line="360" w:lineRule="auto"/>
        <w:ind w:firstLine="420" w:firstLineChars="200"/>
        <w:rPr>
          <w:rFonts w:hint="eastAsia" w:ascii="宋体" w:hAnsi="宋体" w:cs="Arial"/>
          <w:szCs w:val="21"/>
        </w:rPr>
      </w:pPr>
      <w:r>
        <w:rPr>
          <w:rFonts w:hint="eastAsia" w:ascii="宋体" w:hAnsi="宋体" w:eastAsia="宋体" w:cs="Arial"/>
          <w:szCs w:val="21"/>
        </w:rPr>
        <w:fldChar w:fldCharType="begin"/>
      </w:r>
      <w:r>
        <w:rPr>
          <w:rFonts w:hint="eastAsia" w:ascii="宋体" w:hAnsi="宋体" w:eastAsia="宋体" w:cs="Arial"/>
          <w:szCs w:val="21"/>
        </w:rPr>
        <w:instrText xml:space="preserve"> HYPERLINK "http://www.gxszjk.com/index.html" </w:instrText>
      </w:r>
      <w:r>
        <w:rPr>
          <w:rFonts w:hint="eastAsia" w:ascii="宋体" w:hAnsi="宋体" w:eastAsia="宋体" w:cs="Arial"/>
          <w:szCs w:val="21"/>
        </w:rPr>
        <w:fldChar w:fldCharType="separate"/>
      </w:r>
      <w:r>
        <w:rPr>
          <w:rFonts w:hint="eastAsia" w:ascii="宋体" w:hAnsi="宋体" w:eastAsia="宋体" w:cs="Arial"/>
          <w:szCs w:val="21"/>
        </w:rPr>
        <w:t>www.gxszyy.cn</w:t>
      </w:r>
      <w:r>
        <w:rPr>
          <w:rFonts w:hint="eastAsia" w:ascii="宋体" w:hAnsi="宋体" w:eastAsia="宋体" w:cs="Arial"/>
          <w:szCs w:val="21"/>
        </w:rPr>
        <w:fldChar w:fldCharType="end"/>
      </w:r>
      <w:r>
        <w:rPr>
          <w:rFonts w:hint="eastAsia" w:ascii="宋体" w:hAnsi="宋体" w:eastAsia="宋体" w:cs="Arial"/>
          <w:szCs w:val="21"/>
        </w:rPr>
        <w:t>（广</w:t>
      </w:r>
      <w:r>
        <w:rPr>
          <w:rFonts w:hint="eastAsia" w:ascii="宋体" w:hAnsi="宋体" w:cs="Arial"/>
          <w:szCs w:val="21"/>
        </w:rPr>
        <w:t>西壮族自治区生殖医院）</w:t>
      </w:r>
    </w:p>
    <w:p w14:paraId="16DEA196">
      <w:pPr>
        <w:pStyle w:val="37"/>
        <w:spacing w:line="360" w:lineRule="auto"/>
        <w:rPr>
          <w:rFonts w:hint="eastAsia"/>
        </w:rPr>
      </w:pPr>
    </w:p>
    <w:p w14:paraId="5555ACAB">
      <w:pPr>
        <w:pStyle w:val="19"/>
        <w:spacing w:line="360" w:lineRule="auto"/>
        <w:rPr>
          <w:rFonts w:hint="eastAsia" w:ascii="宋体" w:hAnsi="宋体" w:cs="Arial"/>
          <w:szCs w:val="21"/>
          <w:highlight w:val="none"/>
        </w:rPr>
      </w:pPr>
    </w:p>
    <w:p w14:paraId="61611F0F">
      <w:pPr>
        <w:widowControl/>
        <w:adjustRightInd w:val="0"/>
        <w:snapToGrid w:val="0"/>
        <w:spacing w:line="360" w:lineRule="auto"/>
        <w:ind w:firstLine="6300" w:firstLineChars="3000"/>
        <w:jc w:val="right"/>
        <w:rPr>
          <w:rFonts w:hint="eastAsia" w:ascii="宋体" w:hAnsi="宋体"/>
          <w:szCs w:val="21"/>
          <w:highlight w:val="none"/>
        </w:rPr>
      </w:pPr>
      <w:r>
        <w:rPr>
          <w:rFonts w:hint="eastAsia" w:ascii="宋体" w:hAnsi="宋体"/>
          <w:szCs w:val="21"/>
          <w:highlight w:val="none"/>
        </w:rPr>
        <w:t>广西壮族自治区生殖医院</w:t>
      </w:r>
    </w:p>
    <w:p w14:paraId="6D57F389">
      <w:pPr>
        <w:widowControl/>
        <w:adjustRightInd w:val="0"/>
        <w:snapToGrid w:val="0"/>
        <w:spacing w:line="360" w:lineRule="auto"/>
        <w:ind w:firstLine="6300" w:firstLineChars="3000"/>
        <w:jc w:val="right"/>
        <w:rPr>
          <w:rFonts w:hint="eastAsia" w:ascii="宋体" w:hAnsi="宋体"/>
          <w:szCs w:val="21"/>
          <w:highlight w:val="none"/>
        </w:rPr>
      </w:pPr>
      <w:bookmarkStart w:id="7" w:name="_GoBack"/>
      <w:bookmarkEnd w:id="7"/>
      <w:r>
        <w:rPr>
          <w:rFonts w:hint="eastAsia" w:ascii="宋体" w:hAnsi="宋体"/>
          <w:szCs w:val="21"/>
          <w:highlight w:val="none"/>
        </w:rPr>
        <w:t xml:space="preserve">   2026年</w:t>
      </w:r>
      <w:r>
        <w:rPr>
          <w:rFonts w:hint="eastAsia" w:ascii="宋体" w:hAnsi="宋体"/>
          <w:szCs w:val="21"/>
          <w:highlight w:val="none"/>
          <w:lang w:val="en-US" w:eastAsia="zh-CN"/>
        </w:rPr>
        <w:t>10</w:t>
      </w:r>
      <w:r>
        <w:rPr>
          <w:rFonts w:hint="eastAsia" w:ascii="宋体" w:hAnsi="宋体"/>
          <w:szCs w:val="21"/>
          <w:highlight w:val="none"/>
        </w:rPr>
        <w:t>月</w:t>
      </w:r>
      <w:r>
        <w:rPr>
          <w:rFonts w:hint="eastAsia" w:ascii="宋体" w:hAnsi="宋体"/>
          <w:szCs w:val="21"/>
          <w:highlight w:val="none"/>
          <w:lang w:val="en-US" w:eastAsia="zh-CN"/>
        </w:rPr>
        <w:t xml:space="preserve">29 </w:t>
      </w:r>
      <w:r>
        <w:rPr>
          <w:rFonts w:hint="eastAsia" w:ascii="宋体" w:hAnsi="宋体"/>
          <w:szCs w:val="21"/>
          <w:highlight w:val="none"/>
        </w:rPr>
        <w:t>日</w:t>
      </w:r>
    </w:p>
    <w:p w14:paraId="7E2E5FBD">
      <w:pPr>
        <w:spacing w:line="360" w:lineRule="auto"/>
        <w:rPr>
          <w:rFonts w:hint="eastAsia" w:ascii="宋体" w:hAnsi="宋体"/>
          <w:szCs w:val="21"/>
          <w:highlight w:val="yellow"/>
        </w:rPr>
      </w:pPr>
      <w:r>
        <w:rPr>
          <w:rFonts w:hint="eastAsia" w:ascii="宋体" w:hAnsi="宋体"/>
          <w:szCs w:val="21"/>
          <w:highlight w:val="yellow"/>
        </w:rPr>
        <w:br w:type="page"/>
      </w:r>
    </w:p>
    <w:p w14:paraId="53354CF8">
      <w:pPr>
        <w:tabs>
          <w:tab w:val="left" w:pos="2520"/>
        </w:tabs>
        <w:spacing w:line="360" w:lineRule="auto"/>
        <w:jc w:val="center"/>
        <w:rPr>
          <w:rFonts w:hint="eastAsia" w:ascii="宋体" w:hAnsi="宋体" w:cs="宋体"/>
          <w:b/>
          <w:sz w:val="44"/>
          <w:szCs w:val="44"/>
          <w:lang w:val="en-US" w:eastAsia="zh-CN"/>
        </w:rPr>
      </w:pPr>
      <w:r>
        <w:rPr>
          <w:rFonts w:hint="eastAsia" w:ascii="宋体" w:hAnsi="宋体" w:cs="宋体"/>
          <w:b/>
          <w:sz w:val="44"/>
          <w:szCs w:val="44"/>
          <w:lang w:val="en-US" w:eastAsia="zh-CN"/>
        </w:rPr>
        <w:t>广西壮族自治区生殖医院</w:t>
      </w:r>
    </w:p>
    <w:p w14:paraId="0E3BF17D">
      <w:pPr>
        <w:keepNext w:val="0"/>
        <w:keepLines w:val="0"/>
        <w:pageBreakBefore w:val="0"/>
        <w:widowControl w:val="0"/>
        <w:tabs>
          <w:tab w:val="left" w:pos="2520"/>
        </w:tabs>
        <w:kinsoku/>
        <w:wordWrap/>
        <w:overflowPunct/>
        <w:topLinePunct w:val="0"/>
        <w:autoSpaceDE/>
        <w:autoSpaceDN/>
        <w:bidi w:val="0"/>
        <w:adjustRightInd/>
        <w:snapToGrid/>
        <w:spacing w:line="360" w:lineRule="auto"/>
        <w:jc w:val="center"/>
        <w:textAlignment w:val="auto"/>
        <w:rPr>
          <w:rFonts w:ascii="宋体" w:hAnsi="宋体" w:cs="宋体"/>
          <w:b/>
          <w:sz w:val="44"/>
          <w:szCs w:val="44"/>
        </w:rPr>
      </w:pPr>
      <w:r>
        <w:rPr>
          <w:rFonts w:hint="eastAsia" w:ascii="宋体" w:hAnsi="宋体" w:cs="宋体"/>
          <w:b/>
          <w:sz w:val="44"/>
          <w:szCs w:val="44"/>
          <w:lang w:val="en-US" w:eastAsia="zh-CN"/>
        </w:rPr>
        <w:t>采购项目</w:t>
      </w:r>
      <w:r>
        <w:rPr>
          <w:rFonts w:hint="eastAsia" w:ascii="宋体" w:hAnsi="宋体" w:cs="宋体"/>
          <w:b/>
          <w:sz w:val="44"/>
          <w:szCs w:val="44"/>
        </w:rPr>
        <w:t>报名表</w:t>
      </w:r>
    </w:p>
    <w:tbl>
      <w:tblPr>
        <w:tblStyle w:val="30"/>
        <w:tblW w:w="5000" w:type="pct"/>
        <w:jc w:val="center"/>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004"/>
      </w:tblGrid>
      <w:tr w14:paraId="03C84B69">
        <w:tblPrEx>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5000" w:type="pct"/>
            <w:vAlign w:val="center"/>
          </w:tcPr>
          <w:p w14:paraId="6AD37A66">
            <w:pPr>
              <w:pStyle w:val="5"/>
              <w:widowControl/>
              <w:spacing w:beforeAutospacing="0" w:afterAutospacing="0" w:line="360" w:lineRule="auto"/>
              <w:textAlignment w:val="baseline"/>
              <w:rPr>
                <w:rFonts w:hint="eastAsia" w:ascii="仿宋" w:hAnsi="仿宋" w:eastAsia="仿宋" w:cs="仿宋"/>
                <w:b w:val="0"/>
                <w:bCs w:val="0"/>
                <w:kern w:val="2"/>
                <w:sz w:val="28"/>
                <w:szCs w:val="28"/>
                <w:lang w:val="en-US" w:eastAsia="zh-CN" w:bidi="ar-SA"/>
              </w:rPr>
            </w:pPr>
            <w:bookmarkStart w:id="2" w:name="_Toc22895"/>
            <w:r>
              <w:rPr>
                <w:rFonts w:ascii="仿宋" w:hAnsi="仿宋" w:eastAsia="仿宋" w:cs="仿宋"/>
                <w:b w:val="0"/>
                <w:bCs w:val="0"/>
                <w:kern w:val="2"/>
                <w:sz w:val="28"/>
                <w:szCs w:val="28"/>
              </w:rPr>
              <w:t>项目名称</w:t>
            </w:r>
            <w:r>
              <w:rPr>
                <w:rFonts w:hint="eastAsia" w:ascii="仿宋" w:hAnsi="仿宋" w:eastAsia="仿宋" w:cs="仿宋"/>
                <w:b w:val="0"/>
                <w:bCs w:val="0"/>
                <w:kern w:val="2"/>
                <w:sz w:val="28"/>
                <w:szCs w:val="28"/>
                <w:lang w:val="en-US" w:eastAsia="zh-CN" w:bidi="ar-SA"/>
              </w:rPr>
              <w:t>：</w:t>
            </w:r>
            <w:bookmarkEnd w:id="2"/>
            <w:r>
              <w:rPr>
                <w:rFonts w:hint="eastAsia" w:ascii="仿宋" w:hAnsi="仿宋" w:eastAsia="仿宋" w:cs="仿宋"/>
                <w:b w:val="0"/>
                <w:bCs w:val="0"/>
                <w:kern w:val="2"/>
                <w:sz w:val="28"/>
                <w:szCs w:val="28"/>
                <w:lang w:val="en-US" w:eastAsia="zh-CN" w:bidi="ar-SA"/>
              </w:rPr>
              <w:t>检验科抗β2糖蛋白I抗体IgA非定值质控品等一批试剂</w:t>
            </w:r>
          </w:p>
          <w:p w14:paraId="3C5289AE">
            <w:pPr>
              <w:adjustRightInd w:val="0"/>
              <w:snapToGrid w:val="0"/>
              <w:spacing w:line="360" w:lineRule="auto"/>
              <w:jc w:val="left"/>
              <w:rPr>
                <w:rFonts w:hint="default"/>
                <w:sz w:val="28"/>
                <w:szCs w:val="28"/>
              </w:rPr>
            </w:pPr>
            <w:r>
              <w:rPr>
                <w:rFonts w:hint="eastAsia" w:ascii="仿宋" w:hAnsi="仿宋" w:eastAsia="仿宋" w:cs="仿宋"/>
                <w:sz w:val="28"/>
                <w:szCs w:val="28"/>
                <w:lang w:val="en-US" w:eastAsia="zh-CN"/>
              </w:rPr>
              <w:t>项目编号：</w:t>
            </w:r>
            <w:r>
              <w:rPr>
                <w:rFonts w:hint="eastAsia" w:ascii="仿宋" w:hAnsi="仿宋" w:eastAsia="仿宋" w:cs="仿宋"/>
                <w:sz w:val="28"/>
                <w:szCs w:val="28"/>
                <w:highlight w:val="none"/>
                <w:lang w:val="en-US" w:eastAsia="zh-CN"/>
              </w:rPr>
              <w:t>GXSZ2026-021-JYB</w:t>
            </w:r>
          </w:p>
        </w:tc>
      </w:tr>
      <w:tr w14:paraId="2791E3CF">
        <w:tblPrEx>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trHeight w:val="5608" w:hRule="atLeast"/>
          <w:jc w:val="center"/>
        </w:trPr>
        <w:tc>
          <w:tcPr>
            <w:tcW w:w="5000" w:type="pct"/>
            <w:vAlign w:val="center"/>
          </w:tcPr>
          <w:p w14:paraId="14DE68FF">
            <w:pPr>
              <w:spacing w:line="360" w:lineRule="auto"/>
              <w:ind w:firstLine="560" w:firstLineChars="200"/>
              <w:rPr>
                <w:rFonts w:hint="default"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本单位确认参加</w:t>
            </w:r>
            <w:r>
              <w:rPr>
                <w:rFonts w:hint="eastAsia" w:ascii="仿宋" w:hAnsi="仿宋" w:eastAsia="仿宋" w:cs="仿宋"/>
                <w:b w:val="0"/>
                <w:bCs w:val="0"/>
                <w:kern w:val="2"/>
                <w:sz w:val="28"/>
                <w:szCs w:val="28"/>
                <w:u w:val="single"/>
                <w:lang w:val="en-US" w:eastAsia="zh-CN" w:bidi="ar-SA"/>
              </w:rPr>
              <w:t>检验科抗β2糖蛋白I抗体IgA非定值质控品等一批试剂采购项目</w:t>
            </w:r>
            <w:r>
              <w:rPr>
                <w:rFonts w:hint="eastAsia" w:ascii="仿宋" w:hAnsi="仿宋" w:eastAsia="仿宋" w:cs="仿宋"/>
                <w:b w:val="0"/>
                <w:bCs w:val="0"/>
                <w:kern w:val="2"/>
                <w:sz w:val="28"/>
                <w:szCs w:val="28"/>
                <w:lang w:val="en-US" w:eastAsia="zh-CN" w:bidi="ar-SA"/>
              </w:rPr>
              <w:t>院内询价采购活动。</w:t>
            </w:r>
          </w:p>
          <w:p w14:paraId="7392FAA8">
            <w:pPr>
              <w:spacing w:line="360" w:lineRule="auto"/>
              <w:rPr>
                <w:rFonts w:hint="eastAsia" w:ascii="仿宋" w:hAnsi="仿宋" w:eastAsia="仿宋" w:cs="仿宋"/>
                <w:sz w:val="28"/>
                <w:szCs w:val="28"/>
              </w:rPr>
            </w:pPr>
          </w:p>
          <w:p w14:paraId="5229A42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sz w:val="28"/>
                <w:szCs w:val="28"/>
              </w:rPr>
            </w:pPr>
            <w:r>
              <w:rPr>
                <w:rFonts w:hint="eastAsia" w:ascii="仿宋" w:hAnsi="仿宋" w:eastAsia="仿宋" w:cs="仿宋"/>
                <w:sz w:val="28"/>
                <w:szCs w:val="28"/>
              </w:rPr>
              <w:t>联系人</w:t>
            </w:r>
            <w:r>
              <w:rPr>
                <w:rFonts w:hint="eastAsia" w:ascii="仿宋" w:hAnsi="仿宋" w:eastAsia="仿宋" w:cs="仿宋"/>
                <w:sz w:val="28"/>
                <w:szCs w:val="28"/>
                <w:lang w:val="en-US" w:eastAsia="zh-CN"/>
              </w:rPr>
              <w:t>姓名</w:t>
            </w:r>
            <w:r>
              <w:rPr>
                <w:rFonts w:hint="eastAsia" w:ascii="仿宋" w:hAnsi="仿宋" w:eastAsia="仿宋" w:cs="仿宋"/>
                <w:sz w:val="28"/>
                <w:szCs w:val="28"/>
              </w:rPr>
              <w:t>：</w:t>
            </w:r>
          </w:p>
          <w:p w14:paraId="64645C7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sz w:val="28"/>
                <w:szCs w:val="28"/>
                <w:lang w:val="en-US" w:eastAsia="zh-CN"/>
              </w:rPr>
            </w:pPr>
          </w:p>
          <w:p w14:paraId="5F71589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sz w:val="28"/>
                <w:szCs w:val="28"/>
              </w:rPr>
            </w:pPr>
            <w:r>
              <w:rPr>
                <w:rFonts w:hint="eastAsia" w:ascii="仿宋" w:hAnsi="仿宋" w:eastAsia="仿宋" w:cs="仿宋"/>
                <w:sz w:val="28"/>
                <w:szCs w:val="28"/>
              </w:rPr>
              <w:t>联系人</w:t>
            </w:r>
            <w:r>
              <w:rPr>
                <w:rFonts w:hint="eastAsia" w:ascii="仿宋" w:hAnsi="仿宋" w:eastAsia="仿宋" w:cs="仿宋"/>
                <w:sz w:val="28"/>
                <w:szCs w:val="28"/>
                <w:lang w:val="en-US" w:eastAsia="zh-CN"/>
              </w:rPr>
              <w:t>电话</w:t>
            </w:r>
            <w:r>
              <w:rPr>
                <w:rFonts w:hint="eastAsia" w:ascii="仿宋" w:hAnsi="仿宋" w:eastAsia="仿宋" w:cs="仿宋"/>
                <w:sz w:val="28"/>
                <w:szCs w:val="28"/>
              </w:rPr>
              <w:t>：</w:t>
            </w:r>
          </w:p>
          <w:p w14:paraId="3E7474C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b w:val="0"/>
                <w:bCs w:val="0"/>
                <w:kern w:val="2"/>
                <w:sz w:val="28"/>
                <w:szCs w:val="28"/>
                <w:lang w:val="en-US" w:eastAsia="zh-CN" w:bidi="ar-SA"/>
              </w:rPr>
            </w:pPr>
          </w:p>
          <w:p w14:paraId="539A655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sz w:val="28"/>
                <w:szCs w:val="28"/>
              </w:rPr>
            </w:pPr>
            <w:r>
              <w:rPr>
                <w:rFonts w:hint="eastAsia" w:ascii="仿宋" w:hAnsi="仿宋" w:eastAsia="仿宋" w:cs="仿宋"/>
                <w:b w:val="0"/>
                <w:bCs w:val="0"/>
                <w:kern w:val="2"/>
                <w:sz w:val="28"/>
                <w:szCs w:val="28"/>
                <w:lang w:val="en-US" w:eastAsia="zh-CN" w:bidi="ar-SA"/>
              </w:rPr>
              <w:t>电子邮箱：</w:t>
            </w:r>
          </w:p>
          <w:p w14:paraId="12659765">
            <w:pPr>
              <w:spacing w:line="360" w:lineRule="auto"/>
              <w:rPr>
                <w:rFonts w:hint="eastAsia" w:ascii="仿宋" w:hAnsi="仿宋" w:eastAsia="仿宋" w:cs="仿宋"/>
                <w:b w:val="0"/>
                <w:bCs w:val="0"/>
                <w:kern w:val="2"/>
                <w:sz w:val="28"/>
                <w:szCs w:val="28"/>
                <w:lang w:val="en-US" w:eastAsia="zh-CN" w:bidi="ar-SA"/>
              </w:rPr>
            </w:pPr>
          </w:p>
          <w:p w14:paraId="6AC17DEA">
            <w:pPr>
              <w:spacing w:line="360" w:lineRule="auto"/>
              <w:rPr>
                <w:rFonts w:hint="eastAsia" w:ascii="仿宋" w:hAnsi="仿宋" w:eastAsia="仿宋" w:cs="仿宋"/>
                <w:sz w:val="28"/>
                <w:szCs w:val="28"/>
                <w:lang w:val="en-US" w:eastAsia="zh-CN"/>
              </w:rPr>
            </w:pPr>
            <w:r>
              <w:rPr>
                <w:rFonts w:hint="eastAsia" w:ascii="仿宋" w:hAnsi="仿宋" w:eastAsia="仿宋" w:cs="仿宋"/>
                <w:b w:val="0"/>
                <w:bCs w:val="0"/>
                <w:kern w:val="2"/>
                <w:sz w:val="28"/>
                <w:szCs w:val="28"/>
                <w:lang w:val="en-US" w:eastAsia="zh-CN" w:bidi="ar-SA"/>
              </w:rPr>
              <w:t>联系地址：</w:t>
            </w:r>
            <w:r>
              <w:rPr>
                <w:rFonts w:hint="eastAsia" w:ascii="仿宋" w:hAnsi="仿宋" w:eastAsia="仿宋" w:cs="仿宋"/>
                <w:sz w:val="28"/>
                <w:szCs w:val="28"/>
                <w:lang w:val="en-US" w:eastAsia="zh-CN"/>
              </w:rPr>
              <w:t xml:space="preserve">  </w:t>
            </w:r>
          </w:p>
          <w:p w14:paraId="349D84F1">
            <w:pPr>
              <w:spacing w:line="360" w:lineRule="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 xml:space="preserve">            </w:t>
            </w:r>
          </w:p>
        </w:tc>
      </w:tr>
      <w:tr w14:paraId="47FD8C07">
        <w:tblPrEx>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trHeight w:val="3469" w:hRule="atLeast"/>
          <w:jc w:val="center"/>
        </w:trPr>
        <w:tc>
          <w:tcPr>
            <w:tcW w:w="5000" w:type="pct"/>
            <w:vAlign w:val="center"/>
          </w:tcPr>
          <w:p w14:paraId="37B5D6B9">
            <w:pPr>
              <w:spacing w:line="360" w:lineRule="auto"/>
              <w:rPr>
                <w:rFonts w:hint="eastAsia" w:ascii="仿宋" w:hAnsi="仿宋" w:eastAsia="仿宋" w:cs="仿宋"/>
                <w:b w:val="0"/>
                <w:bCs w:val="0"/>
                <w:kern w:val="2"/>
                <w:sz w:val="28"/>
                <w:szCs w:val="28"/>
                <w:lang w:val="en-US" w:eastAsia="zh-CN" w:bidi="ar-SA"/>
              </w:rPr>
            </w:pPr>
          </w:p>
          <w:p w14:paraId="039BBDA5">
            <w:pPr>
              <w:spacing w:line="360" w:lineRule="auto"/>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法定代表人（签字）：</w:t>
            </w:r>
          </w:p>
          <w:p w14:paraId="46B44673">
            <w:pPr>
              <w:spacing w:line="360" w:lineRule="auto"/>
              <w:ind w:left="6440" w:hanging="6440" w:hangingChars="2300"/>
              <w:rPr>
                <w:rFonts w:hint="eastAsia" w:ascii="仿宋" w:hAnsi="仿宋" w:eastAsia="仿宋" w:cs="仿宋"/>
                <w:b w:val="0"/>
                <w:bCs w:val="0"/>
                <w:kern w:val="2"/>
                <w:sz w:val="28"/>
                <w:szCs w:val="28"/>
                <w:lang w:val="en-US" w:eastAsia="zh-CN" w:bidi="ar-SA"/>
              </w:rPr>
            </w:pPr>
          </w:p>
          <w:p w14:paraId="61A66584">
            <w:pPr>
              <w:spacing w:line="360" w:lineRule="auto"/>
              <w:ind w:left="6440" w:hanging="6440" w:hangingChars="2300"/>
              <w:rPr>
                <w:rFonts w:hint="eastAsia" w:ascii="仿宋" w:hAnsi="仿宋" w:eastAsia="仿宋" w:cs="仿宋"/>
                <w:sz w:val="28"/>
                <w:szCs w:val="28"/>
                <w:lang w:val="en-US" w:eastAsia="zh-CN"/>
              </w:rPr>
            </w:pPr>
            <w:r>
              <w:rPr>
                <w:rFonts w:hint="eastAsia" w:ascii="仿宋" w:hAnsi="仿宋" w:eastAsia="仿宋" w:cs="仿宋"/>
                <w:b w:val="0"/>
                <w:bCs w:val="0"/>
                <w:kern w:val="2"/>
                <w:sz w:val="28"/>
                <w:szCs w:val="28"/>
                <w:lang w:val="en-US" w:eastAsia="zh-CN" w:bidi="ar-SA"/>
              </w:rPr>
              <w:t>供应商单位名称（盖公章）：</w:t>
            </w:r>
          </w:p>
          <w:p w14:paraId="41FEB404">
            <w:pPr>
              <w:spacing w:line="360" w:lineRule="auto"/>
              <w:rPr>
                <w:rFonts w:hint="eastAsia" w:ascii="仿宋" w:hAnsi="仿宋" w:eastAsia="仿宋" w:cs="仿宋"/>
                <w:sz w:val="28"/>
                <w:szCs w:val="28"/>
                <w:lang w:val="en-US" w:eastAsia="zh-CN"/>
              </w:rPr>
            </w:pPr>
          </w:p>
          <w:p w14:paraId="19068098">
            <w:pPr>
              <w:spacing w:line="360" w:lineRule="auto"/>
              <w:jc w:val="right"/>
              <w:rPr>
                <w:rFonts w:ascii="仿宋" w:hAnsi="仿宋" w:eastAsia="仿宋" w:cs="仿宋"/>
                <w:sz w:val="28"/>
                <w:szCs w:val="28"/>
              </w:rPr>
            </w:pPr>
            <w:r>
              <w:rPr>
                <w:rFonts w:hint="eastAsia" w:ascii="仿宋" w:hAnsi="仿宋" w:eastAsia="仿宋" w:cs="仿宋"/>
                <w:sz w:val="28"/>
                <w:szCs w:val="28"/>
                <w:lang w:val="en-US" w:eastAsia="zh-CN"/>
              </w:rPr>
              <w:t>报名</w:t>
            </w:r>
            <w:r>
              <w:rPr>
                <w:rFonts w:hint="eastAsia" w:ascii="仿宋" w:hAnsi="仿宋" w:eastAsia="仿宋" w:cs="仿宋"/>
                <w:sz w:val="28"/>
                <w:szCs w:val="28"/>
              </w:rPr>
              <w:t>日期</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月    </w:t>
            </w:r>
            <w:r>
              <w:rPr>
                <w:rFonts w:hint="eastAsia" w:ascii="仿宋" w:hAnsi="仿宋" w:eastAsia="仿宋" w:cs="仿宋"/>
                <w:sz w:val="28"/>
                <w:szCs w:val="28"/>
              </w:rPr>
              <w:t>日</w:t>
            </w:r>
          </w:p>
        </w:tc>
      </w:tr>
    </w:tbl>
    <w:p w14:paraId="513B76A1">
      <w:pPr>
        <w:tabs>
          <w:tab w:val="left" w:pos="1879"/>
        </w:tabs>
        <w:bidi w:val="0"/>
        <w:jc w:val="left"/>
        <w:rPr>
          <w:rFonts w:hint="eastAsia"/>
          <w:lang w:val="en-US" w:eastAsia="zh-CN"/>
        </w:rPr>
        <w:sectPr>
          <w:footerReference r:id="rId5" w:type="default"/>
          <w:pgSz w:w="11906" w:h="16838"/>
          <w:pgMar w:top="1701" w:right="1417" w:bottom="1417" w:left="1701" w:header="851" w:footer="992" w:gutter="0"/>
          <w:pgNumType w:fmt="decimal"/>
          <w:cols w:space="425" w:num="1"/>
          <w:docGrid w:type="lines" w:linePitch="312" w:charSpace="0"/>
        </w:sectPr>
      </w:pPr>
      <w:bookmarkStart w:id="3" w:name="_Toc30074"/>
    </w:p>
    <w:p w14:paraId="3E47B887">
      <w:pPr>
        <w:pStyle w:val="3"/>
        <w:keepNext/>
        <w:keepLines/>
        <w:pageBreakBefore/>
        <w:widowControl w:val="0"/>
        <w:numPr>
          <w:ilvl w:val="0"/>
          <w:numId w:val="0"/>
        </w:numPr>
        <w:kinsoku/>
        <w:wordWrap/>
        <w:overflowPunct/>
        <w:topLinePunct w:val="0"/>
        <w:autoSpaceDE/>
        <w:autoSpaceDN/>
        <w:bidi w:val="0"/>
        <w:adjustRightInd/>
        <w:snapToGrid/>
        <w:spacing w:line="360" w:lineRule="auto"/>
        <w:ind w:leftChars="0"/>
        <w:jc w:val="center"/>
        <w:textAlignment w:val="auto"/>
        <w:outlineLvl w:val="0"/>
        <w:rPr>
          <w:rFonts w:hint="eastAsia" w:eastAsia="宋体"/>
          <w:sz w:val="36"/>
          <w:szCs w:val="36"/>
          <w:lang w:val="en-US" w:eastAsia="zh-CN"/>
        </w:rPr>
      </w:pPr>
      <w:r>
        <w:rPr>
          <w:rFonts w:hint="eastAsia"/>
          <w:sz w:val="36"/>
          <w:szCs w:val="36"/>
          <w:lang w:val="en-US" w:eastAsia="zh-CN"/>
        </w:rPr>
        <w:t>第二</w:t>
      </w:r>
      <w:r>
        <w:rPr>
          <w:rFonts w:hint="eastAsia" w:eastAsia="宋体"/>
          <w:sz w:val="36"/>
          <w:szCs w:val="36"/>
          <w:lang w:val="en-US" w:eastAsia="zh-CN"/>
        </w:rPr>
        <w:t xml:space="preserve">章 </w:t>
      </w:r>
      <w:r>
        <w:rPr>
          <w:rFonts w:hint="eastAsia"/>
          <w:sz w:val="36"/>
          <w:szCs w:val="36"/>
          <w:lang w:val="en-US" w:eastAsia="zh-CN"/>
        </w:rPr>
        <w:t>项目</w:t>
      </w:r>
      <w:r>
        <w:rPr>
          <w:rFonts w:hint="eastAsia" w:eastAsia="宋体"/>
          <w:sz w:val="36"/>
          <w:szCs w:val="36"/>
          <w:lang w:val="en-US" w:eastAsia="zh-CN"/>
        </w:rPr>
        <w:t>需求</w:t>
      </w:r>
      <w:bookmarkEnd w:id="3"/>
    </w:p>
    <w:p w14:paraId="030785B8">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一、项目概况</w:t>
      </w:r>
    </w:p>
    <w:p w14:paraId="2B2DF014">
      <w:pPr>
        <w:pStyle w:val="2"/>
        <w:spacing w:line="360" w:lineRule="auto"/>
        <w:ind w:firstLine="420" w:firstLineChars="200"/>
        <w:jc w:val="both"/>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项目名称：广西壮族自治区生殖医院抗β2糖蛋白I抗体IgA非定值质控品等一批试剂采购项目</w:t>
      </w:r>
    </w:p>
    <w:p w14:paraId="4E3EA16D">
      <w:pPr>
        <w:pStyle w:val="2"/>
        <w:spacing w:line="360" w:lineRule="auto"/>
        <w:ind w:firstLine="422" w:firstLineChars="200"/>
        <w:jc w:val="both"/>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b/>
          <w:bCs/>
          <w:sz w:val="21"/>
          <w:szCs w:val="21"/>
          <w:lang w:val="en-US" w:eastAsia="zh-CN"/>
        </w:rPr>
        <w:t>二、采购项目预（概）算</w:t>
      </w:r>
    </w:p>
    <w:p w14:paraId="7391ACDC">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宋体" w:hAnsi="宋体" w:cs="宋体"/>
          <w:b w:val="0"/>
          <w:bCs/>
          <w:sz w:val="21"/>
          <w:szCs w:val="21"/>
          <w:highlight w:val="none"/>
          <w:lang w:val="en-US" w:eastAsia="zh-CN"/>
        </w:rPr>
      </w:pPr>
      <w:r>
        <w:rPr>
          <w:rFonts w:hint="eastAsia" w:ascii="宋体" w:hAnsi="宋体" w:cs="宋体"/>
          <w:b w:val="0"/>
          <w:bCs/>
          <w:sz w:val="21"/>
          <w:szCs w:val="21"/>
          <w:highlight w:val="none"/>
          <w:lang w:val="en-US" w:eastAsia="zh-CN"/>
        </w:rPr>
        <w:t xml:space="preserve">预算金额：人民币（大写）贰万伍仟陆佰伍拾元整 （￥25650.00）  </w:t>
      </w:r>
    </w:p>
    <w:p w14:paraId="41C9A581">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宋体" w:hAnsi="宋体" w:cs="宋体"/>
          <w:b w:val="0"/>
          <w:bCs/>
          <w:sz w:val="21"/>
          <w:szCs w:val="21"/>
          <w:highlight w:val="none"/>
          <w:lang w:val="en-US" w:eastAsia="zh-CN"/>
        </w:rPr>
      </w:pPr>
      <w:r>
        <w:rPr>
          <w:rFonts w:hint="eastAsia" w:ascii="宋体" w:hAnsi="宋体" w:cs="宋体"/>
          <w:b w:val="0"/>
          <w:bCs/>
          <w:sz w:val="21"/>
          <w:szCs w:val="21"/>
          <w:highlight w:val="none"/>
          <w:lang w:val="en-US" w:eastAsia="zh-CN"/>
        </w:rPr>
        <w:t>最高限价：人民币（大写）贰万伍仟叁佰捌拾元整 （￥25380.00）</w:t>
      </w:r>
    </w:p>
    <w:p w14:paraId="76BB4AA8">
      <w:pPr>
        <w:keepNext w:val="0"/>
        <w:keepLines w:val="0"/>
        <w:pageBreakBefore w:val="0"/>
        <w:widowControl/>
        <w:suppressLineNumbers w:val="0"/>
        <w:kinsoku/>
        <w:wordWrap/>
        <w:overflowPunct/>
        <w:topLinePunct w:val="0"/>
        <w:autoSpaceDE/>
        <w:autoSpaceDN/>
        <w:bidi w:val="0"/>
        <w:adjustRightInd/>
        <w:snapToGrid/>
        <w:spacing w:line="360" w:lineRule="auto"/>
        <w:ind w:firstLine="422" w:firstLineChars="200"/>
        <w:jc w:val="left"/>
        <w:textAlignment w:val="center"/>
        <w:rPr>
          <w:rFonts w:hint="eastAsia"/>
          <w:lang w:val="en-US" w:eastAsia="zh-CN"/>
        </w:rPr>
      </w:pPr>
      <w:r>
        <w:rPr>
          <w:rFonts w:hint="eastAsia" w:ascii="宋体" w:hAnsi="宋体" w:cs="宋体"/>
          <w:b/>
          <w:sz w:val="21"/>
          <w:szCs w:val="21"/>
          <w:highlight w:val="none"/>
          <w:lang w:val="en-US" w:eastAsia="zh-CN"/>
        </w:rPr>
        <w:t>三</w:t>
      </w:r>
      <w:r>
        <w:rPr>
          <w:rFonts w:hint="eastAsia" w:ascii="宋体" w:hAnsi="宋体" w:eastAsia="宋体" w:cs="宋体"/>
          <w:b/>
          <w:sz w:val="21"/>
          <w:szCs w:val="21"/>
          <w:highlight w:val="none"/>
          <w:lang w:val="en-US" w:eastAsia="zh-CN"/>
        </w:rPr>
        <w:t>、项目需求</w:t>
      </w:r>
    </w:p>
    <w:tbl>
      <w:tblPr>
        <w:tblStyle w:val="31"/>
        <w:tblpPr w:leftFromText="180" w:rightFromText="180" w:vertAnchor="text" w:horzAnchor="page" w:tblpX="1700" w:tblpY="447"/>
        <w:tblOverlap w:val="never"/>
        <w:tblW w:w="86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0"/>
        <w:gridCol w:w="2016"/>
        <w:gridCol w:w="1534"/>
        <w:gridCol w:w="780"/>
        <w:gridCol w:w="735"/>
        <w:gridCol w:w="1410"/>
        <w:gridCol w:w="1710"/>
      </w:tblGrid>
      <w:tr w14:paraId="38F64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430" w:type="dxa"/>
            <w:shd w:val="clear" w:color="auto" w:fill="auto"/>
            <w:vAlign w:val="center"/>
          </w:tcPr>
          <w:p w14:paraId="6B2F16FB">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序号</w:t>
            </w:r>
          </w:p>
        </w:tc>
        <w:tc>
          <w:tcPr>
            <w:tcW w:w="2016" w:type="dxa"/>
            <w:shd w:val="clear" w:color="auto" w:fill="auto"/>
            <w:vAlign w:val="center"/>
          </w:tcPr>
          <w:p w14:paraId="7BA3A12C">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标的名称</w:t>
            </w:r>
          </w:p>
        </w:tc>
        <w:tc>
          <w:tcPr>
            <w:tcW w:w="1534" w:type="dxa"/>
            <w:shd w:val="clear" w:color="auto" w:fill="auto"/>
            <w:vAlign w:val="center"/>
          </w:tcPr>
          <w:p w14:paraId="7343BE09">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规格</w:t>
            </w:r>
          </w:p>
        </w:tc>
        <w:tc>
          <w:tcPr>
            <w:tcW w:w="780" w:type="dxa"/>
            <w:shd w:val="clear" w:color="auto" w:fill="auto"/>
            <w:vAlign w:val="center"/>
          </w:tcPr>
          <w:p w14:paraId="127873A8">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计量单位</w:t>
            </w:r>
          </w:p>
        </w:tc>
        <w:tc>
          <w:tcPr>
            <w:tcW w:w="735" w:type="dxa"/>
            <w:shd w:val="clear" w:color="auto" w:fill="auto"/>
            <w:vAlign w:val="center"/>
          </w:tcPr>
          <w:p w14:paraId="04C0406B">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数量</w:t>
            </w:r>
          </w:p>
        </w:tc>
        <w:tc>
          <w:tcPr>
            <w:tcW w:w="1410" w:type="dxa"/>
            <w:shd w:val="clear" w:color="auto" w:fill="auto"/>
            <w:vAlign w:val="center"/>
          </w:tcPr>
          <w:p w14:paraId="008D8F6E">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b/>
                <w:bCs/>
                <w:kern w:val="0"/>
                <w:sz w:val="21"/>
                <w:szCs w:val="21"/>
                <w:lang w:val="en-US" w:eastAsia="zh-CN" w:bidi="ar"/>
              </w:rPr>
            </w:pPr>
            <w:r>
              <w:rPr>
                <w:rFonts w:hint="eastAsia" w:ascii="宋体" w:hAnsi="宋体" w:eastAsia="宋体" w:cs="宋体"/>
                <w:b/>
                <w:bCs/>
                <w:kern w:val="0"/>
                <w:sz w:val="21"/>
                <w:szCs w:val="21"/>
                <w:lang w:val="en-US" w:eastAsia="zh-CN" w:bidi="ar"/>
              </w:rPr>
              <w:t>上控单价（元）</w:t>
            </w:r>
          </w:p>
        </w:tc>
        <w:tc>
          <w:tcPr>
            <w:tcW w:w="1710" w:type="dxa"/>
            <w:shd w:val="clear" w:color="auto" w:fill="auto"/>
            <w:vAlign w:val="center"/>
          </w:tcPr>
          <w:p w14:paraId="0ECAF885">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cs="宋体"/>
                <w:b/>
                <w:bCs/>
                <w:kern w:val="0"/>
                <w:sz w:val="21"/>
                <w:szCs w:val="21"/>
                <w:lang w:val="en-US" w:eastAsia="zh-CN" w:bidi="ar"/>
              </w:rPr>
            </w:pPr>
            <w:r>
              <w:rPr>
                <w:rFonts w:hint="eastAsia" w:ascii="宋体" w:hAnsi="宋体" w:cs="宋体"/>
                <w:b/>
                <w:bCs/>
                <w:kern w:val="0"/>
                <w:sz w:val="21"/>
                <w:szCs w:val="21"/>
                <w:lang w:val="en-US" w:eastAsia="zh-CN" w:bidi="ar"/>
              </w:rPr>
              <w:t>上控价</w:t>
            </w:r>
            <w:r>
              <w:rPr>
                <w:rFonts w:hint="eastAsia" w:ascii="宋体" w:hAnsi="宋体" w:eastAsia="宋体" w:cs="宋体"/>
                <w:b/>
                <w:bCs/>
                <w:kern w:val="0"/>
                <w:sz w:val="21"/>
                <w:szCs w:val="21"/>
                <w:lang w:val="en-US" w:eastAsia="zh-CN" w:bidi="ar"/>
              </w:rPr>
              <w:t>合计</w:t>
            </w:r>
            <w:r>
              <w:rPr>
                <w:rFonts w:hint="eastAsia" w:ascii="宋体" w:hAnsi="宋体" w:cs="宋体"/>
                <w:b/>
                <w:bCs/>
                <w:kern w:val="0"/>
                <w:sz w:val="21"/>
                <w:szCs w:val="21"/>
                <w:lang w:val="en-US" w:eastAsia="zh-CN" w:bidi="ar"/>
              </w:rPr>
              <w:t>（元）</w:t>
            </w:r>
          </w:p>
        </w:tc>
      </w:tr>
      <w:tr w14:paraId="1BD68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430" w:type="dxa"/>
            <w:shd w:val="clear" w:color="auto" w:fill="auto"/>
            <w:vAlign w:val="center"/>
          </w:tcPr>
          <w:p w14:paraId="559AE2B0">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kern w:val="2"/>
                <w:sz w:val="21"/>
                <w:szCs w:val="21"/>
                <w:lang w:val="en-US" w:eastAsia="zh-CN" w:bidi="ar-SA"/>
              </w:rPr>
            </w:pPr>
            <w:r>
              <w:rPr>
                <w:rFonts w:hint="eastAsia" w:ascii="宋体" w:hAnsi="宋体" w:eastAsia="宋体" w:cs="宋体"/>
                <w:kern w:val="0"/>
                <w:sz w:val="21"/>
                <w:szCs w:val="21"/>
                <w:lang w:val="en-US" w:eastAsia="zh-CN" w:bidi="ar"/>
              </w:rPr>
              <w:t>1</w:t>
            </w:r>
          </w:p>
        </w:tc>
        <w:tc>
          <w:tcPr>
            <w:tcW w:w="2016" w:type="dxa"/>
            <w:shd w:val="clear" w:color="auto" w:fill="auto"/>
            <w:vAlign w:val="center"/>
          </w:tcPr>
          <w:p w14:paraId="27023006">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kern w:val="2"/>
                <w:sz w:val="21"/>
                <w:szCs w:val="21"/>
                <w:lang w:val="en-US" w:eastAsia="zh-CN" w:bidi="ar-SA"/>
              </w:rPr>
            </w:pPr>
            <w:r>
              <w:rPr>
                <w:rStyle w:val="49"/>
                <w:rFonts w:hint="eastAsia"/>
                <w:color w:val="auto"/>
                <w:sz w:val="21"/>
                <w:szCs w:val="21"/>
                <w:lang w:val="en-US" w:eastAsia="zh-CN" w:bidi="ar"/>
              </w:rPr>
              <w:t>抗β2糖蛋白I抗体IgA非定值质控品</w:t>
            </w:r>
          </w:p>
        </w:tc>
        <w:tc>
          <w:tcPr>
            <w:tcW w:w="1534" w:type="dxa"/>
            <w:shd w:val="clear" w:color="auto" w:fill="auto"/>
            <w:vAlign w:val="center"/>
          </w:tcPr>
          <w:p w14:paraId="0CCB2515">
            <w:pPr>
              <w:keepNext w:val="0"/>
              <w:keepLines w:val="0"/>
              <w:pageBreakBefore w:val="0"/>
              <w:widowControl/>
              <w:suppressLineNumbers w:val="0"/>
              <w:kinsoku/>
              <w:wordWrap/>
              <w:overflowPunct/>
              <w:topLinePunct w:val="0"/>
              <w:autoSpaceDE/>
              <w:autoSpaceDN/>
              <w:bidi w:val="0"/>
              <w:adjustRightInd/>
              <w:snapToGrid/>
              <w:spacing w:line="360" w:lineRule="auto"/>
              <w:jc w:val="both"/>
              <w:rPr>
                <w:rFonts w:hint="default" w:ascii="宋体" w:hAnsi="宋体" w:eastAsia="宋体" w:cs="宋体"/>
                <w:kern w:val="2"/>
                <w:sz w:val="21"/>
                <w:szCs w:val="21"/>
                <w:lang w:val="en-US" w:eastAsia="zh-CN" w:bidi="ar-SA"/>
              </w:rPr>
            </w:pPr>
            <w:r>
              <w:rPr>
                <w:rStyle w:val="49"/>
                <w:rFonts w:hint="eastAsia"/>
                <w:color w:val="auto"/>
                <w:sz w:val="21"/>
                <w:szCs w:val="21"/>
                <w:lang w:val="en-US" w:eastAsia="zh-CN" w:bidi="ar"/>
              </w:rPr>
              <w:t>阳性：2×1mL，</w:t>
            </w:r>
            <w:r>
              <w:rPr>
                <w:rStyle w:val="49"/>
                <w:rFonts w:hint="eastAsia"/>
                <w:color w:val="auto"/>
                <w:sz w:val="21"/>
                <w:szCs w:val="21"/>
                <w:lang w:val="en-US" w:eastAsia="zh-CN" w:bidi="ar"/>
              </w:rPr>
              <w:br w:type="textWrapping"/>
            </w:r>
            <w:r>
              <w:rPr>
                <w:rStyle w:val="49"/>
                <w:rFonts w:hint="eastAsia"/>
                <w:color w:val="auto"/>
                <w:sz w:val="21"/>
                <w:szCs w:val="21"/>
                <w:lang w:val="en-US" w:eastAsia="zh-CN" w:bidi="ar"/>
              </w:rPr>
              <w:t>阴性：2×1mL</w:t>
            </w:r>
          </w:p>
        </w:tc>
        <w:tc>
          <w:tcPr>
            <w:tcW w:w="780" w:type="dxa"/>
            <w:shd w:val="clear" w:color="auto" w:fill="auto"/>
            <w:vAlign w:val="center"/>
          </w:tcPr>
          <w:p w14:paraId="665572B9">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盒</w:t>
            </w:r>
          </w:p>
        </w:tc>
        <w:tc>
          <w:tcPr>
            <w:tcW w:w="735" w:type="dxa"/>
            <w:shd w:val="clear" w:color="auto" w:fill="auto"/>
            <w:vAlign w:val="center"/>
          </w:tcPr>
          <w:p w14:paraId="1C535547">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9</w:t>
            </w:r>
          </w:p>
        </w:tc>
        <w:tc>
          <w:tcPr>
            <w:tcW w:w="1410" w:type="dxa"/>
            <w:vAlign w:val="center"/>
          </w:tcPr>
          <w:p w14:paraId="40D06E4E">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kern w:val="0"/>
                <w:sz w:val="21"/>
                <w:szCs w:val="21"/>
                <w:lang w:val="en-US" w:eastAsia="zh-CN" w:bidi="ar"/>
              </w:rPr>
            </w:pPr>
            <w:r>
              <w:rPr>
                <w:rStyle w:val="49"/>
                <w:rFonts w:hint="eastAsia"/>
                <w:color w:val="auto"/>
                <w:sz w:val="21"/>
                <w:szCs w:val="21"/>
                <w:lang w:val="en-US" w:eastAsia="zh-CN" w:bidi="ar"/>
              </w:rPr>
              <w:t>940</w:t>
            </w:r>
          </w:p>
        </w:tc>
        <w:tc>
          <w:tcPr>
            <w:tcW w:w="1710" w:type="dxa"/>
            <w:vAlign w:val="center"/>
          </w:tcPr>
          <w:p w14:paraId="45EF04EC">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kern w:val="0"/>
                <w:sz w:val="21"/>
                <w:szCs w:val="21"/>
                <w:lang w:val="en-US" w:eastAsia="zh-CN" w:bidi="ar"/>
              </w:rPr>
            </w:pPr>
            <w:r>
              <w:rPr>
                <w:rStyle w:val="49"/>
                <w:rFonts w:hint="eastAsia"/>
                <w:color w:val="auto"/>
                <w:sz w:val="21"/>
                <w:szCs w:val="21"/>
                <w:lang w:val="en-US" w:eastAsia="zh-CN" w:bidi="ar"/>
              </w:rPr>
              <w:t>8460</w:t>
            </w:r>
          </w:p>
        </w:tc>
      </w:tr>
      <w:tr w14:paraId="44596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430" w:type="dxa"/>
            <w:shd w:val="clear" w:color="auto" w:fill="auto"/>
            <w:vAlign w:val="center"/>
          </w:tcPr>
          <w:p w14:paraId="76EF9547">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default"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2</w:t>
            </w:r>
          </w:p>
        </w:tc>
        <w:tc>
          <w:tcPr>
            <w:tcW w:w="2016" w:type="dxa"/>
            <w:shd w:val="clear" w:color="auto" w:fill="auto"/>
            <w:vAlign w:val="center"/>
          </w:tcPr>
          <w:p w14:paraId="22B57743">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kern w:val="2"/>
                <w:sz w:val="21"/>
                <w:szCs w:val="21"/>
                <w:lang w:val="en-US" w:eastAsia="zh-CN" w:bidi="ar-SA"/>
              </w:rPr>
            </w:pPr>
            <w:r>
              <w:rPr>
                <w:rStyle w:val="49"/>
                <w:rFonts w:hint="eastAsia"/>
                <w:color w:val="auto"/>
                <w:sz w:val="21"/>
                <w:szCs w:val="21"/>
                <w:lang w:val="en-US" w:eastAsia="zh-CN" w:bidi="ar"/>
              </w:rPr>
              <w:t>抗β2糖蛋白I抗体IgM非定值质控品</w:t>
            </w:r>
          </w:p>
        </w:tc>
        <w:tc>
          <w:tcPr>
            <w:tcW w:w="1534" w:type="dxa"/>
            <w:shd w:val="clear" w:color="auto" w:fill="auto"/>
            <w:vAlign w:val="center"/>
          </w:tcPr>
          <w:p w14:paraId="2EF243D1">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default" w:ascii="宋体" w:hAnsi="宋体" w:eastAsia="宋体" w:cs="宋体"/>
                <w:kern w:val="2"/>
                <w:sz w:val="21"/>
                <w:szCs w:val="21"/>
                <w:lang w:val="en-US" w:eastAsia="zh-CN" w:bidi="ar-SA"/>
              </w:rPr>
            </w:pPr>
            <w:r>
              <w:rPr>
                <w:rStyle w:val="49"/>
                <w:rFonts w:hint="eastAsia"/>
                <w:color w:val="auto"/>
                <w:sz w:val="21"/>
                <w:szCs w:val="21"/>
                <w:lang w:val="en-US" w:eastAsia="zh-CN" w:bidi="ar"/>
              </w:rPr>
              <w:t>阳性：2×1mL，</w:t>
            </w:r>
            <w:r>
              <w:rPr>
                <w:rStyle w:val="49"/>
                <w:rFonts w:hint="eastAsia"/>
                <w:color w:val="auto"/>
                <w:sz w:val="21"/>
                <w:szCs w:val="21"/>
                <w:lang w:val="en-US" w:eastAsia="zh-CN" w:bidi="ar"/>
              </w:rPr>
              <w:br w:type="textWrapping"/>
            </w:r>
            <w:r>
              <w:rPr>
                <w:rStyle w:val="49"/>
                <w:rFonts w:hint="eastAsia"/>
                <w:color w:val="auto"/>
                <w:sz w:val="21"/>
                <w:szCs w:val="21"/>
                <w:lang w:val="en-US" w:eastAsia="zh-CN" w:bidi="ar"/>
              </w:rPr>
              <w:t>阴性：2×1mL</w:t>
            </w:r>
          </w:p>
        </w:tc>
        <w:tc>
          <w:tcPr>
            <w:tcW w:w="780" w:type="dxa"/>
            <w:shd w:val="clear" w:color="auto" w:fill="auto"/>
            <w:vAlign w:val="center"/>
          </w:tcPr>
          <w:p w14:paraId="6A447CB6">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盒</w:t>
            </w:r>
          </w:p>
        </w:tc>
        <w:tc>
          <w:tcPr>
            <w:tcW w:w="735" w:type="dxa"/>
            <w:shd w:val="clear" w:color="auto" w:fill="auto"/>
            <w:vAlign w:val="center"/>
          </w:tcPr>
          <w:p w14:paraId="6A7D4153">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9</w:t>
            </w:r>
          </w:p>
        </w:tc>
        <w:tc>
          <w:tcPr>
            <w:tcW w:w="1410" w:type="dxa"/>
            <w:vAlign w:val="center"/>
          </w:tcPr>
          <w:p w14:paraId="67167112">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default"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940</w:t>
            </w:r>
          </w:p>
        </w:tc>
        <w:tc>
          <w:tcPr>
            <w:tcW w:w="1710" w:type="dxa"/>
            <w:vAlign w:val="center"/>
          </w:tcPr>
          <w:p w14:paraId="56A4448F">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kern w:val="0"/>
                <w:sz w:val="21"/>
                <w:szCs w:val="21"/>
                <w:lang w:val="en-US" w:eastAsia="zh-CN" w:bidi="ar"/>
              </w:rPr>
            </w:pPr>
            <w:r>
              <w:rPr>
                <w:rStyle w:val="49"/>
                <w:rFonts w:hint="eastAsia"/>
                <w:color w:val="auto"/>
                <w:sz w:val="21"/>
                <w:szCs w:val="21"/>
                <w:lang w:val="en-US" w:eastAsia="zh-CN" w:bidi="ar"/>
              </w:rPr>
              <w:t>8460</w:t>
            </w:r>
          </w:p>
        </w:tc>
      </w:tr>
      <w:tr w14:paraId="28717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430" w:type="dxa"/>
            <w:shd w:val="clear" w:color="auto" w:fill="auto"/>
            <w:vAlign w:val="center"/>
          </w:tcPr>
          <w:p w14:paraId="2D1EBAFF">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default" w:ascii="宋体" w:hAnsi="宋体" w:cs="宋体"/>
                <w:kern w:val="0"/>
                <w:sz w:val="21"/>
                <w:szCs w:val="21"/>
                <w:lang w:val="en-US" w:eastAsia="zh-CN" w:bidi="ar"/>
              </w:rPr>
            </w:pPr>
            <w:r>
              <w:rPr>
                <w:rFonts w:hint="eastAsia" w:ascii="宋体" w:hAnsi="宋体" w:cs="宋体"/>
                <w:kern w:val="0"/>
                <w:sz w:val="21"/>
                <w:szCs w:val="21"/>
                <w:lang w:val="en-US" w:eastAsia="zh-CN" w:bidi="ar"/>
              </w:rPr>
              <w:t>3</w:t>
            </w:r>
          </w:p>
        </w:tc>
        <w:tc>
          <w:tcPr>
            <w:tcW w:w="2016" w:type="dxa"/>
            <w:shd w:val="clear" w:color="auto" w:fill="auto"/>
            <w:vAlign w:val="center"/>
          </w:tcPr>
          <w:p w14:paraId="2375DE0E">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kern w:val="2"/>
                <w:sz w:val="21"/>
                <w:szCs w:val="21"/>
                <w:lang w:val="en-US" w:eastAsia="zh-CN" w:bidi="ar-SA"/>
              </w:rPr>
            </w:pPr>
            <w:r>
              <w:rPr>
                <w:rStyle w:val="49"/>
                <w:rFonts w:hint="eastAsia"/>
                <w:color w:val="auto"/>
                <w:sz w:val="21"/>
                <w:szCs w:val="21"/>
                <w:lang w:val="en-US" w:eastAsia="zh-CN" w:bidi="ar"/>
              </w:rPr>
              <w:t>抗β2糖蛋白I抗体IgG非定值质控品</w:t>
            </w:r>
          </w:p>
        </w:tc>
        <w:tc>
          <w:tcPr>
            <w:tcW w:w="1534" w:type="dxa"/>
            <w:shd w:val="clear" w:color="auto" w:fill="auto"/>
            <w:vAlign w:val="center"/>
          </w:tcPr>
          <w:p w14:paraId="49DA234D">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default" w:ascii="宋体" w:hAnsi="宋体" w:eastAsia="宋体" w:cs="宋体"/>
                <w:kern w:val="2"/>
                <w:sz w:val="21"/>
                <w:szCs w:val="21"/>
                <w:lang w:val="en-US" w:eastAsia="zh-CN" w:bidi="ar-SA"/>
              </w:rPr>
            </w:pPr>
            <w:r>
              <w:rPr>
                <w:rStyle w:val="49"/>
                <w:rFonts w:hint="eastAsia"/>
                <w:color w:val="auto"/>
                <w:sz w:val="21"/>
                <w:szCs w:val="21"/>
                <w:lang w:val="en-US" w:eastAsia="zh-CN" w:bidi="ar"/>
              </w:rPr>
              <w:t>阳性：2×1mL，</w:t>
            </w:r>
            <w:r>
              <w:rPr>
                <w:rStyle w:val="49"/>
                <w:rFonts w:hint="eastAsia"/>
                <w:color w:val="auto"/>
                <w:sz w:val="21"/>
                <w:szCs w:val="21"/>
                <w:lang w:val="en-US" w:eastAsia="zh-CN" w:bidi="ar"/>
              </w:rPr>
              <w:br w:type="textWrapping"/>
            </w:r>
            <w:r>
              <w:rPr>
                <w:rStyle w:val="49"/>
                <w:rFonts w:hint="eastAsia"/>
                <w:color w:val="auto"/>
                <w:sz w:val="21"/>
                <w:szCs w:val="21"/>
                <w:lang w:val="en-US" w:eastAsia="zh-CN" w:bidi="ar"/>
              </w:rPr>
              <w:t>阴性：2×1mL</w:t>
            </w:r>
          </w:p>
        </w:tc>
        <w:tc>
          <w:tcPr>
            <w:tcW w:w="780" w:type="dxa"/>
            <w:shd w:val="clear" w:color="auto" w:fill="auto"/>
            <w:vAlign w:val="center"/>
          </w:tcPr>
          <w:p w14:paraId="06C48C7F">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盒</w:t>
            </w:r>
          </w:p>
        </w:tc>
        <w:tc>
          <w:tcPr>
            <w:tcW w:w="735" w:type="dxa"/>
            <w:shd w:val="clear" w:color="auto" w:fill="auto"/>
            <w:vAlign w:val="center"/>
          </w:tcPr>
          <w:p w14:paraId="79122BE3">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9</w:t>
            </w:r>
          </w:p>
        </w:tc>
        <w:tc>
          <w:tcPr>
            <w:tcW w:w="1410" w:type="dxa"/>
            <w:vAlign w:val="center"/>
          </w:tcPr>
          <w:p w14:paraId="6084B368">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kern w:val="0"/>
                <w:sz w:val="21"/>
                <w:szCs w:val="21"/>
                <w:lang w:val="en-US" w:eastAsia="zh-CN" w:bidi="ar"/>
              </w:rPr>
            </w:pPr>
            <w:r>
              <w:rPr>
                <w:rStyle w:val="49"/>
                <w:rFonts w:hint="eastAsia"/>
                <w:color w:val="auto"/>
                <w:sz w:val="21"/>
                <w:szCs w:val="21"/>
                <w:lang w:val="en-US" w:eastAsia="zh-CN" w:bidi="ar"/>
              </w:rPr>
              <w:t>940</w:t>
            </w:r>
          </w:p>
        </w:tc>
        <w:tc>
          <w:tcPr>
            <w:tcW w:w="1710" w:type="dxa"/>
            <w:vAlign w:val="center"/>
          </w:tcPr>
          <w:p w14:paraId="368F2062">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kern w:val="0"/>
                <w:sz w:val="21"/>
                <w:szCs w:val="21"/>
                <w:lang w:val="en-US" w:eastAsia="zh-CN" w:bidi="ar"/>
              </w:rPr>
            </w:pPr>
            <w:r>
              <w:rPr>
                <w:rStyle w:val="49"/>
                <w:rFonts w:hint="eastAsia"/>
                <w:color w:val="auto"/>
                <w:sz w:val="21"/>
                <w:szCs w:val="21"/>
                <w:lang w:val="en-US" w:eastAsia="zh-CN" w:bidi="ar"/>
              </w:rPr>
              <w:t>8460</w:t>
            </w:r>
          </w:p>
        </w:tc>
      </w:tr>
      <w:tr w14:paraId="498FE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430" w:type="dxa"/>
            <w:shd w:val="clear" w:color="auto" w:fill="auto"/>
            <w:vAlign w:val="center"/>
          </w:tcPr>
          <w:p w14:paraId="796CA5CF">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cs="宋体"/>
                <w:kern w:val="0"/>
                <w:sz w:val="21"/>
                <w:szCs w:val="21"/>
                <w:lang w:val="en-US" w:eastAsia="zh-CN" w:bidi="ar"/>
              </w:rPr>
            </w:pPr>
          </w:p>
        </w:tc>
        <w:tc>
          <w:tcPr>
            <w:tcW w:w="2016" w:type="dxa"/>
            <w:shd w:val="clear" w:color="auto" w:fill="auto"/>
            <w:vAlign w:val="center"/>
          </w:tcPr>
          <w:p w14:paraId="72294A4E">
            <w:pPr>
              <w:keepNext w:val="0"/>
              <w:keepLines w:val="0"/>
              <w:pageBreakBefore w:val="0"/>
              <w:widowControl/>
              <w:suppressLineNumbers w:val="0"/>
              <w:kinsoku/>
              <w:wordWrap/>
              <w:overflowPunct/>
              <w:topLinePunct w:val="0"/>
              <w:autoSpaceDE/>
              <w:autoSpaceDN/>
              <w:bidi w:val="0"/>
              <w:adjustRightInd/>
              <w:snapToGrid/>
              <w:spacing w:line="360" w:lineRule="auto"/>
              <w:jc w:val="center"/>
              <w:rPr>
                <w:rStyle w:val="49"/>
                <w:rFonts w:hint="eastAsia"/>
                <w:color w:val="auto"/>
                <w:sz w:val="21"/>
                <w:szCs w:val="21"/>
                <w:lang w:val="en-US" w:eastAsia="zh-CN" w:bidi="ar"/>
              </w:rPr>
            </w:pPr>
            <w:r>
              <w:rPr>
                <w:rFonts w:ascii="宋体" w:hAnsi="宋体" w:eastAsia="宋体" w:cs="宋体"/>
                <w:sz w:val="21"/>
                <w:szCs w:val="21"/>
              </w:rPr>
              <w:t>合计</w:t>
            </w:r>
          </w:p>
        </w:tc>
        <w:tc>
          <w:tcPr>
            <w:tcW w:w="1534" w:type="dxa"/>
            <w:shd w:val="clear" w:color="auto" w:fill="auto"/>
            <w:vAlign w:val="center"/>
          </w:tcPr>
          <w:p w14:paraId="6A27E789">
            <w:pPr>
              <w:keepNext w:val="0"/>
              <w:keepLines w:val="0"/>
              <w:pageBreakBefore w:val="0"/>
              <w:widowControl/>
              <w:suppressLineNumbers w:val="0"/>
              <w:kinsoku/>
              <w:wordWrap/>
              <w:overflowPunct/>
              <w:topLinePunct w:val="0"/>
              <w:autoSpaceDE/>
              <w:autoSpaceDN/>
              <w:bidi w:val="0"/>
              <w:adjustRightInd/>
              <w:snapToGrid/>
              <w:spacing w:line="360" w:lineRule="auto"/>
              <w:jc w:val="center"/>
              <w:rPr>
                <w:rStyle w:val="49"/>
                <w:rFonts w:hint="eastAsia"/>
                <w:color w:val="auto"/>
                <w:sz w:val="21"/>
                <w:szCs w:val="21"/>
                <w:lang w:val="en-US" w:eastAsia="zh-CN" w:bidi="ar"/>
              </w:rPr>
            </w:pPr>
          </w:p>
        </w:tc>
        <w:tc>
          <w:tcPr>
            <w:tcW w:w="780" w:type="dxa"/>
            <w:shd w:val="clear" w:color="auto" w:fill="auto"/>
            <w:vAlign w:val="center"/>
          </w:tcPr>
          <w:p w14:paraId="28BE4304">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cs="宋体"/>
                <w:kern w:val="2"/>
                <w:sz w:val="21"/>
                <w:szCs w:val="21"/>
                <w:lang w:val="en-US" w:eastAsia="zh-CN" w:bidi="ar-SA"/>
              </w:rPr>
            </w:pPr>
          </w:p>
        </w:tc>
        <w:tc>
          <w:tcPr>
            <w:tcW w:w="735" w:type="dxa"/>
            <w:shd w:val="clear" w:color="auto" w:fill="auto"/>
            <w:vAlign w:val="center"/>
          </w:tcPr>
          <w:p w14:paraId="307E1529">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cs="宋体"/>
                <w:kern w:val="2"/>
                <w:sz w:val="21"/>
                <w:szCs w:val="21"/>
                <w:lang w:val="en-US" w:eastAsia="zh-CN" w:bidi="ar-SA"/>
              </w:rPr>
            </w:pPr>
          </w:p>
        </w:tc>
        <w:tc>
          <w:tcPr>
            <w:tcW w:w="1410" w:type="dxa"/>
            <w:vAlign w:val="center"/>
          </w:tcPr>
          <w:p w14:paraId="5EE8F2DF">
            <w:pPr>
              <w:keepNext w:val="0"/>
              <w:keepLines w:val="0"/>
              <w:pageBreakBefore w:val="0"/>
              <w:widowControl/>
              <w:suppressLineNumbers w:val="0"/>
              <w:kinsoku/>
              <w:wordWrap/>
              <w:overflowPunct/>
              <w:topLinePunct w:val="0"/>
              <w:autoSpaceDE/>
              <w:autoSpaceDN/>
              <w:bidi w:val="0"/>
              <w:adjustRightInd/>
              <w:snapToGrid/>
              <w:spacing w:line="360" w:lineRule="auto"/>
              <w:jc w:val="center"/>
              <w:rPr>
                <w:rStyle w:val="49"/>
                <w:rFonts w:hint="eastAsia"/>
                <w:color w:val="auto"/>
                <w:sz w:val="21"/>
                <w:szCs w:val="21"/>
                <w:lang w:val="en-US" w:eastAsia="zh-CN" w:bidi="ar"/>
              </w:rPr>
            </w:pPr>
          </w:p>
        </w:tc>
        <w:tc>
          <w:tcPr>
            <w:tcW w:w="1710" w:type="dxa"/>
            <w:vAlign w:val="center"/>
          </w:tcPr>
          <w:p w14:paraId="6DF7FAB0">
            <w:pPr>
              <w:keepNext w:val="0"/>
              <w:keepLines w:val="0"/>
              <w:pageBreakBefore w:val="0"/>
              <w:widowControl/>
              <w:suppressLineNumbers w:val="0"/>
              <w:kinsoku/>
              <w:wordWrap/>
              <w:overflowPunct/>
              <w:topLinePunct w:val="0"/>
              <w:autoSpaceDE/>
              <w:autoSpaceDN/>
              <w:bidi w:val="0"/>
              <w:adjustRightInd/>
              <w:snapToGrid/>
              <w:spacing w:line="360" w:lineRule="auto"/>
              <w:jc w:val="center"/>
              <w:rPr>
                <w:rStyle w:val="49"/>
                <w:rFonts w:hint="eastAsia"/>
                <w:color w:val="auto"/>
                <w:sz w:val="21"/>
                <w:szCs w:val="21"/>
                <w:lang w:val="en-US" w:eastAsia="zh-CN" w:bidi="ar"/>
              </w:rPr>
            </w:pPr>
            <w:r>
              <w:rPr>
                <w:rFonts w:ascii="宋体" w:hAnsi="宋体" w:eastAsia="宋体" w:cs="宋体"/>
                <w:sz w:val="21"/>
                <w:szCs w:val="21"/>
              </w:rPr>
              <w:t>25380</w:t>
            </w:r>
          </w:p>
        </w:tc>
      </w:tr>
    </w:tbl>
    <w:p w14:paraId="361B7E21">
      <w:pPr>
        <w:numPr>
          <w:ilvl w:val="0"/>
          <w:numId w:val="0"/>
        </w:numPr>
        <w:spacing w:line="360" w:lineRule="auto"/>
        <w:jc w:val="left"/>
        <w:rPr>
          <w:rFonts w:hint="eastAsia" w:asciiTheme="minorEastAsia" w:hAnsiTheme="minorEastAsia" w:eastAsiaTheme="minorEastAsia" w:cstheme="minorEastAsia"/>
          <w:b/>
          <w:bCs/>
          <w:sz w:val="21"/>
          <w:szCs w:val="21"/>
        </w:rPr>
      </w:pPr>
    </w:p>
    <w:p w14:paraId="3233C856">
      <w:pPr>
        <w:numPr>
          <w:ilvl w:val="0"/>
          <w:numId w:val="0"/>
        </w:numPr>
        <w:spacing w:line="360" w:lineRule="auto"/>
        <w:ind w:firstLine="422" w:firstLineChars="200"/>
        <w:jc w:val="left"/>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四、技术商务要求（标注“▲”号的条款为实质性条款或要求，必须满足或优于）</w:t>
      </w:r>
    </w:p>
    <w:p w14:paraId="34A3D7C0">
      <w:pPr>
        <w:numPr>
          <w:ilvl w:val="0"/>
          <w:numId w:val="2"/>
        </w:numPr>
        <w:spacing w:line="360" w:lineRule="auto"/>
        <w:ind w:firstLine="422" w:firstLineChars="200"/>
        <w:jc w:val="left"/>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技术参数及性能配置要求</w:t>
      </w:r>
    </w:p>
    <w:tbl>
      <w:tblPr>
        <w:tblStyle w:val="31"/>
        <w:tblW w:w="89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9"/>
        <w:gridCol w:w="2019"/>
        <w:gridCol w:w="6312"/>
      </w:tblGrid>
      <w:tr w14:paraId="5FEA0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trPr>
        <w:tc>
          <w:tcPr>
            <w:tcW w:w="639" w:type="dxa"/>
            <w:noWrap w:val="0"/>
            <w:vAlign w:val="center"/>
          </w:tcPr>
          <w:p w14:paraId="520E4E67">
            <w:pPr>
              <w:numPr>
                <w:ilvl w:val="0"/>
                <w:numId w:val="0"/>
              </w:numPr>
              <w:spacing w:line="360" w:lineRule="auto"/>
              <w:jc w:val="left"/>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lang w:val="en-US" w:eastAsia="zh-CN"/>
              </w:rPr>
              <w:t>序号</w:t>
            </w:r>
          </w:p>
        </w:tc>
        <w:tc>
          <w:tcPr>
            <w:tcW w:w="2019" w:type="dxa"/>
            <w:noWrap w:val="0"/>
            <w:vAlign w:val="center"/>
          </w:tcPr>
          <w:p w14:paraId="60A3DAB3">
            <w:pPr>
              <w:numPr>
                <w:ilvl w:val="0"/>
                <w:numId w:val="0"/>
              </w:numPr>
              <w:spacing w:line="360" w:lineRule="auto"/>
              <w:jc w:val="left"/>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lang w:val="en-US" w:eastAsia="zh-CN"/>
              </w:rPr>
              <w:t>产品名称</w:t>
            </w:r>
          </w:p>
        </w:tc>
        <w:tc>
          <w:tcPr>
            <w:tcW w:w="6312" w:type="dxa"/>
            <w:noWrap w:val="0"/>
            <w:vAlign w:val="center"/>
          </w:tcPr>
          <w:p w14:paraId="38D5634B">
            <w:pPr>
              <w:numPr>
                <w:ilvl w:val="0"/>
                <w:numId w:val="0"/>
              </w:numPr>
              <w:spacing w:line="360" w:lineRule="auto"/>
              <w:jc w:val="left"/>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lang w:val="en-US" w:eastAsia="zh-CN"/>
              </w:rPr>
              <w:t>参数</w:t>
            </w:r>
          </w:p>
        </w:tc>
      </w:tr>
      <w:tr w14:paraId="3B435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 w:type="dxa"/>
            <w:noWrap w:val="0"/>
            <w:vAlign w:val="center"/>
          </w:tcPr>
          <w:p w14:paraId="3E86CDC6">
            <w:pPr>
              <w:numPr>
                <w:ilvl w:val="0"/>
                <w:numId w:val="0"/>
              </w:numPr>
              <w:spacing w:line="360" w:lineRule="auto"/>
              <w:jc w:val="left"/>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1</w:t>
            </w:r>
          </w:p>
        </w:tc>
        <w:tc>
          <w:tcPr>
            <w:tcW w:w="2019" w:type="dxa"/>
            <w:noWrap w:val="0"/>
            <w:vAlign w:val="center"/>
          </w:tcPr>
          <w:p w14:paraId="62C71339">
            <w:pPr>
              <w:numPr>
                <w:ilvl w:val="0"/>
                <w:numId w:val="0"/>
              </w:numPr>
              <w:spacing w:line="360" w:lineRule="auto"/>
              <w:jc w:val="left"/>
              <w:rPr>
                <w:rFonts w:hint="eastAsia" w:asciiTheme="minorEastAsia" w:hAnsiTheme="minorEastAsia" w:eastAsiaTheme="minorEastAsia" w:cstheme="minorEastAsia"/>
                <w:b/>
                <w:bCs/>
                <w:sz w:val="21"/>
                <w:szCs w:val="21"/>
              </w:rPr>
            </w:pPr>
            <w:r>
              <w:rPr>
                <w:rStyle w:val="55"/>
                <w:rFonts w:hint="eastAsia" w:asciiTheme="minorEastAsia" w:hAnsiTheme="minorEastAsia" w:eastAsiaTheme="minorEastAsia" w:cstheme="minorEastAsia"/>
                <w:b/>
                <w:bCs/>
                <w:color w:val="000000" w:themeColor="text1"/>
                <w:kern w:val="2"/>
                <w:sz w:val="21"/>
                <w:szCs w:val="21"/>
                <w:highlight w:val="none"/>
                <w:lang w:val="en-US" w:eastAsia="zh-CN" w:bidi="ar"/>
                <w14:textFill>
                  <w14:solidFill>
                    <w14:schemeClr w14:val="tx1"/>
                  </w14:solidFill>
                </w14:textFill>
              </w:rPr>
              <w:t>抗β2糖蛋白I抗体IgA非定值质控品</w:t>
            </w:r>
          </w:p>
        </w:tc>
        <w:tc>
          <w:tcPr>
            <w:tcW w:w="6312" w:type="dxa"/>
            <w:noWrap w:val="0"/>
            <w:vAlign w:val="top"/>
          </w:tcPr>
          <w:p w14:paraId="3554A97F">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1.未复溶的冻干品外观应呈疏松体，加入纯化水后溶解，无沉淀，无悬浮物；</w:t>
            </w:r>
          </w:p>
          <w:p w14:paraId="543ACBAE">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2.内外包装应完好无破损；</w:t>
            </w:r>
          </w:p>
          <w:p w14:paraId="4CD0A973">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3.标签内容应完整准确、清晰易辨认，适用于磷脂类项目质控检测要求；</w:t>
            </w:r>
          </w:p>
          <w:p w14:paraId="55DD7654">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▲4.到货效期&gt;12个月；</w:t>
            </w:r>
          </w:p>
          <w:p w14:paraId="5F788F18">
            <w:pPr>
              <w:numPr>
                <w:ilvl w:val="0"/>
                <w:numId w:val="0"/>
              </w:numPr>
              <w:spacing w:line="360" w:lineRule="auto"/>
              <w:jc w:val="left"/>
              <w:rPr>
                <w:rFonts w:hint="eastAsia" w:asciiTheme="minorEastAsia" w:hAnsiTheme="minorEastAsia" w:eastAsiaTheme="minorEastAsia" w:cstheme="minorEastAsia"/>
                <w:b/>
                <w:bCs/>
                <w:sz w:val="21"/>
                <w:szCs w:val="21"/>
                <w:lang w:val="en-US" w:eastAsia="zh-CN"/>
              </w:rPr>
            </w:pPr>
            <w:r>
              <w:rPr>
                <w:rFonts w:hint="eastAsia" w:ascii="宋体" w:hAnsi="宋体" w:eastAsia="宋体" w:cs="宋体"/>
                <w:i w:val="0"/>
                <w:iCs w:val="0"/>
                <w:color w:val="000000"/>
                <w:kern w:val="0"/>
                <w:sz w:val="21"/>
                <w:szCs w:val="21"/>
                <w:u w:val="none"/>
                <w:lang w:val="en-US" w:eastAsia="zh-CN" w:bidi="ar"/>
              </w:rPr>
              <w:t>▲5.适用适用于亚辉龙iFlash 3000机型。</w:t>
            </w:r>
          </w:p>
        </w:tc>
      </w:tr>
      <w:tr w14:paraId="418BE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 w:type="dxa"/>
            <w:noWrap w:val="0"/>
            <w:vAlign w:val="top"/>
          </w:tcPr>
          <w:p w14:paraId="7A39A450">
            <w:pPr>
              <w:numPr>
                <w:ilvl w:val="0"/>
                <w:numId w:val="0"/>
              </w:numPr>
              <w:spacing w:line="360" w:lineRule="auto"/>
              <w:jc w:val="left"/>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2</w:t>
            </w:r>
          </w:p>
        </w:tc>
        <w:tc>
          <w:tcPr>
            <w:tcW w:w="2019" w:type="dxa"/>
            <w:noWrap w:val="0"/>
            <w:vAlign w:val="center"/>
          </w:tcPr>
          <w:p w14:paraId="6FE8C2A3">
            <w:pPr>
              <w:numPr>
                <w:ilvl w:val="0"/>
                <w:numId w:val="0"/>
              </w:numPr>
              <w:spacing w:line="360" w:lineRule="auto"/>
              <w:jc w:val="left"/>
              <w:rPr>
                <w:rFonts w:hint="eastAsia" w:asciiTheme="minorEastAsia" w:hAnsiTheme="minorEastAsia" w:eastAsiaTheme="minorEastAsia" w:cstheme="minorEastAsia"/>
                <w:b/>
                <w:bCs/>
                <w:sz w:val="21"/>
                <w:szCs w:val="21"/>
              </w:rPr>
            </w:pPr>
            <w:r>
              <w:rPr>
                <w:rStyle w:val="55"/>
                <w:rFonts w:hint="eastAsia" w:asciiTheme="minorEastAsia" w:hAnsiTheme="minorEastAsia" w:eastAsiaTheme="minorEastAsia" w:cstheme="minorEastAsia"/>
                <w:b/>
                <w:bCs/>
                <w:color w:val="000000" w:themeColor="text1"/>
                <w:kern w:val="2"/>
                <w:sz w:val="21"/>
                <w:szCs w:val="21"/>
                <w:highlight w:val="none"/>
                <w:lang w:val="en-US" w:eastAsia="zh-CN" w:bidi="ar"/>
                <w14:textFill>
                  <w14:solidFill>
                    <w14:schemeClr w14:val="tx1"/>
                  </w14:solidFill>
                </w14:textFill>
              </w:rPr>
              <w:t>抗β2糖蛋白I抗体IgM非定值质控品</w:t>
            </w:r>
          </w:p>
        </w:tc>
        <w:tc>
          <w:tcPr>
            <w:tcW w:w="6312" w:type="dxa"/>
            <w:noWrap w:val="0"/>
            <w:vAlign w:val="top"/>
          </w:tcPr>
          <w:p w14:paraId="1371CC33">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1.未复溶的冻干品外观应呈疏松体，加入纯化水后溶解，无沉淀，无悬浮物；</w:t>
            </w:r>
          </w:p>
          <w:p w14:paraId="592B4D09">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2.内外包装应完好无破损；</w:t>
            </w:r>
          </w:p>
          <w:p w14:paraId="6CDC0EC3">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3.标签内容应完整准确、清晰易辨认，适用于磷脂类项目质控检测要求；</w:t>
            </w:r>
          </w:p>
          <w:p w14:paraId="4D3FD1A4">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▲4.到货效期&gt;12个月；</w:t>
            </w:r>
          </w:p>
          <w:p w14:paraId="2C9A4C22">
            <w:pPr>
              <w:numPr>
                <w:ilvl w:val="0"/>
                <w:numId w:val="0"/>
              </w:numPr>
              <w:spacing w:line="360" w:lineRule="auto"/>
              <w:jc w:val="left"/>
              <w:rPr>
                <w:rFonts w:hint="eastAsia" w:asciiTheme="minorEastAsia" w:hAnsiTheme="minorEastAsia" w:eastAsiaTheme="minorEastAsia" w:cstheme="minorEastAsia"/>
                <w:b/>
                <w:bCs/>
                <w:sz w:val="21"/>
                <w:szCs w:val="21"/>
                <w:lang w:val="en-US" w:eastAsia="zh-CN"/>
              </w:rPr>
            </w:pPr>
            <w:r>
              <w:rPr>
                <w:rFonts w:hint="eastAsia" w:ascii="宋体" w:hAnsi="宋体" w:eastAsia="宋体" w:cs="宋体"/>
                <w:i w:val="0"/>
                <w:iCs w:val="0"/>
                <w:color w:val="000000"/>
                <w:kern w:val="0"/>
                <w:sz w:val="21"/>
                <w:szCs w:val="21"/>
                <w:u w:val="none"/>
                <w:lang w:val="en-US" w:eastAsia="zh-CN" w:bidi="ar"/>
              </w:rPr>
              <w:t>▲5.适用适用于亚辉龙iFlash 3000机型。</w:t>
            </w:r>
          </w:p>
        </w:tc>
      </w:tr>
      <w:tr w14:paraId="3A55D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 w:type="dxa"/>
            <w:noWrap w:val="0"/>
            <w:vAlign w:val="top"/>
          </w:tcPr>
          <w:p w14:paraId="482EF06B">
            <w:pPr>
              <w:numPr>
                <w:ilvl w:val="0"/>
                <w:numId w:val="0"/>
              </w:numPr>
              <w:spacing w:line="360" w:lineRule="auto"/>
              <w:jc w:val="left"/>
              <w:rPr>
                <w:rFonts w:hint="default"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3</w:t>
            </w:r>
          </w:p>
        </w:tc>
        <w:tc>
          <w:tcPr>
            <w:tcW w:w="2019" w:type="dxa"/>
            <w:noWrap w:val="0"/>
            <w:vAlign w:val="center"/>
          </w:tcPr>
          <w:p w14:paraId="13A91E50">
            <w:pPr>
              <w:numPr>
                <w:ilvl w:val="0"/>
                <w:numId w:val="0"/>
              </w:numPr>
              <w:spacing w:line="360" w:lineRule="auto"/>
              <w:jc w:val="left"/>
              <w:rPr>
                <w:rStyle w:val="55"/>
                <w:rFonts w:hint="eastAsia" w:asciiTheme="minorEastAsia" w:hAnsiTheme="minorEastAsia" w:eastAsiaTheme="minorEastAsia" w:cstheme="minorEastAsia"/>
                <w:b/>
                <w:bCs/>
                <w:color w:val="000000" w:themeColor="text1"/>
                <w:kern w:val="2"/>
                <w:sz w:val="21"/>
                <w:szCs w:val="21"/>
                <w:highlight w:val="none"/>
                <w:lang w:val="en-US" w:eastAsia="zh-CN" w:bidi="ar"/>
                <w14:textFill>
                  <w14:solidFill>
                    <w14:schemeClr w14:val="tx1"/>
                  </w14:solidFill>
                </w14:textFill>
              </w:rPr>
            </w:pPr>
            <w:r>
              <w:rPr>
                <w:rStyle w:val="55"/>
                <w:rFonts w:hint="eastAsia" w:asciiTheme="minorEastAsia" w:hAnsiTheme="minorEastAsia" w:eastAsiaTheme="minorEastAsia" w:cstheme="minorEastAsia"/>
                <w:b/>
                <w:bCs/>
                <w:color w:val="000000" w:themeColor="text1"/>
                <w:kern w:val="2"/>
                <w:sz w:val="21"/>
                <w:szCs w:val="21"/>
                <w:highlight w:val="none"/>
                <w:lang w:val="en-US" w:eastAsia="zh-CN" w:bidi="ar"/>
                <w14:textFill>
                  <w14:solidFill>
                    <w14:schemeClr w14:val="tx1"/>
                  </w14:solidFill>
                </w14:textFill>
              </w:rPr>
              <w:t>抗β2糖蛋白I抗体IgG非定值质控品</w:t>
            </w:r>
          </w:p>
        </w:tc>
        <w:tc>
          <w:tcPr>
            <w:tcW w:w="6312" w:type="dxa"/>
            <w:noWrap w:val="0"/>
            <w:vAlign w:val="top"/>
          </w:tcPr>
          <w:p w14:paraId="056D0AD4">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1.未复溶的冻干品外观应呈疏松体，加入纯化水后溶解，无沉淀，无悬浮物；</w:t>
            </w:r>
          </w:p>
          <w:p w14:paraId="708FB841">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2.内外包装应完好无破损；</w:t>
            </w:r>
          </w:p>
          <w:p w14:paraId="6DF1C7D2">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3.标签内容应完整准确、清晰易辨认，适用于磷脂类项目质控检测要求；</w:t>
            </w:r>
          </w:p>
          <w:p w14:paraId="245EA1B5">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▲4.到货效期&gt;12个月；</w:t>
            </w:r>
          </w:p>
          <w:p w14:paraId="46E3F885">
            <w:pPr>
              <w:numPr>
                <w:ilvl w:val="0"/>
                <w:numId w:val="0"/>
              </w:numPr>
              <w:spacing w:line="360" w:lineRule="auto"/>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▲5.适用适用于亚辉龙iFlash 3000机型。</w:t>
            </w:r>
          </w:p>
        </w:tc>
      </w:tr>
    </w:tbl>
    <w:p w14:paraId="67C8A67F">
      <w:pPr>
        <w:numPr>
          <w:ilvl w:val="0"/>
          <w:numId w:val="0"/>
        </w:numPr>
        <w:spacing w:line="360" w:lineRule="auto"/>
        <w:jc w:val="left"/>
        <w:rPr>
          <w:rFonts w:hint="eastAsia" w:asciiTheme="minorEastAsia" w:hAnsiTheme="minorEastAsia" w:eastAsiaTheme="minorEastAsia" w:cstheme="minorEastAsia"/>
          <w:b/>
          <w:bCs/>
          <w:sz w:val="21"/>
          <w:szCs w:val="21"/>
        </w:rPr>
      </w:pPr>
    </w:p>
    <w:p w14:paraId="49C8C0F5">
      <w:pPr>
        <w:numPr>
          <w:ilvl w:val="0"/>
          <w:numId w:val="3"/>
        </w:numPr>
        <w:spacing w:line="360" w:lineRule="auto"/>
        <w:ind w:firstLine="420" w:firstLineChars="200"/>
        <w:jc w:val="left"/>
        <w:rPr>
          <w:rFonts w:hint="eastAsia" w:asciiTheme="minorEastAsia" w:hAnsiTheme="minorEastAsia" w:eastAsiaTheme="minorEastAsia" w:cstheme="minorEastAsia"/>
          <w:b/>
          <w:bCs/>
          <w:sz w:val="21"/>
          <w:szCs w:val="21"/>
        </w:rPr>
      </w:pPr>
      <w:r>
        <w:rPr>
          <w:rFonts w:hint="default" w:ascii="Times New Roman" w:hAnsi="Times New Roman" w:cs="Times New Roman" w:eastAsiaTheme="majorEastAsia"/>
          <w:szCs w:val="21"/>
        </w:rPr>
        <w:t>▲</w:t>
      </w:r>
      <w:r>
        <w:rPr>
          <w:rFonts w:hint="eastAsia" w:ascii="Times New Roman" w:hAnsi="Times New Roman" w:cs="Times New Roman" w:eastAsiaTheme="majorEastAsia"/>
          <w:szCs w:val="21"/>
          <w:lang w:val="en-US" w:eastAsia="zh-CN"/>
        </w:rPr>
        <w:t xml:space="preserve"> </w:t>
      </w:r>
      <w:r>
        <w:rPr>
          <w:rFonts w:hint="eastAsia" w:asciiTheme="minorEastAsia" w:hAnsiTheme="minorEastAsia" w:eastAsiaTheme="minorEastAsia" w:cstheme="minorEastAsia"/>
          <w:b/>
          <w:bCs/>
          <w:sz w:val="21"/>
          <w:szCs w:val="21"/>
        </w:rPr>
        <w:t>商务要求</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9"/>
        <w:gridCol w:w="1522"/>
        <w:gridCol w:w="6593"/>
      </w:tblGrid>
      <w:tr w14:paraId="4501B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tcPr>
          <w:p w14:paraId="7156D0BD">
            <w:pPr>
              <w:numPr>
                <w:ilvl w:val="0"/>
                <w:numId w:val="0"/>
              </w:numPr>
              <w:spacing w:line="360" w:lineRule="auto"/>
              <w:jc w:val="center"/>
              <w:rPr>
                <w:rFonts w:hint="default" w:asciiTheme="minorEastAsia" w:hAnsiTheme="minorEastAsia" w:eastAsiaTheme="minorEastAsia" w:cstheme="minorEastAsia"/>
                <w:b/>
                <w:bCs/>
                <w:sz w:val="21"/>
                <w:szCs w:val="21"/>
                <w:vertAlign w:val="baseline"/>
                <w:lang w:val="en-US" w:eastAsia="zh-CN"/>
              </w:rPr>
            </w:pPr>
            <w:r>
              <w:rPr>
                <w:rFonts w:hint="default" w:asciiTheme="minorEastAsia" w:hAnsiTheme="minorEastAsia" w:eastAsiaTheme="minorEastAsia" w:cstheme="minorEastAsia"/>
                <w:b/>
                <w:bCs/>
                <w:sz w:val="21"/>
                <w:szCs w:val="21"/>
                <w:vertAlign w:val="baseline"/>
                <w:lang w:val="en-US" w:eastAsia="zh-CN"/>
              </w:rPr>
              <w:t>序号</w:t>
            </w:r>
          </w:p>
        </w:tc>
        <w:tc>
          <w:tcPr>
            <w:tcW w:w="1522" w:type="dxa"/>
          </w:tcPr>
          <w:p w14:paraId="4EB28C7D">
            <w:pPr>
              <w:numPr>
                <w:ilvl w:val="0"/>
                <w:numId w:val="0"/>
              </w:numPr>
              <w:spacing w:line="360" w:lineRule="auto"/>
              <w:jc w:val="center"/>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bCs/>
                <w:color w:val="000000"/>
                <w:kern w:val="0"/>
                <w:sz w:val="21"/>
                <w:szCs w:val="21"/>
              </w:rPr>
              <w:t>类型</w:t>
            </w:r>
          </w:p>
        </w:tc>
        <w:tc>
          <w:tcPr>
            <w:tcW w:w="6593" w:type="dxa"/>
          </w:tcPr>
          <w:p w14:paraId="714E8E1B">
            <w:pPr>
              <w:numPr>
                <w:ilvl w:val="0"/>
                <w:numId w:val="0"/>
              </w:numPr>
              <w:spacing w:line="360" w:lineRule="auto"/>
              <w:jc w:val="center"/>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bCs/>
                <w:color w:val="000000"/>
                <w:kern w:val="0"/>
                <w:sz w:val="21"/>
                <w:szCs w:val="21"/>
              </w:rPr>
              <w:t>要求</w:t>
            </w:r>
          </w:p>
        </w:tc>
      </w:tr>
      <w:tr w14:paraId="7C377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tcPr>
          <w:p w14:paraId="20C94D03">
            <w:pPr>
              <w:numPr>
                <w:ilvl w:val="0"/>
                <w:numId w:val="0"/>
              </w:numPr>
              <w:spacing w:line="360" w:lineRule="auto"/>
              <w:jc w:val="center"/>
              <w:rPr>
                <w:rFonts w:hint="eastAsia"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1</w:t>
            </w:r>
          </w:p>
        </w:tc>
        <w:tc>
          <w:tcPr>
            <w:tcW w:w="1522" w:type="dxa"/>
          </w:tcPr>
          <w:p w14:paraId="3F392EC4">
            <w:pPr>
              <w:numPr>
                <w:ilvl w:val="0"/>
                <w:numId w:val="0"/>
              </w:numPr>
              <w:spacing w:line="360" w:lineRule="auto"/>
              <w:jc w:val="left"/>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bCs/>
                <w:sz w:val="21"/>
                <w:szCs w:val="21"/>
                <w:vertAlign w:val="baseline"/>
              </w:rPr>
              <w:t>质保期</w:t>
            </w:r>
          </w:p>
        </w:tc>
        <w:tc>
          <w:tcPr>
            <w:tcW w:w="6593" w:type="dxa"/>
          </w:tcPr>
          <w:p w14:paraId="68FF6149">
            <w:pPr>
              <w:numPr>
                <w:ilvl w:val="0"/>
                <w:numId w:val="4"/>
              </w:numPr>
              <w:spacing w:line="400" w:lineRule="exact"/>
              <w:jc w:val="left"/>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rPr>
              <w:t>按国家有关规定实行“三包”，自交货验收合格之日起计算有效期。所供产品须明确</w:t>
            </w:r>
            <w:r>
              <w:rPr>
                <w:rFonts w:hint="eastAsia" w:asciiTheme="minorEastAsia" w:hAnsiTheme="minorEastAsia" w:eastAsiaTheme="minorEastAsia" w:cstheme="minorEastAsia"/>
                <w:szCs w:val="21"/>
                <w:highlight w:val="none"/>
              </w:rPr>
              <w:t>标示批号、生产日期及有效期。</w:t>
            </w:r>
          </w:p>
          <w:p w14:paraId="31B51F4C">
            <w:pPr>
              <w:numPr>
                <w:ilvl w:val="0"/>
                <w:numId w:val="4"/>
              </w:numPr>
              <w:spacing w:line="400" w:lineRule="exact"/>
              <w:ind w:left="0" w:leftChars="0" w:firstLine="0" w:firstLineChars="0"/>
              <w:jc w:val="left"/>
              <w:rPr>
                <w:rFonts w:hint="eastAsia" w:asciiTheme="minorEastAsia" w:hAnsiTheme="minorEastAsia" w:eastAsiaTheme="minorEastAsia" w:cstheme="minorEastAsia"/>
                <w:szCs w:val="21"/>
                <w:highlight w:val="none"/>
                <w:lang w:eastAsia="zh-CN"/>
              </w:rPr>
            </w:pPr>
            <w:r>
              <w:rPr>
                <w:rFonts w:hint="eastAsia" w:asciiTheme="minorEastAsia" w:hAnsiTheme="minorEastAsia" w:eastAsiaTheme="minorEastAsia" w:cstheme="minorEastAsia"/>
                <w:szCs w:val="21"/>
                <w:highlight w:val="none"/>
              </w:rPr>
              <w:t>试剂有效期应大于等于三分之二效期期限</w:t>
            </w:r>
            <w:r>
              <w:rPr>
                <w:rFonts w:hint="eastAsia" w:asciiTheme="minorEastAsia" w:hAnsiTheme="minorEastAsia" w:eastAsiaTheme="minorEastAsia" w:cstheme="minorEastAsia"/>
                <w:szCs w:val="21"/>
                <w:highlight w:val="none"/>
                <w:lang w:eastAsia="zh-CN"/>
              </w:rPr>
              <w:t>，</w:t>
            </w:r>
            <w:r>
              <w:rPr>
                <w:rFonts w:hint="eastAsia" w:asciiTheme="minorEastAsia" w:hAnsiTheme="minorEastAsia" w:eastAsiaTheme="minorEastAsia" w:cstheme="minorEastAsia"/>
                <w:szCs w:val="21"/>
                <w:highlight w:val="none"/>
              </w:rPr>
              <w:t>有效期自验收合格之日开始计算</w:t>
            </w:r>
            <w:r>
              <w:rPr>
                <w:rFonts w:hint="eastAsia" w:asciiTheme="minorEastAsia" w:hAnsiTheme="minorEastAsia" w:eastAsiaTheme="minorEastAsia" w:cstheme="minorEastAsia"/>
                <w:szCs w:val="21"/>
                <w:highlight w:val="none"/>
                <w:lang w:eastAsia="zh-CN"/>
              </w:rPr>
              <w:t>。</w:t>
            </w:r>
          </w:p>
          <w:p w14:paraId="4F4A7A40">
            <w:pPr>
              <w:numPr>
                <w:ilvl w:val="0"/>
                <w:numId w:val="4"/>
              </w:numPr>
              <w:spacing w:line="400" w:lineRule="exact"/>
              <w:ind w:left="0" w:leftChars="0" w:firstLine="0" w:firstLineChars="0"/>
              <w:jc w:val="left"/>
              <w:rPr>
                <w:rFonts w:hint="eastAsia" w:asciiTheme="minorEastAsia" w:hAnsiTheme="minorEastAsia" w:eastAsiaTheme="minorEastAsia" w:cstheme="minorEastAsia"/>
                <w:b w:val="0"/>
                <w:bCs w:val="0"/>
                <w:kern w:val="2"/>
                <w:sz w:val="21"/>
                <w:szCs w:val="21"/>
                <w:vertAlign w:val="baseline"/>
                <w:lang w:val="en-US" w:eastAsia="zh-CN" w:bidi="ar-SA"/>
              </w:rPr>
            </w:pPr>
            <w:r>
              <w:rPr>
                <w:rFonts w:hint="eastAsia" w:asciiTheme="minorEastAsia" w:hAnsiTheme="minorEastAsia" w:eastAsiaTheme="minorEastAsia" w:cstheme="minorEastAsia"/>
                <w:szCs w:val="21"/>
                <w:highlight w:val="none"/>
                <w:lang w:eastAsia="zh-CN"/>
              </w:rPr>
              <w:t>所有试剂耗材需现场进行性能验证，同时提供性能验证报告，免费提供性能验证需要到的试剂耗材等。临近</w:t>
            </w:r>
            <w:r>
              <w:rPr>
                <w:rFonts w:hint="eastAsia" w:asciiTheme="minorEastAsia" w:hAnsiTheme="minorEastAsia" w:eastAsiaTheme="minorEastAsia" w:cstheme="minorEastAsia"/>
                <w:szCs w:val="21"/>
                <w:highlight w:val="none"/>
                <w:lang w:val="en-US" w:eastAsia="zh-CN"/>
              </w:rPr>
              <w:t>3</w:t>
            </w:r>
            <w:r>
              <w:rPr>
                <w:rFonts w:hint="eastAsia" w:asciiTheme="minorEastAsia" w:hAnsiTheme="minorEastAsia" w:eastAsiaTheme="minorEastAsia" w:cstheme="minorEastAsia"/>
                <w:szCs w:val="21"/>
                <w:highlight w:val="none"/>
                <w:lang w:eastAsia="zh-CN"/>
              </w:rPr>
              <w:t>个月效期内试剂及耗材，提供免费更换服务。</w:t>
            </w:r>
          </w:p>
        </w:tc>
      </w:tr>
      <w:tr w14:paraId="2A31B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tcPr>
          <w:p w14:paraId="7237B06D">
            <w:pPr>
              <w:numPr>
                <w:ilvl w:val="0"/>
                <w:numId w:val="0"/>
              </w:numPr>
              <w:spacing w:line="360" w:lineRule="auto"/>
              <w:jc w:val="center"/>
              <w:rPr>
                <w:rFonts w:hint="eastAsia"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2</w:t>
            </w:r>
          </w:p>
        </w:tc>
        <w:tc>
          <w:tcPr>
            <w:tcW w:w="1522" w:type="dxa"/>
            <w:shd w:val="clear" w:color="auto" w:fill="auto"/>
            <w:vAlign w:val="top"/>
          </w:tcPr>
          <w:p w14:paraId="1F5C31F5">
            <w:pPr>
              <w:numPr>
                <w:ilvl w:val="0"/>
                <w:numId w:val="0"/>
              </w:numPr>
              <w:spacing w:line="360" w:lineRule="auto"/>
              <w:ind w:left="0" w:leftChars="0" w:firstLine="0" w:firstLineChars="0"/>
              <w:jc w:val="left"/>
              <w:rPr>
                <w:rFonts w:hint="default" w:asciiTheme="minorEastAsia" w:hAnsiTheme="minorEastAsia" w:eastAsiaTheme="minorEastAsia" w:cstheme="minorEastAsia"/>
                <w:b/>
                <w:bCs/>
                <w:kern w:val="2"/>
                <w:sz w:val="21"/>
                <w:szCs w:val="21"/>
                <w:vertAlign w:val="baseline"/>
                <w:lang w:val="en-US" w:eastAsia="zh-CN" w:bidi="ar-SA"/>
              </w:rPr>
            </w:pPr>
            <w:r>
              <w:rPr>
                <w:rFonts w:hint="default" w:asciiTheme="minorEastAsia" w:hAnsiTheme="minorEastAsia" w:eastAsiaTheme="minorEastAsia" w:cstheme="minorEastAsia"/>
                <w:b/>
                <w:bCs/>
                <w:kern w:val="2"/>
                <w:sz w:val="21"/>
                <w:szCs w:val="21"/>
                <w:highlight w:val="none"/>
                <w:vertAlign w:val="baseline"/>
                <w:lang w:val="en-US" w:eastAsia="zh-CN" w:bidi="ar-SA"/>
              </w:rPr>
              <w:t>交付使用时间及地点</w:t>
            </w:r>
          </w:p>
        </w:tc>
        <w:tc>
          <w:tcPr>
            <w:tcW w:w="6593" w:type="dxa"/>
          </w:tcPr>
          <w:p w14:paraId="3236302B">
            <w:pPr>
              <w:numPr>
                <w:ilvl w:val="0"/>
                <w:numId w:val="0"/>
              </w:numPr>
              <w:spacing w:line="360" w:lineRule="auto"/>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b w:val="0"/>
                <w:bCs w:val="0"/>
                <w:sz w:val="21"/>
                <w:szCs w:val="21"/>
                <w:vertAlign w:val="baseline"/>
              </w:rPr>
              <w:t>1.供货时间：采购人向成交供应商发送采购计划，成交供应商须在一个工作日内确认计划，并在收到采购人提交的采购计划后5个工作日内送达。</w:t>
            </w:r>
          </w:p>
          <w:p w14:paraId="0FB7BEEC">
            <w:pPr>
              <w:numPr>
                <w:ilvl w:val="0"/>
                <w:numId w:val="0"/>
              </w:numPr>
              <w:spacing w:line="360" w:lineRule="auto"/>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b w:val="0"/>
                <w:bCs w:val="0"/>
                <w:sz w:val="21"/>
                <w:szCs w:val="21"/>
                <w:vertAlign w:val="baseline"/>
              </w:rPr>
              <w:t>2.分批次交货，成交供应商收到采购人通知后，5 天内按采购人要求将货送到指定地点，急需耗材的送货时间以科室届时实际要求为准；服务期限内，成交供应商逾期送货累计超过 2 次（不含本数），采购人有权单方解除合同并按合同约定追究成交供应商的违约责任。</w:t>
            </w:r>
          </w:p>
          <w:p w14:paraId="4CE48E99">
            <w:pPr>
              <w:numPr>
                <w:ilvl w:val="0"/>
                <w:numId w:val="0"/>
              </w:numPr>
              <w:spacing w:line="360" w:lineRule="auto"/>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b w:val="0"/>
                <w:bCs w:val="0"/>
                <w:sz w:val="21"/>
                <w:szCs w:val="21"/>
                <w:vertAlign w:val="baseline"/>
              </w:rPr>
              <w:t>3.交货地点：广西南宁市采购人指定地点。</w:t>
            </w:r>
          </w:p>
          <w:p w14:paraId="4D5C31FE">
            <w:pPr>
              <w:numPr>
                <w:ilvl w:val="0"/>
                <w:numId w:val="0"/>
              </w:numPr>
              <w:spacing w:line="360" w:lineRule="auto"/>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b w:val="0"/>
                <w:bCs w:val="0"/>
                <w:sz w:val="21"/>
                <w:szCs w:val="21"/>
                <w:vertAlign w:val="baseline"/>
              </w:rPr>
              <w:t>4.交货方式：现场交货。</w:t>
            </w:r>
          </w:p>
          <w:p w14:paraId="42E4C960">
            <w:pPr>
              <w:numPr>
                <w:ilvl w:val="0"/>
                <w:numId w:val="0"/>
              </w:numPr>
              <w:spacing w:line="360" w:lineRule="auto"/>
              <w:jc w:val="left"/>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val="0"/>
                <w:bCs w:val="0"/>
                <w:sz w:val="21"/>
                <w:szCs w:val="21"/>
                <w:vertAlign w:val="baseline"/>
              </w:rPr>
              <w:t xml:space="preserve">5.未验收前保管工作由成交供应商自行负责。成交供应商必须承担产品运输、验收检测和提供产品说明书等其他类似的义务。  </w:t>
            </w:r>
          </w:p>
        </w:tc>
      </w:tr>
      <w:tr w14:paraId="2759A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tcPr>
          <w:p w14:paraId="7E59A10F">
            <w:pPr>
              <w:numPr>
                <w:ilvl w:val="0"/>
                <w:numId w:val="0"/>
              </w:numPr>
              <w:spacing w:line="360" w:lineRule="auto"/>
              <w:jc w:val="center"/>
              <w:rPr>
                <w:rFonts w:hint="default"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3</w:t>
            </w:r>
          </w:p>
        </w:tc>
        <w:tc>
          <w:tcPr>
            <w:tcW w:w="1522" w:type="dxa"/>
            <w:shd w:val="clear" w:color="auto" w:fill="auto"/>
            <w:vAlign w:val="top"/>
          </w:tcPr>
          <w:p w14:paraId="68186C52">
            <w:pPr>
              <w:numPr>
                <w:ilvl w:val="0"/>
                <w:numId w:val="0"/>
              </w:numPr>
              <w:spacing w:line="360" w:lineRule="auto"/>
              <w:ind w:left="0" w:leftChars="0" w:firstLine="0" w:firstLineChars="0"/>
              <w:jc w:val="left"/>
              <w:rPr>
                <w:rFonts w:hint="default"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付款方式</w:t>
            </w:r>
          </w:p>
        </w:tc>
        <w:tc>
          <w:tcPr>
            <w:tcW w:w="6593" w:type="dxa"/>
          </w:tcPr>
          <w:p w14:paraId="6C1298D1">
            <w:pPr>
              <w:numPr>
                <w:ilvl w:val="0"/>
                <w:numId w:val="0"/>
              </w:numPr>
              <w:spacing w:line="400" w:lineRule="exact"/>
              <w:rPr>
                <w:rFonts w:hint="default" w:ascii="宋体" w:hAnsi="宋体"/>
                <w:szCs w:val="21"/>
                <w:lang w:val="en-US" w:eastAsia="zh-CN"/>
              </w:rPr>
            </w:pPr>
            <w:r>
              <w:rPr>
                <w:rFonts w:hint="eastAsia" w:ascii="宋体" w:hAnsi="宋体"/>
                <w:szCs w:val="21"/>
                <w:lang w:val="en-US" w:eastAsia="zh-CN"/>
              </w:rPr>
              <w:t>1.成交供应商</w:t>
            </w:r>
            <w:r>
              <w:rPr>
                <w:rFonts w:hint="default" w:ascii="宋体" w:hAnsi="宋体"/>
                <w:szCs w:val="21"/>
                <w:lang w:val="en-US" w:eastAsia="zh-CN"/>
              </w:rPr>
              <w:t>送货验收合格后，采购人根据实际配送产品数量进行结算，结算时，按实际供货数量×</w:t>
            </w:r>
            <w:r>
              <w:rPr>
                <w:rFonts w:hint="eastAsia" w:ascii="宋体" w:hAnsi="宋体"/>
                <w:szCs w:val="21"/>
                <w:lang w:val="en-US" w:eastAsia="zh-CN"/>
              </w:rPr>
              <w:t>成交供应商</w:t>
            </w:r>
            <w:r>
              <w:rPr>
                <w:rFonts w:hint="default" w:ascii="宋体" w:hAnsi="宋体"/>
                <w:szCs w:val="21"/>
                <w:lang w:val="en-US" w:eastAsia="zh-CN"/>
              </w:rPr>
              <w:t>的中标单价结算。</w:t>
            </w:r>
            <w:r>
              <w:rPr>
                <w:rFonts w:hint="eastAsia" w:ascii="宋体" w:hAnsi="宋体"/>
                <w:szCs w:val="21"/>
                <w:lang w:val="en-US" w:eastAsia="zh-CN"/>
              </w:rPr>
              <w:t>成交供应商</w:t>
            </w:r>
            <w:r>
              <w:rPr>
                <w:rFonts w:hint="default" w:ascii="宋体" w:hAnsi="宋体"/>
                <w:szCs w:val="21"/>
                <w:lang w:val="en-US" w:eastAsia="zh-CN"/>
              </w:rPr>
              <w:t>据此开具发票（发票必须由</w:t>
            </w:r>
            <w:r>
              <w:rPr>
                <w:rFonts w:hint="eastAsia" w:ascii="宋体" w:hAnsi="宋体"/>
                <w:szCs w:val="21"/>
                <w:lang w:val="en-US" w:eastAsia="zh-CN"/>
              </w:rPr>
              <w:t>成交供应商</w:t>
            </w:r>
            <w:r>
              <w:rPr>
                <w:rFonts w:hint="default" w:ascii="宋体" w:hAnsi="宋体"/>
                <w:szCs w:val="21"/>
                <w:lang w:val="en-US" w:eastAsia="zh-CN"/>
              </w:rPr>
              <w:t>自行验证真伪随同发票一并提供），</w:t>
            </w:r>
            <w:r>
              <w:rPr>
                <w:rFonts w:hint="eastAsia" w:ascii="宋体" w:hAnsi="宋体"/>
                <w:szCs w:val="21"/>
                <w:lang w:val="en-US" w:eastAsia="zh-CN"/>
              </w:rPr>
              <w:t>每批货</w:t>
            </w:r>
            <w:r>
              <w:rPr>
                <w:rFonts w:hint="default" w:ascii="宋体" w:hAnsi="宋体"/>
                <w:szCs w:val="21"/>
                <w:lang w:val="en-US" w:eastAsia="zh-CN"/>
              </w:rPr>
              <w:t>采购人于收到发票并验收合格后120日内付款。</w:t>
            </w:r>
          </w:p>
          <w:p w14:paraId="7ADA6FDD">
            <w:pPr>
              <w:numPr>
                <w:ilvl w:val="0"/>
                <w:numId w:val="0"/>
              </w:numPr>
              <w:spacing w:line="400" w:lineRule="exact"/>
              <w:rPr>
                <w:rFonts w:hint="default" w:ascii="宋体" w:hAnsi="宋体"/>
                <w:szCs w:val="21"/>
                <w:lang w:val="en-US" w:eastAsia="zh-CN"/>
              </w:rPr>
            </w:pPr>
            <w:r>
              <w:rPr>
                <w:rFonts w:hint="eastAsia" w:ascii="宋体" w:hAnsi="宋体"/>
                <w:szCs w:val="21"/>
                <w:lang w:val="en-US" w:eastAsia="zh-CN"/>
              </w:rPr>
              <w:t>2.</w:t>
            </w:r>
            <w:r>
              <w:rPr>
                <w:rFonts w:hint="default" w:ascii="宋体" w:hAnsi="宋体"/>
                <w:szCs w:val="21"/>
                <w:lang w:val="en-US" w:eastAsia="zh-CN"/>
              </w:rPr>
              <w:t>本合同配送的产品为单价，在合同期内需适时调整。若遇市场（包括但不限于</w:t>
            </w:r>
            <w:r>
              <w:rPr>
                <w:rFonts w:hint="eastAsia" w:ascii="宋体" w:hAnsi="宋体"/>
                <w:szCs w:val="21"/>
                <w:lang w:val="en-US" w:eastAsia="zh-CN"/>
              </w:rPr>
              <w:t>成交供应商</w:t>
            </w:r>
            <w:r>
              <w:rPr>
                <w:rFonts w:hint="default" w:ascii="宋体" w:hAnsi="宋体"/>
                <w:szCs w:val="21"/>
                <w:lang w:val="en-US" w:eastAsia="zh-CN"/>
              </w:rPr>
              <w:t>及其总代、厂家、政府等）价格下调，</w:t>
            </w:r>
            <w:r>
              <w:rPr>
                <w:rFonts w:hint="eastAsia" w:ascii="宋体" w:hAnsi="宋体"/>
                <w:szCs w:val="21"/>
                <w:lang w:val="en-US" w:eastAsia="zh-CN"/>
              </w:rPr>
              <w:t>成交供应商</w:t>
            </w:r>
            <w:r>
              <w:rPr>
                <w:rFonts w:hint="default" w:ascii="宋体" w:hAnsi="宋体"/>
                <w:szCs w:val="21"/>
                <w:lang w:val="en-US" w:eastAsia="zh-CN"/>
              </w:rPr>
              <w:t>应主动及时向采购人提交降价函，于次月执行。</w:t>
            </w:r>
          </w:p>
          <w:p w14:paraId="7A621BC0">
            <w:pPr>
              <w:numPr>
                <w:ilvl w:val="0"/>
                <w:numId w:val="0"/>
              </w:numPr>
              <w:spacing w:line="400" w:lineRule="exact"/>
              <w:rPr>
                <w:rFonts w:hint="default" w:ascii="宋体" w:hAnsi="宋体"/>
                <w:szCs w:val="21"/>
                <w:lang w:val="en-US" w:eastAsia="zh-CN"/>
              </w:rPr>
            </w:pPr>
            <w:r>
              <w:rPr>
                <w:rFonts w:hint="eastAsia" w:ascii="宋体" w:hAnsi="宋体"/>
                <w:szCs w:val="21"/>
                <w:lang w:val="en-US" w:eastAsia="zh-CN"/>
              </w:rPr>
              <w:t>3.成交供应商</w:t>
            </w:r>
            <w:r>
              <w:rPr>
                <w:rFonts w:hint="default" w:ascii="宋体" w:hAnsi="宋体"/>
                <w:szCs w:val="21"/>
                <w:lang w:val="en-US" w:eastAsia="zh-CN"/>
              </w:rPr>
              <w:t>保证产品价格不高于广西地区同级别公立医疗机构实际供货的最低价格，否则采购人有权终止合同，且未供货的产品的费用从已供货产品货款进行抵扣结算。合同期内</w:t>
            </w:r>
            <w:r>
              <w:rPr>
                <w:rFonts w:hint="eastAsia" w:ascii="宋体" w:hAnsi="宋体"/>
                <w:szCs w:val="21"/>
                <w:lang w:val="en-US" w:eastAsia="zh-CN"/>
              </w:rPr>
              <w:t>成交供应商</w:t>
            </w:r>
            <w:r>
              <w:rPr>
                <w:rFonts w:hint="default" w:ascii="宋体" w:hAnsi="宋体"/>
                <w:szCs w:val="21"/>
                <w:lang w:val="en-US" w:eastAsia="zh-CN"/>
              </w:rPr>
              <w:t>不得擅自上调供货价格。若特殊原因需要调价，须经采购人书面同意，并按有关程序办理。</w:t>
            </w:r>
          </w:p>
          <w:p w14:paraId="44EA8111">
            <w:pPr>
              <w:numPr>
                <w:ilvl w:val="0"/>
                <w:numId w:val="0"/>
              </w:numPr>
              <w:spacing w:line="360" w:lineRule="auto"/>
              <w:jc w:val="left"/>
              <w:rPr>
                <w:rFonts w:hint="eastAsia" w:asciiTheme="minorEastAsia" w:hAnsiTheme="minorEastAsia" w:eastAsiaTheme="minorEastAsia" w:cstheme="minorEastAsia"/>
                <w:b w:val="0"/>
                <w:bCs w:val="0"/>
                <w:sz w:val="21"/>
                <w:szCs w:val="21"/>
                <w:vertAlign w:val="baseline"/>
                <w:lang w:val="en-US" w:eastAsia="zh-CN"/>
              </w:rPr>
            </w:pPr>
            <w:r>
              <w:rPr>
                <w:rFonts w:hint="eastAsia" w:ascii="宋体" w:hAnsi="宋体"/>
                <w:szCs w:val="21"/>
                <w:lang w:val="en-US" w:eastAsia="zh-CN"/>
              </w:rPr>
              <w:t>4.采购数量根据采购人需求确定，按实际采购金额结算。</w:t>
            </w:r>
          </w:p>
        </w:tc>
      </w:tr>
      <w:tr w14:paraId="0DF59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tcPr>
          <w:p w14:paraId="5CE570F3">
            <w:pPr>
              <w:numPr>
                <w:ilvl w:val="0"/>
                <w:numId w:val="0"/>
              </w:numPr>
              <w:spacing w:line="360" w:lineRule="auto"/>
              <w:jc w:val="center"/>
              <w:rPr>
                <w:rFonts w:hint="default"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4</w:t>
            </w:r>
          </w:p>
        </w:tc>
        <w:tc>
          <w:tcPr>
            <w:tcW w:w="1522" w:type="dxa"/>
            <w:shd w:val="clear" w:color="auto" w:fill="auto"/>
            <w:vAlign w:val="top"/>
          </w:tcPr>
          <w:p w14:paraId="0E65DC45">
            <w:pPr>
              <w:numPr>
                <w:ilvl w:val="0"/>
                <w:numId w:val="0"/>
              </w:numPr>
              <w:spacing w:line="360" w:lineRule="auto"/>
              <w:ind w:left="0" w:leftChars="0" w:firstLine="0" w:firstLineChars="0"/>
              <w:jc w:val="left"/>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履约保证金</w:t>
            </w:r>
          </w:p>
        </w:tc>
        <w:tc>
          <w:tcPr>
            <w:tcW w:w="6593" w:type="dxa"/>
          </w:tcPr>
          <w:p w14:paraId="02C4F326">
            <w:pPr>
              <w:spacing w:line="360" w:lineRule="auto"/>
              <w:jc w:val="left"/>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无</w:t>
            </w:r>
          </w:p>
        </w:tc>
      </w:tr>
      <w:tr w14:paraId="029A7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tcPr>
          <w:p w14:paraId="577D70D6">
            <w:pPr>
              <w:numPr>
                <w:ilvl w:val="0"/>
                <w:numId w:val="0"/>
              </w:numPr>
              <w:spacing w:line="360" w:lineRule="auto"/>
              <w:jc w:val="center"/>
              <w:rPr>
                <w:rFonts w:hint="default"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5</w:t>
            </w:r>
          </w:p>
        </w:tc>
        <w:tc>
          <w:tcPr>
            <w:tcW w:w="1522" w:type="dxa"/>
            <w:shd w:val="clear" w:color="auto" w:fill="auto"/>
            <w:vAlign w:val="top"/>
          </w:tcPr>
          <w:p w14:paraId="2986FA55">
            <w:pPr>
              <w:numPr>
                <w:ilvl w:val="0"/>
                <w:numId w:val="0"/>
              </w:numPr>
              <w:spacing w:line="360" w:lineRule="auto"/>
              <w:ind w:left="0" w:leftChars="0" w:firstLine="0" w:firstLineChars="0"/>
              <w:jc w:val="left"/>
              <w:rPr>
                <w:rFonts w:hint="eastAsia" w:asciiTheme="minorEastAsia" w:hAnsiTheme="minorEastAsia" w:eastAsiaTheme="minorEastAsia" w:cstheme="minorEastAsia"/>
                <w:b/>
                <w:bCs/>
                <w:sz w:val="21"/>
                <w:szCs w:val="21"/>
              </w:rPr>
            </w:pPr>
            <w:r>
              <w:rPr>
                <w:rFonts w:hint="default" w:ascii="Times New Roman" w:hAnsi="Times New Roman" w:cs="Times New Roman"/>
                <w:b/>
                <w:bCs/>
                <w:color w:val="auto"/>
                <w:szCs w:val="21"/>
              </w:rPr>
              <w:t>售后技术服务要求</w:t>
            </w:r>
          </w:p>
        </w:tc>
        <w:tc>
          <w:tcPr>
            <w:tcW w:w="6593" w:type="dxa"/>
          </w:tcPr>
          <w:p w14:paraId="5461C88B">
            <w:pPr>
              <w:spacing w:line="360" w:lineRule="auto"/>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b w:val="0"/>
                <w:bCs w:val="0"/>
                <w:sz w:val="21"/>
                <w:szCs w:val="21"/>
                <w:vertAlign w:val="baseline"/>
              </w:rPr>
              <w:t>1.提供的产品必须是全新、完整、未使用过的合格产品，并负责免费送货上门（即送货上楼，含无电梯楼层）。</w:t>
            </w:r>
          </w:p>
          <w:p w14:paraId="33EBF606">
            <w:pPr>
              <w:spacing w:line="360" w:lineRule="auto"/>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b w:val="0"/>
                <w:bCs w:val="0"/>
                <w:sz w:val="21"/>
                <w:szCs w:val="21"/>
                <w:vertAlign w:val="baseline"/>
              </w:rPr>
              <w:t>2.供货产品必须满足采购文件要求，并符合国家规定的质量标准，否则采购人有权退货，由此引发的费用及其他经济损失全部由成交供应商承担。</w:t>
            </w:r>
          </w:p>
          <w:p w14:paraId="2BF9F899">
            <w:pPr>
              <w:spacing w:line="360" w:lineRule="auto"/>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b w:val="0"/>
                <w:bCs w:val="0"/>
                <w:sz w:val="21"/>
                <w:szCs w:val="21"/>
                <w:vertAlign w:val="baseline"/>
              </w:rPr>
              <w:t>3.质量保证必须按照报价文件和合同约定的品牌、规格供货，并且对于所提供产品保证均为代理厂家原装正品。质量保证期内，成交供应商负责处理解决货物出现的质量问题并承担一切费用。</w:t>
            </w:r>
          </w:p>
          <w:p w14:paraId="3AF8C10B">
            <w:pPr>
              <w:spacing w:line="360" w:lineRule="auto"/>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b w:val="0"/>
                <w:bCs w:val="0"/>
                <w:sz w:val="21"/>
                <w:szCs w:val="21"/>
                <w:vertAlign w:val="baseline"/>
              </w:rPr>
              <w:t>4.所提供货品如有质量、规格、数量等不符合参数要求，采购人有权要求成交供应商在2个工作日内整改，成交供应商应及时调整且在规定时间内提供符合要求的货物，否则视为违约。如情况特殊可与采购人协商后适当延长交货时间。</w:t>
            </w:r>
          </w:p>
          <w:p w14:paraId="1D9577AA">
            <w:pPr>
              <w:spacing w:line="360" w:lineRule="auto"/>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b w:val="0"/>
                <w:bCs w:val="0"/>
                <w:sz w:val="21"/>
                <w:szCs w:val="21"/>
                <w:vertAlign w:val="baseline"/>
              </w:rPr>
              <w:t>5.因质量问题出现的退、换货，需要在半小时内响应，2小时内赶到现场，并在12小时内处理，情况特殊的处置时间不能超过2个工作日。</w:t>
            </w:r>
          </w:p>
          <w:p w14:paraId="5E80A187">
            <w:pPr>
              <w:spacing w:line="360" w:lineRule="auto"/>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b w:val="0"/>
                <w:bCs w:val="0"/>
                <w:sz w:val="21"/>
                <w:szCs w:val="21"/>
                <w:vertAlign w:val="baseline"/>
              </w:rPr>
              <w:t>6.质保期内涉及产品质量问题的成交供应商无条件退换，成交供应商必须更换品质更好的同类产品，价格不变。同一产品经3次更换仍不达标的，采购人有权解除合同并追究违约责任</w:t>
            </w:r>
          </w:p>
          <w:p w14:paraId="2B21FC58">
            <w:pPr>
              <w:spacing w:line="360" w:lineRule="auto"/>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b w:val="0"/>
                <w:bCs w:val="0"/>
                <w:sz w:val="21"/>
                <w:szCs w:val="21"/>
                <w:vertAlign w:val="baseline"/>
              </w:rPr>
              <w:t>7.交付货品清单同货物一并送达采购人。货品在交付前发生的风险均由成交供应商自行负责。</w:t>
            </w:r>
          </w:p>
        </w:tc>
      </w:tr>
      <w:tr w14:paraId="4609B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tcPr>
          <w:p w14:paraId="066DB14F">
            <w:pPr>
              <w:numPr>
                <w:ilvl w:val="0"/>
                <w:numId w:val="0"/>
              </w:numPr>
              <w:spacing w:line="360" w:lineRule="auto"/>
              <w:jc w:val="center"/>
              <w:rPr>
                <w:rFonts w:hint="default"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6</w:t>
            </w:r>
          </w:p>
        </w:tc>
        <w:tc>
          <w:tcPr>
            <w:tcW w:w="1522" w:type="dxa"/>
            <w:shd w:val="clear" w:color="auto" w:fill="auto"/>
            <w:vAlign w:val="top"/>
          </w:tcPr>
          <w:p w14:paraId="11853775">
            <w:pPr>
              <w:numPr>
                <w:ilvl w:val="0"/>
                <w:numId w:val="0"/>
              </w:numPr>
              <w:spacing w:line="360" w:lineRule="auto"/>
              <w:ind w:left="0" w:leftChars="0" w:firstLine="0" w:firstLineChars="0"/>
              <w:jc w:val="left"/>
              <w:rPr>
                <w:rFonts w:hint="default" w:asciiTheme="minorEastAsia" w:hAnsiTheme="minorEastAsia" w:eastAsiaTheme="minorEastAsia" w:cstheme="minorEastAsia"/>
                <w:b/>
                <w:bCs/>
                <w:sz w:val="21"/>
                <w:szCs w:val="21"/>
                <w:lang w:val="en-US" w:eastAsia="zh-CN"/>
              </w:rPr>
            </w:pPr>
            <w:r>
              <w:rPr>
                <w:rFonts w:hint="default" w:asciiTheme="minorEastAsia" w:hAnsiTheme="minorEastAsia" w:eastAsiaTheme="minorEastAsia" w:cstheme="minorEastAsia"/>
                <w:b/>
                <w:bCs/>
                <w:sz w:val="21"/>
                <w:szCs w:val="21"/>
                <w:lang w:val="en-US" w:eastAsia="zh-CN"/>
              </w:rPr>
              <w:t>验收标准</w:t>
            </w:r>
            <w:r>
              <w:rPr>
                <w:rFonts w:hint="eastAsia" w:asciiTheme="minorEastAsia" w:hAnsiTheme="minorEastAsia" w:eastAsiaTheme="minorEastAsia" w:cstheme="minorEastAsia"/>
                <w:b/>
                <w:bCs/>
                <w:sz w:val="21"/>
                <w:szCs w:val="21"/>
                <w:lang w:val="en-US" w:eastAsia="zh-CN"/>
              </w:rPr>
              <w:t>、验收方法</w:t>
            </w:r>
          </w:p>
        </w:tc>
        <w:tc>
          <w:tcPr>
            <w:tcW w:w="6593" w:type="dxa"/>
          </w:tcPr>
          <w:p w14:paraId="1AB9F8F9">
            <w:pPr>
              <w:spacing w:line="360" w:lineRule="auto"/>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1.成交供应商按采购人需求清单进行供货，货物交到指定地点后，双方现场进行货品清点。成交供应商交付的产品符合有效期要求。</w:t>
            </w:r>
          </w:p>
          <w:p w14:paraId="2D4A8BF2">
            <w:pPr>
              <w:spacing w:line="360" w:lineRule="auto"/>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2.成交供应商提供不符合公告规定的、采购文件、投标文件承诺的或本合同规定的货物，采购人有权拒绝接受。</w:t>
            </w:r>
          </w:p>
          <w:p w14:paraId="2DF9DC13">
            <w:pPr>
              <w:spacing w:line="360" w:lineRule="auto"/>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3.成交供应商应将所提供货物的装箱清单、用户手册、合格证明等交付给采购人，如有缺失应在采购人要求的期限内及时补齐，否则视为逾期配送。</w:t>
            </w:r>
          </w:p>
          <w:p w14:paraId="402B37D0">
            <w:pPr>
              <w:spacing w:line="360" w:lineRule="auto"/>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产品到达现场后，中标人应在招标单位人员在场情况下当面开箱，共同清点、检查外观，作出开箱记录，双方签字确认。中标人应保证货物到达采购人所在地完好无损，如有缺漏、损坏，由中标人负责调换、补齐或赔偿。</w:t>
            </w:r>
          </w:p>
          <w:p w14:paraId="440450DA">
            <w:pPr>
              <w:spacing w:line="360" w:lineRule="auto"/>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成交供应商必须按报价文件和合同约定的品牌、规格供货，验收不合格时，成交供应商必须在2个工作日内无条件更换，由此造成的损失和责任由成交供应商承担。货物交付并验收合格，双方签署验收单，作为合同款结算依据。如出现停产等问题，成交供应商在获得厂家说明和承诺的前提下，经采购人同意可以用质量更优于合同约定的产品进行替代交付，价格不变。如采购人不同意更换的，成交供应商应同意采购人扣减对应产品的费用。</w:t>
            </w:r>
          </w:p>
          <w:p w14:paraId="0B48AA75">
            <w:pPr>
              <w:spacing w:line="360" w:lineRule="auto"/>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6.所供货产品，产品实行强制标准认证制度、生产许可证制度、销售备案或经营许可证制度、注册证制度的，成交供应商均应提供相关有效的证书查验。</w:t>
            </w:r>
          </w:p>
          <w:p w14:paraId="2B7187C6">
            <w:pPr>
              <w:spacing w:line="360" w:lineRule="auto"/>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7.成交供应商成交后，采购人在货物验收阶段发现货物技术参数指标达不到采购文件技术要求，属虚假应标行为，采购人将拒绝收货，因采购时间延迟造成采购人经济等方面损失，将由成交供应商承担。</w:t>
            </w:r>
          </w:p>
          <w:p w14:paraId="40F97FCD">
            <w:pPr>
              <w:spacing w:line="360" w:lineRule="auto"/>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8.采购人对验收有异议的，在验收后以书面形式向成交供应商提出，成交供应商应自收到采购人书面异议后五日内及时予以解决，成交供应商不予答复或未予以实质解决的，视为认可采购人异议及处置意见。</w:t>
            </w:r>
          </w:p>
          <w:p w14:paraId="2FC1B8EB">
            <w:pPr>
              <w:spacing w:line="360" w:lineRule="auto"/>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若采购人委托第三方组织的验收项目，其验收时间以该项目验收方案确定的验收时间为准，验收结果以该项目验收报告结论为准。在验收过程中发现成交供应商有违约问题，可暂缓资金结算，待违约问题解决后，方可办理资金结算事宜，在此期间，采购人不承担逾期付款责任。</w:t>
            </w:r>
          </w:p>
          <w:p w14:paraId="660DB972">
            <w:pPr>
              <w:spacing w:line="360" w:lineRule="auto"/>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验收过程中所产生的一切费用均由中标人承担，包括中标人邀请第三方检测机构出具检测报告的费用、邀请第三方验收代理机构组织验收的费用以及因检测或验收不合格导致开展再次检测或验收所产生的费用等。</w:t>
            </w:r>
          </w:p>
          <w:p w14:paraId="06D6161B">
            <w:pPr>
              <w:spacing w:line="360" w:lineRule="auto"/>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11.其他未尽事宜应严格按照《关于印发广西壮族自治区政府采购项目履约验收管理办法的通知》[桂财采〔2015〕22 号]以及《财政部关于进一步加强政府采购需求和履约验收管理的指导意见》[财库〔2016〕205 号]规定执行。</w:t>
            </w:r>
          </w:p>
        </w:tc>
      </w:tr>
      <w:tr w14:paraId="5B165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tcPr>
          <w:p w14:paraId="6E203913">
            <w:pPr>
              <w:numPr>
                <w:ilvl w:val="0"/>
                <w:numId w:val="0"/>
              </w:numPr>
              <w:spacing w:line="360" w:lineRule="auto"/>
              <w:jc w:val="center"/>
              <w:rPr>
                <w:rFonts w:hint="default"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7</w:t>
            </w:r>
          </w:p>
        </w:tc>
        <w:tc>
          <w:tcPr>
            <w:tcW w:w="1522" w:type="dxa"/>
            <w:shd w:val="clear" w:color="auto" w:fill="auto"/>
            <w:vAlign w:val="top"/>
          </w:tcPr>
          <w:p w14:paraId="4F027CD5">
            <w:pPr>
              <w:numPr>
                <w:ilvl w:val="0"/>
                <w:numId w:val="0"/>
              </w:numPr>
              <w:spacing w:line="360" w:lineRule="auto"/>
              <w:ind w:left="0" w:leftChars="0" w:firstLine="0" w:firstLineChars="0"/>
              <w:jc w:val="left"/>
              <w:rPr>
                <w:rFonts w:hint="default" w:asciiTheme="minorEastAsia" w:hAnsiTheme="minorEastAsia" w:eastAsiaTheme="minorEastAsia" w:cstheme="minorEastAsia"/>
                <w:b/>
                <w:bCs/>
                <w:sz w:val="21"/>
                <w:szCs w:val="21"/>
                <w:lang w:val="en-US" w:eastAsia="zh-CN"/>
              </w:rPr>
            </w:pPr>
            <w:r>
              <w:rPr>
                <w:rFonts w:hint="default" w:asciiTheme="minorEastAsia" w:hAnsiTheme="minorEastAsia" w:eastAsiaTheme="minorEastAsia" w:cstheme="minorEastAsia"/>
                <w:b/>
                <w:bCs/>
                <w:sz w:val="21"/>
                <w:szCs w:val="21"/>
                <w:lang w:val="en-US" w:eastAsia="zh-CN"/>
              </w:rPr>
              <w:t>违约责任</w:t>
            </w:r>
          </w:p>
        </w:tc>
        <w:tc>
          <w:tcPr>
            <w:tcW w:w="6593" w:type="dxa"/>
          </w:tcPr>
          <w:p w14:paraId="393556DA">
            <w:pPr>
              <w:numPr>
                <w:ilvl w:val="0"/>
                <w:numId w:val="0"/>
              </w:numPr>
              <w:spacing w:line="360" w:lineRule="auto"/>
              <w:jc w:val="left"/>
              <w:rPr>
                <w:rFonts w:hint="eastAsia" w:asciiTheme="minorEastAsia" w:hAnsiTheme="minorEastAsia" w:eastAsiaTheme="minorEastAsia" w:cstheme="minorEastAsia"/>
                <w:sz w:val="21"/>
                <w:szCs w:val="21"/>
                <w:highlight w:val="none"/>
                <w:u w:val="none"/>
              </w:rPr>
            </w:pPr>
            <w:r>
              <w:rPr>
                <w:rFonts w:hint="eastAsia" w:asciiTheme="minorEastAsia" w:hAnsiTheme="minorEastAsia" w:eastAsiaTheme="minorEastAsia" w:cstheme="minorEastAsia"/>
                <w:sz w:val="21"/>
                <w:szCs w:val="21"/>
                <w:highlight w:val="none"/>
                <w:u w:val="none"/>
              </w:rPr>
              <w:t>1.成交供应商逾期交货的，应承担相应的违约责任，并赔偿由此给采购人造成的全部损失。</w:t>
            </w:r>
          </w:p>
          <w:p w14:paraId="6DBBFD61">
            <w:pPr>
              <w:numPr>
                <w:ilvl w:val="0"/>
                <w:numId w:val="0"/>
              </w:numPr>
              <w:spacing w:line="360" w:lineRule="auto"/>
              <w:jc w:val="left"/>
              <w:rPr>
                <w:rFonts w:hint="eastAsia" w:asciiTheme="minorEastAsia" w:hAnsiTheme="minorEastAsia" w:eastAsiaTheme="minorEastAsia" w:cstheme="minorEastAsia"/>
                <w:sz w:val="21"/>
                <w:szCs w:val="21"/>
                <w:highlight w:val="none"/>
                <w:u w:val="none"/>
              </w:rPr>
            </w:pPr>
            <w:r>
              <w:rPr>
                <w:rFonts w:hint="eastAsia" w:asciiTheme="minorEastAsia" w:hAnsiTheme="minorEastAsia" w:eastAsiaTheme="minorEastAsia" w:cstheme="minorEastAsia"/>
                <w:sz w:val="21"/>
                <w:szCs w:val="21"/>
                <w:highlight w:val="none"/>
                <w:u w:val="none"/>
              </w:rPr>
              <w:t>2.成交供应商所供产品经验收不符合合同约定的，应在2个工作日内无条件更换；由此造成采购人损失的，成交供应商还应予以赔偿。</w:t>
            </w:r>
          </w:p>
          <w:p w14:paraId="35B4DDDE">
            <w:pPr>
              <w:numPr>
                <w:ilvl w:val="0"/>
                <w:numId w:val="0"/>
              </w:numPr>
              <w:spacing w:line="360" w:lineRule="auto"/>
              <w:jc w:val="left"/>
              <w:rPr>
                <w:rFonts w:hint="eastAsia" w:asciiTheme="minorEastAsia" w:hAnsiTheme="minorEastAsia" w:eastAsiaTheme="minorEastAsia" w:cstheme="minorEastAsia"/>
                <w:sz w:val="21"/>
                <w:szCs w:val="21"/>
                <w:highlight w:val="none"/>
                <w:u w:val="none"/>
              </w:rPr>
            </w:pPr>
            <w:r>
              <w:rPr>
                <w:rFonts w:hint="eastAsia" w:asciiTheme="minorEastAsia" w:hAnsiTheme="minorEastAsia" w:eastAsiaTheme="minorEastAsia" w:cstheme="minorEastAsia"/>
                <w:sz w:val="21"/>
                <w:szCs w:val="21"/>
                <w:highlight w:val="none"/>
                <w:u w:val="none"/>
              </w:rPr>
              <w:t>3.成交供应商违反本合同约定擅自更换产品品牌、型号、规格，或提供假冒伪劣产品的，采购人有权解除合同，成交供应商应向采购人支付违约金，并承担由此给采购人造成的全部损失（包括但不限于医疗纠纷赔偿、行政处罚等）。</w:t>
            </w:r>
          </w:p>
          <w:p w14:paraId="5FE04049">
            <w:pPr>
              <w:numPr>
                <w:ilvl w:val="0"/>
                <w:numId w:val="0"/>
              </w:numPr>
              <w:spacing w:line="360" w:lineRule="auto"/>
              <w:jc w:val="left"/>
              <w:rPr>
                <w:rFonts w:hint="eastAsia" w:asciiTheme="minorEastAsia" w:hAnsiTheme="minorEastAsia" w:eastAsiaTheme="minorEastAsia" w:cstheme="minorEastAsia"/>
                <w:sz w:val="21"/>
                <w:szCs w:val="21"/>
                <w:highlight w:val="none"/>
                <w:u w:val="none"/>
              </w:rPr>
            </w:pPr>
            <w:r>
              <w:rPr>
                <w:rFonts w:hint="eastAsia" w:asciiTheme="minorEastAsia" w:hAnsiTheme="minorEastAsia" w:eastAsiaTheme="minorEastAsia" w:cstheme="minorEastAsia"/>
                <w:sz w:val="21"/>
                <w:szCs w:val="21"/>
                <w:highlight w:val="none"/>
                <w:u w:val="none"/>
              </w:rPr>
              <w:t>4.成交供应商未按本合同约定提供售后服务或售后服务不及时、不到位的，采购人有权要求其限期整改；逾期未整改或整改后仍不符合要求的，采购人有权扣减相应服务费用，直至解除合同。</w:t>
            </w:r>
          </w:p>
          <w:p w14:paraId="0622FC63">
            <w:pPr>
              <w:numPr>
                <w:ilvl w:val="0"/>
                <w:numId w:val="0"/>
              </w:numPr>
              <w:spacing w:line="360" w:lineRule="auto"/>
              <w:jc w:val="left"/>
              <w:rPr>
                <w:rFonts w:hint="eastAsia" w:asciiTheme="minorEastAsia" w:hAnsiTheme="minorEastAsia" w:eastAsiaTheme="minorEastAsia" w:cstheme="minorEastAsia"/>
                <w:sz w:val="21"/>
                <w:szCs w:val="21"/>
                <w:highlight w:val="none"/>
                <w:u w:val="none"/>
              </w:rPr>
            </w:pPr>
            <w:r>
              <w:rPr>
                <w:rFonts w:hint="eastAsia" w:asciiTheme="minorEastAsia" w:hAnsiTheme="minorEastAsia" w:eastAsiaTheme="minorEastAsia" w:cstheme="minorEastAsia"/>
                <w:sz w:val="21"/>
                <w:szCs w:val="21"/>
                <w:highlight w:val="none"/>
                <w:u w:val="none"/>
              </w:rPr>
              <w:t>5.任何一方违反本合同其他约定的，应赔偿由此给对方造成的全部直接经济损失；如法律法规或本合同其他条款对违约责任另有约定的，从其约定。</w:t>
            </w:r>
          </w:p>
          <w:p w14:paraId="41239836">
            <w:pPr>
              <w:numPr>
                <w:ilvl w:val="0"/>
                <w:numId w:val="0"/>
              </w:numPr>
              <w:spacing w:line="360" w:lineRule="auto"/>
              <w:jc w:val="left"/>
              <w:rPr>
                <w:rFonts w:hint="eastAsia" w:asciiTheme="minorEastAsia" w:hAnsiTheme="minorEastAsia" w:eastAsiaTheme="minorEastAsia" w:cstheme="minorEastAsia"/>
                <w:sz w:val="21"/>
                <w:szCs w:val="21"/>
                <w:highlight w:val="none"/>
                <w:u w:val="none"/>
              </w:rPr>
            </w:pPr>
            <w:r>
              <w:rPr>
                <w:rFonts w:hint="eastAsia" w:asciiTheme="minorEastAsia" w:hAnsiTheme="minorEastAsia" w:eastAsiaTheme="minorEastAsia" w:cstheme="minorEastAsia"/>
                <w:sz w:val="21"/>
                <w:szCs w:val="21"/>
                <w:highlight w:val="none"/>
                <w:u w:val="none"/>
              </w:rPr>
              <w:t>6.因成交供应商违约导致采购人采取法律途径维权的，成交供应商还应承担采购人为此支付的律师费、诉讼费、保全费、鉴定费、差旅费等全部合理费用。</w:t>
            </w:r>
          </w:p>
          <w:p w14:paraId="2D78E20E">
            <w:pPr>
              <w:numPr>
                <w:ilvl w:val="0"/>
                <w:numId w:val="0"/>
              </w:numPr>
              <w:spacing w:line="360" w:lineRule="auto"/>
              <w:jc w:val="left"/>
              <w:rPr>
                <w:rFonts w:hint="eastAsia" w:asciiTheme="minorEastAsia" w:hAnsiTheme="minorEastAsia" w:eastAsiaTheme="minorEastAsia" w:cstheme="minorEastAsia"/>
                <w:sz w:val="21"/>
                <w:szCs w:val="21"/>
                <w:highlight w:val="none"/>
                <w:u w:val="none"/>
              </w:rPr>
            </w:pPr>
            <w:r>
              <w:rPr>
                <w:rFonts w:hint="eastAsia" w:asciiTheme="minorEastAsia" w:hAnsiTheme="minorEastAsia" w:eastAsiaTheme="minorEastAsia" w:cstheme="minorEastAsia"/>
                <w:sz w:val="21"/>
                <w:szCs w:val="21"/>
                <w:highlight w:val="none"/>
                <w:u w:val="none"/>
              </w:rPr>
              <w:t>7.除本合同约定的不可抗力及政策调整情形外，成交供应商未经采购人书面同意单方面停止供货的，视为根本违约，成交供应商需向采购人支付合同总额15%的违约金;若该违约金不足以弥补采购人因此遭受的实际损失（包括但不限于重新采购的差价、临床延误损失、诉讼费、律师费等），成交供应商应就不足部分继续予以赔偿。</w:t>
            </w:r>
          </w:p>
          <w:p w14:paraId="27B7A1D9">
            <w:pPr>
              <w:numPr>
                <w:ilvl w:val="0"/>
                <w:numId w:val="0"/>
              </w:numPr>
              <w:spacing w:line="360" w:lineRule="auto"/>
              <w:jc w:val="left"/>
              <w:rPr>
                <w:rFonts w:hint="eastAsia" w:asciiTheme="minorEastAsia" w:hAnsiTheme="minorEastAsia" w:eastAsiaTheme="minorEastAsia" w:cstheme="minorEastAsia"/>
                <w:sz w:val="21"/>
                <w:szCs w:val="21"/>
                <w:highlight w:val="none"/>
                <w:u w:val="none"/>
              </w:rPr>
            </w:pPr>
            <w:r>
              <w:rPr>
                <w:rFonts w:hint="eastAsia" w:asciiTheme="minorEastAsia" w:hAnsiTheme="minorEastAsia" w:eastAsiaTheme="minorEastAsia" w:cstheme="minorEastAsia"/>
                <w:sz w:val="21"/>
                <w:szCs w:val="21"/>
                <w:highlight w:val="none"/>
                <w:u w:val="none"/>
              </w:rPr>
              <w:t>8.如因厂家停产或政策改变等原因不能供货，需有厂家出具的停产证明等证明材料，成交供应商应提前30日书面通知采购人，否则按违约处理，需承担相应违约责任，违约金按合同总金额5%，违约金从成交供应商应得的货款中一次性扣除。断货期间，采购人有权向其他供货商购买同类产品，直到成交供应商能继续供货为止。</w:t>
            </w:r>
          </w:p>
          <w:p w14:paraId="7BC9BE15">
            <w:pPr>
              <w:numPr>
                <w:ilvl w:val="0"/>
                <w:numId w:val="0"/>
              </w:numPr>
              <w:spacing w:line="360" w:lineRule="auto"/>
              <w:jc w:val="left"/>
              <w:rPr>
                <w:rFonts w:hint="eastAsia" w:asciiTheme="minorEastAsia" w:hAnsiTheme="minorEastAsia" w:eastAsiaTheme="minorEastAsia" w:cstheme="minorEastAsia"/>
                <w:sz w:val="21"/>
                <w:szCs w:val="21"/>
                <w:highlight w:val="none"/>
                <w:u w:val="none"/>
              </w:rPr>
            </w:pPr>
            <w:r>
              <w:rPr>
                <w:rFonts w:hint="eastAsia" w:asciiTheme="minorEastAsia" w:hAnsiTheme="minorEastAsia" w:eastAsiaTheme="minorEastAsia" w:cstheme="minorEastAsia"/>
                <w:sz w:val="21"/>
                <w:szCs w:val="21"/>
                <w:highlight w:val="none"/>
                <w:u w:val="none"/>
              </w:rPr>
              <w:t>9.合同期内如遇国家、自治区出台新的政策文件，涉及本品种采购和使用要求，则按国家、自治区政策文件要求执行，包括但不限于停止采购、限价、限量，成交供应商自行承担采购政策变化带来的风险。</w:t>
            </w:r>
          </w:p>
          <w:p w14:paraId="498FAAAA">
            <w:pPr>
              <w:numPr>
                <w:ilvl w:val="0"/>
                <w:numId w:val="0"/>
              </w:numPr>
              <w:spacing w:line="360" w:lineRule="auto"/>
              <w:jc w:val="left"/>
              <w:rPr>
                <w:rFonts w:hint="eastAsia" w:asciiTheme="minorEastAsia" w:hAnsiTheme="minorEastAsia" w:eastAsiaTheme="minorEastAsia" w:cstheme="minorEastAsia"/>
                <w:sz w:val="21"/>
                <w:szCs w:val="21"/>
                <w:highlight w:val="none"/>
                <w:u w:val="none"/>
              </w:rPr>
            </w:pPr>
            <w:r>
              <w:rPr>
                <w:rFonts w:hint="eastAsia" w:asciiTheme="minorEastAsia" w:hAnsiTheme="minorEastAsia" w:eastAsiaTheme="minorEastAsia" w:cstheme="minorEastAsia"/>
                <w:sz w:val="21"/>
                <w:szCs w:val="21"/>
                <w:highlight w:val="none"/>
                <w:u w:val="none"/>
              </w:rPr>
              <w:t>10.合同履行期内，因成交供应商原因导致发生严重质量事故，或产品质量、资质、性能缺陷引发医疗纠纷、行政处罚、财产损失的，成交供应商承担全部责任，并赔偿采购人因此产生的赔偿金、罚款、律师费、诉讼费等全部损失；采购人有权索赔、解除或终止合同。临床使用中出现不良医疗反应，经国家相关质量监督部门鉴定确属产品质量问题的，成交供应商承担全部责任。</w:t>
            </w:r>
          </w:p>
          <w:p w14:paraId="000D29A2">
            <w:pPr>
              <w:numPr>
                <w:ilvl w:val="0"/>
                <w:numId w:val="0"/>
              </w:numPr>
              <w:spacing w:line="360" w:lineRule="auto"/>
              <w:jc w:val="left"/>
              <w:rPr>
                <w:rFonts w:hint="eastAsia" w:asciiTheme="minorEastAsia" w:hAnsiTheme="minorEastAsia" w:eastAsiaTheme="minorEastAsia" w:cstheme="minorEastAsia"/>
                <w:sz w:val="21"/>
                <w:szCs w:val="21"/>
                <w:highlight w:val="none"/>
                <w:u w:val="none"/>
              </w:rPr>
            </w:pPr>
            <w:r>
              <w:rPr>
                <w:rFonts w:hint="eastAsia" w:asciiTheme="minorEastAsia" w:hAnsiTheme="minorEastAsia" w:eastAsiaTheme="minorEastAsia" w:cstheme="minorEastAsia"/>
                <w:sz w:val="21"/>
                <w:szCs w:val="21"/>
                <w:highlight w:val="none"/>
                <w:u w:val="none"/>
              </w:rPr>
              <w:t>11.如合同执行期间成交供应商资质发生变化不符合供货要求或被上级管理部门认定为不能继续供应配送的情况，采购人有权无条件终止合同。</w:t>
            </w:r>
          </w:p>
          <w:p w14:paraId="4EE795A9">
            <w:pPr>
              <w:numPr>
                <w:ilvl w:val="0"/>
                <w:numId w:val="0"/>
              </w:numPr>
              <w:spacing w:line="360" w:lineRule="auto"/>
              <w:jc w:val="left"/>
              <w:rPr>
                <w:rFonts w:hint="eastAsia" w:asciiTheme="minorEastAsia" w:hAnsiTheme="minorEastAsia" w:eastAsiaTheme="minorEastAsia" w:cstheme="minorEastAsia"/>
                <w:sz w:val="21"/>
                <w:szCs w:val="21"/>
                <w:highlight w:val="none"/>
                <w:u w:val="none"/>
              </w:rPr>
            </w:pPr>
            <w:r>
              <w:rPr>
                <w:rFonts w:hint="eastAsia" w:asciiTheme="minorEastAsia" w:hAnsiTheme="minorEastAsia" w:eastAsiaTheme="minorEastAsia" w:cstheme="minorEastAsia"/>
                <w:sz w:val="21"/>
                <w:szCs w:val="21"/>
                <w:highlight w:val="none"/>
                <w:u w:val="none"/>
              </w:rPr>
              <w:t>12.合同期内，同一产品经临床使用科室上报 3 例及以上医疗器械不良事件，并经核实确属产品本身质量问题的，采购人现有库存可退还成交供应商，合同自动终止。</w:t>
            </w:r>
          </w:p>
          <w:p w14:paraId="2B237B14">
            <w:pPr>
              <w:numPr>
                <w:ilvl w:val="0"/>
                <w:numId w:val="0"/>
              </w:numPr>
              <w:spacing w:line="360" w:lineRule="auto"/>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highlight w:val="none"/>
                <w:u w:val="none"/>
              </w:rPr>
              <w:t xml:space="preserve">13.成交供应商未按合同约定时间交付货物的，每逾期一日，应按该批次迟延交付货物金额的5‰。（千分之零点五)向采购人支付违约金，但违约金累计不超过该批次迟延交付货物金额的5%。逾期交货超过连续20日的，采购人有权单方解除本合同。合同解除后，成交供应商应在10个工作日内退还采购人已支付的全部款项（如有)，并自行承担已交付货物的取回费用;因解除合同给采购人造成的一切损失（包括但不限于重新采购的差价、临床延误损失、诉讼费、律师费等)，均由成交供应商承担。                </w:t>
            </w:r>
            <w:r>
              <w:rPr>
                <w:rFonts w:hint="eastAsia" w:asciiTheme="minorEastAsia" w:hAnsiTheme="minorEastAsia" w:eastAsiaTheme="minorEastAsia" w:cstheme="minorEastAsia"/>
                <w:sz w:val="21"/>
                <w:szCs w:val="21"/>
                <w:u w:val="none"/>
              </w:rPr>
              <w:t xml:space="preserve">            </w:t>
            </w:r>
            <w:r>
              <w:rPr>
                <w:rFonts w:hint="eastAsia" w:ascii="方正仿宋_GB2312" w:hAnsi="方正仿宋_GB2312" w:eastAsia="方正仿宋_GB2312" w:cs="方正仿宋_GB2312"/>
                <w:sz w:val="21"/>
                <w:szCs w:val="21"/>
                <w:u w:val="none"/>
              </w:rPr>
              <w:t xml:space="preserve">       </w:t>
            </w:r>
          </w:p>
        </w:tc>
      </w:tr>
      <w:tr w14:paraId="74DC9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tcPr>
          <w:p w14:paraId="301AF912">
            <w:pPr>
              <w:numPr>
                <w:ilvl w:val="0"/>
                <w:numId w:val="0"/>
              </w:numPr>
              <w:spacing w:line="360" w:lineRule="auto"/>
              <w:jc w:val="center"/>
              <w:rPr>
                <w:rFonts w:hint="default"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8</w:t>
            </w:r>
          </w:p>
        </w:tc>
        <w:tc>
          <w:tcPr>
            <w:tcW w:w="1522" w:type="dxa"/>
            <w:shd w:val="clear" w:color="auto" w:fill="auto"/>
            <w:vAlign w:val="top"/>
          </w:tcPr>
          <w:p w14:paraId="4C58431B">
            <w:pPr>
              <w:numPr>
                <w:ilvl w:val="0"/>
                <w:numId w:val="0"/>
              </w:numPr>
              <w:spacing w:line="360" w:lineRule="auto"/>
              <w:ind w:left="0" w:leftChars="0" w:firstLine="0" w:firstLineChars="0"/>
              <w:jc w:val="left"/>
              <w:rPr>
                <w:rFonts w:hint="default" w:asciiTheme="minorEastAsia" w:hAnsiTheme="minorEastAsia" w:eastAsiaTheme="minorEastAsia" w:cstheme="minorEastAsia"/>
                <w:b/>
                <w:bCs/>
                <w:sz w:val="21"/>
                <w:szCs w:val="21"/>
                <w:lang w:val="en-US" w:eastAsia="zh-CN"/>
              </w:rPr>
            </w:pPr>
            <w:r>
              <w:rPr>
                <w:rFonts w:hint="default" w:asciiTheme="minorEastAsia" w:hAnsiTheme="minorEastAsia" w:eastAsiaTheme="minorEastAsia" w:cstheme="minorEastAsia"/>
                <w:b/>
                <w:bCs/>
                <w:sz w:val="21"/>
                <w:szCs w:val="21"/>
                <w:lang w:val="en-US" w:eastAsia="zh-CN"/>
              </w:rPr>
              <w:t>商家特定资格条件</w:t>
            </w:r>
          </w:p>
        </w:tc>
        <w:tc>
          <w:tcPr>
            <w:tcW w:w="6593" w:type="dxa"/>
          </w:tcPr>
          <w:p w14:paraId="3795AE5D">
            <w:pPr>
              <w:numPr>
                <w:ilvl w:val="0"/>
                <w:numId w:val="0"/>
              </w:numPr>
              <w:spacing w:line="360" w:lineRule="auto"/>
              <w:jc w:val="both"/>
              <w:rPr>
                <w:rFonts w:hint="eastAsia" w:asciiTheme="majorEastAsia" w:hAnsiTheme="majorEastAsia" w:eastAsiaTheme="majorEastAsia" w:cstheme="majorEastAsia"/>
                <w:sz w:val="21"/>
                <w:szCs w:val="21"/>
                <w:highlight w:val="none"/>
                <w:u w:val="none"/>
                <w:lang w:val="en-US" w:eastAsia="zh-CN"/>
              </w:rPr>
            </w:pPr>
            <w:r>
              <w:rPr>
                <w:rFonts w:hint="eastAsia" w:asciiTheme="majorEastAsia" w:hAnsiTheme="majorEastAsia" w:eastAsiaTheme="majorEastAsia" w:cstheme="majorEastAsia"/>
                <w:sz w:val="21"/>
                <w:szCs w:val="21"/>
                <w:highlight w:val="none"/>
                <w:u w:val="none"/>
                <w:lang w:val="en-US" w:eastAsia="zh-CN"/>
              </w:rPr>
              <w:t>1.满足《中华人民共和国政府采购法》第二十二条规定。</w:t>
            </w:r>
          </w:p>
          <w:p w14:paraId="28ECFEB8">
            <w:pPr>
              <w:numPr>
                <w:ilvl w:val="0"/>
                <w:numId w:val="0"/>
              </w:numPr>
              <w:spacing w:line="360" w:lineRule="auto"/>
              <w:jc w:val="both"/>
              <w:rPr>
                <w:rFonts w:hint="eastAsia" w:asciiTheme="majorEastAsia" w:hAnsiTheme="majorEastAsia" w:eastAsiaTheme="majorEastAsia" w:cstheme="majorEastAsia"/>
                <w:sz w:val="21"/>
                <w:szCs w:val="21"/>
                <w:highlight w:val="none"/>
                <w:u w:val="none"/>
                <w:lang w:val="en-US" w:eastAsia="zh-CN"/>
              </w:rPr>
            </w:pPr>
            <w:r>
              <w:rPr>
                <w:rFonts w:hint="eastAsia" w:asciiTheme="majorEastAsia" w:hAnsiTheme="majorEastAsia" w:eastAsiaTheme="majorEastAsia" w:cstheme="majorEastAsia"/>
                <w:sz w:val="21"/>
                <w:szCs w:val="21"/>
                <w:highlight w:val="none"/>
                <w:u w:val="none"/>
                <w:lang w:val="en-US" w:eastAsia="zh-CN"/>
              </w:rPr>
              <w:t>2.本项目采购标的为第三类医疗器械，供应商须按《医疗器械监督管理条例》（国务院令第739号)的分类管理要求，具备有效的第三类《医疗器械经营许可证》（经营范围须包含本次采购标的);或供应商为产品注册人，具有《医疗器械监督管理条例》第四十三条规定的医疗器械注册人凭证。</w:t>
            </w:r>
          </w:p>
          <w:p w14:paraId="12894BC2">
            <w:pPr>
              <w:numPr>
                <w:ilvl w:val="0"/>
                <w:numId w:val="0"/>
              </w:numPr>
              <w:spacing w:line="360" w:lineRule="auto"/>
              <w:jc w:val="both"/>
              <w:rPr>
                <w:rFonts w:hint="eastAsia" w:asciiTheme="majorEastAsia" w:hAnsiTheme="majorEastAsia" w:eastAsiaTheme="majorEastAsia" w:cstheme="majorEastAsia"/>
                <w:sz w:val="21"/>
                <w:szCs w:val="21"/>
                <w:highlight w:val="none"/>
                <w:u w:val="none"/>
                <w:lang w:val="en-US" w:eastAsia="zh-CN"/>
              </w:rPr>
            </w:pPr>
            <w:r>
              <w:rPr>
                <w:rFonts w:hint="eastAsia" w:asciiTheme="majorEastAsia" w:hAnsiTheme="majorEastAsia" w:eastAsiaTheme="majorEastAsia" w:cstheme="majorEastAsia"/>
                <w:sz w:val="21"/>
                <w:szCs w:val="21"/>
                <w:highlight w:val="none"/>
                <w:u w:val="none"/>
                <w:lang w:val="en-US" w:eastAsia="zh-CN"/>
              </w:rPr>
              <w:t>3.本项目不接受联合体形式的供应商。</w:t>
            </w:r>
          </w:p>
        </w:tc>
      </w:tr>
      <w:tr w14:paraId="4DB36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vAlign w:val="top"/>
          </w:tcPr>
          <w:p w14:paraId="43FB53E8">
            <w:pPr>
              <w:numPr>
                <w:ilvl w:val="0"/>
                <w:numId w:val="0"/>
              </w:numPr>
              <w:spacing w:line="360" w:lineRule="auto"/>
              <w:ind w:left="0" w:leftChars="0" w:firstLine="0" w:firstLineChars="0"/>
              <w:jc w:val="center"/>
              <w:rPr>
                <w:rFonts w:hint="default"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9</w:t>
            </w:r>
          </w:p>
        </w:tc>
        <w:tc>
          <w:tcPr>
            <w:tcW w:w="1522" w:type="dxa"/>
            <w:shd w:val="clear" w:color="auto" w:fill="auto"/>
            <w:vAlign w:val="top"/>
          </w:tcPr>
          <w:p w14:paraId="1D156EC4">
            <w:pPr>
              <w:numPr>
                <w:ilvl w:val="0"/>
                <w:numId w:val="0"/>
              </w:numPr>
              <w:spacing w:line="360" w:lineRule="auto"/>
              <w:ind w:left="0" w:leftChars="0" w:firstLine="0" w:firstLineChars="0"/>
              <w:jc w:val="left"/>
              <w:rPr>
                <w:rFonts w:hint="default" w:asciiTheme="minorEastAsia" w:hAnsiTheme="minorEastAsia" w:eastAsiaTheme="minorEastAsia" w:cstheme="minorEastAsia"/>
                <w:b/>
                <w:bCs/>
                <w:sz w:val="21"/>
                <w:szCs w:val="21"/>
                <w:lang w:val="en-US" w:eastAsia="zh-CN"/>
              </w:rPr>
            </w:pPr>
            <w:r>
              <w:rPr>
                <w:rFonts w:hint="default" w:ascii="Times New Roman" w:hAnsi="Times New Roman" w:cs="Times New Roman"/>
                <w:b/>
                <w:bCs/>
                <w:szCs w:val="21"/>
              </w:rPr>
              <w:t>知识产权</w:t>
            </w:r>
            <w:r>
              <w:rPr>
                <w:rFonts w:hint="eastAsia" w:ascii="Times New Roman" w:hAnsi="Times New Roman" w:cs="Times New Roman"/>
                <w:b/>
                <w:bCs/>
                <w:szCs w:val="21"/>
                <w:lang w:val="en-US" w:eastAsia="zh-CN"/>
              </w:rPr>
              <w:t>及其他</w:t>
            </w:r>
          </w:p>
        </w:tc>
        <w:tc>
          <w:tcPr>
            <w:tcW w:w="6593" w:type="dxa"/>
            <w:vAlign w:val="top"/>
          </w:tcPr>
          <w:p w14:paraId="1203E2F6">
            <w:pPr>
              <w:numPr>
                <w:ilvl w:val="0"/>
                <w:numId w:val="0"/>
              </w:numPr>
              <w:spacing w:line="360" w:lineRule="auto"/>
              <w:ind w:left="0" w:leftChars="0" w:firstLine="0" w:firstLineChars="0"/>
              <w:jc w:val="left"/>
              <w:rPr>
                <w:rFonts w:hint="eastAsia" w:asciiTheme="majorEastAsia" w:hAnsiTheme="majorEastAsia" w:eastAsiaTheme="majorEastAsia" w:cstheme="majorEastAsia"/>
                <w:sz w:val="21"/>
                <w:szCs w:val="21"/>
                <w:highlight w:val="none"/>
                <w:u w:val="none"/>
                <w:lang w:val="en-US" w:eastAsia="zh-CN"/>
              </w:rPr>
            </w:pPr>
            <w:r>
              <w:rPr>
                <w:rFonts w:hint="eastAsia" w:asciiTheme="majorEastAsia" w:hAnsiTheme="majorEastAsia" w:eastAsiaTheme="majorEastAsia" w:cstheme="majorEastAsia"/>
                <w:sz w:val="21"/>
                <w:szCs w:val="21"/>
                <w:highlight w:val="none"/>
                <w:u w:val="none"/>
                <w:lang w:val="en-US" w:eastAsia="zh-CN"/>
              </w:rPr>
              <w:t>1.采购人在中华人民共和国境内使用成交供应商提供的产品及服务时免受第三方提出的侵犯其专利权或其它知识产权的起诉。如果第三方提出侵权指控，成交供应商应承担由此而引起的一切法律责任和费用。</w:t>
            </w:r>
          </w:p>
          <w:p w14:paraId="3E5B9659">
            <w:pPr>
              <w:numPr>
                <w:ilvl w:val="0"/>
                <w:numId w:val="0"/>
              </w:numPr>
              <w:spacing w:line="360" w:lineRule="auto"/>
              <w:ind w:left="0" w:leftChars="0" w:firstLine="0" w:firstLineChars="0"/>
              <w:jc w:val="left"/>
              <w:rPr>
                <w:rFonts w:hint="eastAsia" w:asciiTheme="majorEastAsia" w:hAnsiTheme="majorEastAsia" w:eastAsiaTheme="majorEastAsia" w:cstheme="majorEastAsia"/>
                <w:sz w:val="21"/>
                <w:szCs w:val="21"/>
                <w:highlight w:val="none"/>
                <w:u w:val="none"/>
                <w:lang w:val="en-US" w:eastAsia="zh-CN"/>
              </w:rPr>
            </w:pPr>
            <w:r>
              <w:rPr>
                <w:rFonts w:hint="eastAsia" w:asciiTheme="majorEastAsia" w:hAnsiTheme="majorEastAsia" w:eastAsiaTheme="majorEastAsia" w:cstheme="majorEastAsia"/>
                <w:sz w:val="21"/>
                <w:szCs w:val="21"/>
                <w:highlight w:val="none"/>
                <w:u w:val="none"/>
                <w:lang w:val="en-US" w:eastAsia="zh-CN"/>
              </w:rPr>
              <w:t>2.在货物验收时候，如发现存在虚假响应，采购人将终止合同，并上报监督管理部门进行处罚。</w:t>
            </w:r>
          </w:p>
        </w:tc>
      </w:tr>
      <w:tr w14:paraId="5D08E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vAlign w:val="top"/>
          </w:tcPr>
          <w:p w14:paraId="18F32AFE">
            <w:pPr>
              <w:numPr>
                <w:ilvl w:val="0"/>
                <w:numId w:val="0"/>
              </w:numPr>
              <w:spacing w:line="360" w:lineRule="auto"/>
              <w:ind w:left="0" w:leftChars="0" w:firstLine="0" w:firstLineChars="0"/>
              <w:jc w:val="center"/>
              <w:rPr>
                <w:rFonts w:hint="default"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highlight w:val="none"/>
                <w:vertAlign w:val="baseline"/>
                <w:lang w:val="en-US" w:eastAsia="zh-CN"/>
              </w:rPr>
              <w:t>10</w:t>
            </w:r>
          </w:p>
        </w:tc>
        <w:tc>
          <w:tcPr>
            <w:tcW w:w="1522" w:type="dxa"/>
            <w:shd w:val="clear" w:color="auto" w:fill="auto"/>
            <w:vAlign w:val="top"/>
          </w:tcPr>
          <w:p w14:paraId="7F34E97F">
            <w:pPr>
              <w:numPr>
                <w:ilvl w:val="0"/>
                <w:numId w:val="0"/>
              </w:numPr>
              <w:spacing w:line="360" w:lineRule="auto"/>
              <w:ind w:left="0" w:leftChars="0" w:firstLine="0" w:firstLineChars="0"/>
              <w:jc w:val="left"/>
              <w:rPr>
                <w:rFonts w:hint="default" w:asciiTheme="minorEastAsia" w:hAnsiTheme="minorEastAsia" w:eastAsiaTheme="minorEastAsia" w:cstheme="minorEastAsia"/>
                <w:b/>
                <w:bCs/>
                <w:sz w:val="21"/>
                <w:szCs w:val="21"/>
                <w:lang w:val="en-US" w:eastAsia="zh-CN"/>
              </w:rPr>
            </w:pPr>
            <w:r>
              <w:rPr>
                <w:rFonts w:hint="default" w:asciiTheme="minorEastAsia" w:hAnsiTheme="minorEastAsia" w:eastAsiaTheme="minorEastAsia" w:cstheme="minorEastAsia"/>
                <w:b/>
                <w:bCs/>
                <w:sz w:val="21"/>
                <w:szCs w:val="21"/>
                <w:lang w:val="en-US" w:eastAsia="zh-CN"/>
              </w:rPr>
              <w:t>其他要求</w:t>
            </w:r>
          </w:p>
        </w:tc>
        <w:tc>
          <w:tcPr>
            <w:tcW w:w="6593" w:type="dxa"/>
            <w:vAlign w:val="top"/>
          </w:tcPr>
          <w:p w14:paraId="2DD39184">
            <w:pPr>
              <w:numPr>
                <w:ilvl w:val="0"/>
                <w:numId w:val="0"/>
              </w:numPr>
              <w:spacing w:line="360" w:lineRule="auto"/>
              <w:ind w:left="0" w:leftChars="0" w:firstLine="0" w:firstLineChars="0"/>
              <w:jc w:val="left"/>
              <w:rPr>
                <w:rFonts w:hint="eastAsia" w:asciiTheme="majorEastAsia" w:hAnsiTheme="majorEastAsia" w:eastAsiaTheme="majorEastAsia" w:cstheme="majorEastAsia"/>
                <w:sz w:val="21"/>
                <w:szCs w:val="21"/>
                <w:highlight w:val="none"/>
                <w:u w:val="none"/>
                <w:lang w:val="en-US" w:eastAsia="zh-CN"/>
              </w:rPr>
            </w:pPr>
            <w:r>
              <w:rPr>
                <w:rFonts w:hint="eastAsia" w:asciiTheme="majorEastAsia" w:hAnsiTheme="majorEastAsia" w:eastAsiaTheme="majorEastAsia" w:cstheme="majorEastAsia"/>
                <w:sz w:val="21"/>
                <w:szCs w:val="21"/>
                <w:highlight w:val="none"/>
                <w:u w:val="none"/>
                <w:lang w:val="en-US" w:eastAsia="zh-CN"/>
              </w:rPr>
              <w:t>1.成交供应商配送时必须向采购人提供原厂生产的全新合格产品，同时提供产品的全套资料，包含但不限于：“医疗器械生产企业许可证”、“医疗器械经营许可/备案证”、“中华人民共和国医疗器械注册证和注册登记表”、“一次性医疗用品质量跟踪卡”、“产品合格证”、“同批次产品检验报告”。</w:t>
            </w:r>
          </w:p>
          <w:p w14:paraId="00947FA2">
            <w:pPr>
              <w:numPr>
                <w:ilvl w:val="0"/>
                <w:numId w:val="0"/>
              </w:numPr>
              <w:spacing w:line="360" w:lineRule="auto"/>
              <w:ind w:left="0" w:leftChars="0" w:firstLine="0" w:firstLineChars="0"/>
              <w:jc w:val="left"/>
              <w:rPr>
                <w:rFonts w:hint="eastAsia" w:asciiTheme="majorEastAsia" w:hAnsiTheme="majorEastAsia" w:eastAsiaTheme="majorEastAsia" w:cstheme="majorEastAsia"/>
                <w:sz w:val="21"/>
                <w:szCs w:val="21"/>
                <w:highlight w:val="none"/>
                <w:u w:val="none"/>
                <w:lang w:val="en-US" w:eastAsia="zh-CN"/>
              </w:rPr>
            </w:pPr>
            <w:r>
              <w:rPr>
                <w:rFonts w:hint="eastAsia" w:asciiTheme="majorEastAsia" w:hAnsiTheme="majorEastAsia" w:eastAsiaTheme="majorEastAsia" w:cstheme="majorEastAsia"/>
                <w:sz w:val="21"/>
                <w:szCs w:val="21"/>
                <w:highlight w:val="none"/>
                <w:u w:val="none"/>
                <w:lang w:val="en-US" w:eastAsia="zh-CN"/>
              </w:rPr>
              <w:t>2.“技术要求”中有特殊要求的，按其要求执行；未作要求的，投标文件中需提供硬件产品生产商编写的有参数描述的产品说明书或彩页（应有详细的产品技术介绍、技术参数、产品图样照片等），当投标文件中提供的产品参数与该产品生产商提供的参数同一参数内容不符合时，以生产商资料为准。</w:t>
            </w:r>
          </w:p>
          <w:p w14:paraId="4648FF30">
            <w:pPr>
              <w:numPr>
                <w:ilvl w:val="0"/>
                <w:numId w:val="0"/>
              </w:numPr>
              <w:spacing w:line="360" w:lineRule="auto"/>
              <w:ind w:left="0" w:leftChars="0" w:firstLine="0" w:firstLineChars="0"/>
              <w:jc w:val="left"/>
              <w:rPr>
                <w:rFonts w:hint="eastAsia" w:asciiTheme="majorEastAsia" w:hAnsiTheme="majorEastAsia" w:eastAsiaTheme="majorEastAsia" w:cstheme="majorEastAsia"/>
                <w:sz w:val="21"/>
                <w:szCs w:val="21"/>
                <w:highlight w:val="none"/>
                <w:u w:val="none"/>
                <w:lang w:val="en-US" w:eastAsia="zh-CN"/>
              </w:rPr>
            </w:pPr>
            <w:r>
              <w:rPr>
                <w:rFonts w:hint="eastAsia" w:asciiTheme="majorEastAsia" w:hAnsiTheme="majorEastAsia" w:eastAsiaTheme="majorEastAsia" w:cstheme="majorEastAsia"/>
                <w:sz w:val="21"/>
                <w:szCs w:val="21"/>
                <w:highlight w:val="none"/>
                <w:u w:val="none"/>
                <w:lang w:val="en-US" w:eastAsia="zh-CN"/>
              </w:rPr>
              <w:t>3.成交供应商按合同附件要求的品牌型号、规格、价格提供产品，所提供的产品与医疗器械注册证和注册登记表完全相符。如与采购人计划不符或达不到合同约定的，采购人可要求成交供应商立即退货、换货、补货。未经采购人书面同意，成交供应商不得更换产品品牌、型号，否则采购人有权终止合同。</w:t>
            </w:r>
          </w:p>
          <w:p w14:paraId="44136983">
            <w:pPr>
              <w:numPr>
                <w:ilvl w:val="0"/>
                <w:numId w:val="0"/>
              </w:numPr>
              <w:spacing w:line="360" w:lineRule="auto"/>
              <w:ind w:left="0" w:leftChars="0" w:firstLine="0" w:firstLineChars="0"/>
              <w:jc w:val="left"/>
              <w:rPr>
                <w:rFonts w:hint="eastAsia" w:asciiTheme="majorEastAsia" w:hAnsiTheme="majorEastAsia" w:eastAsiaTheme="majorEastAsia" w:cstheme="majorEastAsia"/>
                <w:sz w:val="21"/>
                <w:szCs w:val="21"/>
                <w:highlight w:val="none"/>
                <w:u w:val="none"/>
                <w:lang w:val="en-US" w:eastAsia="zh-CN"/>
              </w:rPr>
            </w:pPr>
            <w:r>
              <w:rPr>
                <w:rFonts w:hint="eastAsia" w:asciiTheme="majorEastAsia" w:hAnsiTheme="majorEastAsia" w:eastAsiaTheme="majorEastAsia" w:cstheme="majorEastAsia"/>
                <w:sz w:val="21"/>
                <w:szCs w:val="21"/>
                <w:highlight w:val="none"/>
                <w:u w:val="none"/>
                <w:lang w:val="en-US" w:eastAsia="zh-CN"/>
              </w:rPr>
              <w:t>4.对不符合质量要求或不符合无菌转运要求的产品，采购人有权拒绝接收，成交供应商应对相应产品及时进行更换，不得影响采购人的临床应用。本规定的执行不免除成交供应商因产品质量产生的其他责任。</w:t>
            </w:r>
          </w:p>
          <w:p w14:paraId="6BDF4962">
            <w:pPr>
              <w:numPr>
                <w:ilvl w:val="0"/>
                <w:numId w:val="0"/>
              </w:numPr>
              <w:spacing w:line="360" w:lineRule="auto"/>
              <w:ind w:left="0" w:leftChars="0" w:firstLine="0" w:firstLineChars="0"/>
              <w:jc w:val="left"/>
              <w:rPr>
                <w:rFonts w:hint="eastAsia" w:asciiTheme="majorEastAsia" w:hAnsiTheme="majorEastAsia" w:eastAsiaTheme="majorEastAsia" w:cstheme="majorEastAsia"/>
                <w:sz w:val="21"/>
                <w:szCs w:val="21"/>
                <w:highlight w:val="none"/>
                <w:u w:val="none"/>
                <w:lang w:val="en-US" w:eastAsia="zh-CN"/>
              </w:rPr>
            </w:pPr>
            <w:r>
              <w:rPr>
                <w:rFonts w:hint="eastAsia" w:asciiTheme="majorEastAsia" w:hAnsiTheme="majorEastAsia" w:eastAsiaTheme="majorEastAsia" w:cstheme="majorEastAsia"/>
                <w:sz w:val="21"/>
                <w:szCs w:val="21"/>
                <w:highlight w:val="none"/>
                <w:u w:val="none"/>
                <w:lang w:val="en-US" w:eastAsia="zh-CN"/>
              </w:rPr>
              <w:t>5.成交供应商要保证供应最新批号的产品。</w:t>
            </w:r>
          </w:p>
          <w:p w14:paraId="5BA4E574">
            <w:pPr>
              <w:numPr>
                <w:ilvl w:val="0"/>
                <w:numId w:val="0"/>
              </w:numPr>
              <w:spacing w:line="360" w:lineRule="auto"/>
              <w:ind w:left="0" w:leftChars="0" w:firstLine="0" w:firstLineChars="0"/>
              <w:jc w:val="left"/>
              <w:rPr>
                <w:rFonts w:hint="eastAsia" w:asciiTheme="majorEastAsia" w:hAnsiTheme="majorEastAsia" w:eastAsiaTheme="majorEastAsia" w:cstheme="majorEastAsia"/>
                <w:sz w:val="21"/>
                <w:szCs w:val="21"/>
                <w:highlight w:val="none"/>
                <w:u w:val="none"/>
                <w:lang w:val="en-US" w:eastAsia="zh-CN"/>
              </w:rPr>
            </w:pPr>
            <w:r>
              <w:rPr>
                <w:rFonts w:hint="eastAsia" w:asciiTheme="majorEastAsia" w:hAnsiTheme="majorEastAsia" w:eastAsiaTheme="majorEastAsia" w:cstheme="majorEastAsia"/>
                <w:sz w:val="21"/>
                <w:szCs w:val="21"/>
                <w:highlight w:val="none"/>
                <w:u w:val="none"/>
                <w:lang w:val="en-US" w:eastAsia="zh-CN"/>
              </w:rPr>
              <w:t>6.供应商配送的试剂耗材进入医院后，应接受国家、省、市有关行业主管部门的抽查或检验。在抽查或检验过程中由于成交供应商产品的证照、标识、质量等问题而导致的罚没款项均由成交供应商承担相应的法律责任。</w:t>
            </w:r>
          </w:p>
          <w:p w14:paraId="416C6893">
            <w:pPr>
              <w:numPr>
                <w:ilvl w:val="0"/>
                <w:numId w:val="0"/>
              </w:numPr>
              <w:spacing w:line="360" w:lineRule="auto"/>
              <w:ind w:left="0" w:leftChars="0" w:firstLine="0" w:firstLineChars="0"/>
              <w:jc w:val="left"/>
              <w:rPr>
                <w:rFonts w:hint="eastAsia" w:asciiTheme="majorEastAsia" w:hAnsiTheme="majorEastAsia" w:eastAsiaTheme="majorEastAsia" w:cstheme="majorEastAsia"/>
                <w:sz w:val="21"/>
                <w:szCs w:val="21"/>
                <w:highlight w:val="none"/>
                <w:u w:val="none"/>
                <w:lang w:val="en-US" w:eastAsia="zh-CN"/>
              </w:rPr>
            </w:pPr>
            <w:r>
              <w:rPr>
                <w:rFonts w:hint="eastAsia" w:asciiTheme="majorEastAsia" w:hAnsiTheme="majorEastAsia" w:eastAsiaTheme="majorEastAsia" w:cstheme="majorEastAsia"/>
                <w:sz w:val="21"/>
                <w:szCs w:val="21"/>
                <w:highlight w:val="none"/>
                <w:u w:val="none"/>
                <w:lang w:val="en-US" w:eastAsia="zh-CN"/>
              </w:rPr>
              <w:t>7.服务期限内如遇国家、自治区出台新的政策文件，涉及本品种采购和使用要求则按国家、自治区政策文件要求执行包括但不限于停止采购、限价、限量，成交供应商自行承担采购政策变化带来的风险。如本合同不符合新政策规定导致不能继续履行的，采购人有权终止合同。</w:t>
            </w:r>
          </w:p>
          <w:p w14:paraId="48AA7BED">
            <w:pPr>
              <w:numPr>
                <w:ilvl w:val="0"/>
                <w:numId w:val="0"/>
              </w:numPr>
              <w:spacing w:line="360" w:lineRule="auto"/>
              <w:ind w:left="0" w:leftChars="0" w:firstLine="0" w:firstLineChars="0"/>
              <w:jc w:val="left"/>
              <w:rPr>
                <w:rFonts w:hint="eastAsia" w:asciiTheme="majorEastAsia" w:hAnsiTheme="majorEastAsia" w:eastAsiaTheme="majorEastAsia" w:cstheme="majorEastAsia"/>
                <w:sz w:val="21"/>
                <w:szCs w:val="21"/>
                <w:highlight w:val="none"/>
                <w:u w:val="none"/>
                <w:lang w:val="en-US" w:eastAsia="zh-CN"/>
              </w:rPr>
            </w:pPr>
            <w:r>
              <w:rPr>
                <w:rFonts w:hint="eastAsia" w:asciiTheme="majorEastAsia" w:hAnsiTheme="majorEastAsia" w:eastAsiaTheme="majorEastAsia" w:cstheme="majorEastAsia"/>
                <w:sz w:val="21"/>
                <w:szCs w:val="21"/>
                <w:highlight w:val="none"/>
                <w:u w:val="none"/>
                <w:lang w:val="en-US" w:eastAsia="zh-CN"/>
              </w:rPr>
              <w:t>▲8.医疗器械注册证：以上配送清单供应商配送的产品如属医疗器械管理范畴的，配送产品属第二、三类医疗器械产品的，投标文件中须按《医疗器械注册与备案管理办法》 (国家市场监督管理总局令第 47 号)提供该设备有效的医疗器械注册证复印件加盖投标单位公章，否则投标无效。</w:t>
            </w:r>
          </w:p>
          <w:p w14:paraId="75B33EFD">
            <w:pPr>
              <w:numPr>
                <w:ilvl w:val="0"/>
                <w:numId w:val="0"/>
              </w:numPr>
              <w:spacing w:line="360" w:lineRule="auto"/>
              <w:ind w:left="0" w:leftChars="0" w:firstLine="0" w:firstLineChars="0"/>
              <w:jc w:val="left"/>
              <w:rPr>
                <w:rFonts w:hint="eastAsia" w:asciiTheme="majorEastAsia" w:hAnsiTheme="majorEastAsia" w:eastAsiaTheme="majorEastAsia" w:cstheme="majorEastAsia"/>
                <w:sz w:val="21"/>
                <w:szCs w:val="21"/>
                <w:highlight w:val="none"/>
                <w:u w:val="none"/>
                <w:lang w:val="en-US" w:eastAsia="zh-CN"/>
              </w:rPr>
            </w:pPr>
            <w:r>
              <w:rPr>
                <w:rFonts w:hint="eastAsia" w:asciiTheme="majorEastAsia" w:hAnsiTheme="majorEastAsia" w:eastAsiaTheme="majorEastAsia" w:cstheme="majorEastAsia"/>
                <w:sz w:val="21"/>
                <w:szCs w:val="21"/>
                <w:highlight w:val="none"/>
                <w:u w:val="none"/>
                <w:lang w:val="en-US" w:eastAsia="zh-CN"/>
              </w:rPr>
              <w:t>9.服务期内，产品因厂家停产等情况导致无法正常供货的，供应商应提交书面说明，经采购人同意，双方就替代产品另行协商并签订补充协议。</w:t>
            </w:r>
          </w:p>
          <w:p w14:paraId="170AAE1E">
            <w:pPr>
              <w:numPr>
                <w:ilvl w:val="0"/>
                <w:numId w:val="0"/>
              </w:numPr>
              <w:spacing w:line="360" w:lineRule="auto"/>
              <w:ind w:left="0" w:leftChars="0" w:firstLine="0" w:firstLineChars="0"/>
              <w:jc w:val="left"/>
              <w:rPr>
                <w:rFonts w:hint="eastAsia" w:asciiTheme="majorEastAsia" w:hAnsiTheme="majorEastAsia" w:eastAsiaTheme="majorEastAsia" w:cstheme="majorEastAsia"/>
                <w:sz w:val="21"/>
                <w:szCs w:val="21"/>
                <w:highlight w:val="none"/>
                <w:u w:val="none"/>
                <w:lang w:val="en-US" w:eastAsia="zh-CN"/>
              </w:rPr>
            </w:pPr>
            <w:r>
              <w:rPr>
                <w:rFonts w:hint="eastAsia" w:asciiTheme="majorEastAsia" w:hAnsiTheme="majorEastAsia" w:eastAsiaTheme="majorEastAsia" w:cstheme="majorEastAsia"/>
                <w:sz w:val="21"/>
                <w:szCs w:val="21"/>
                <w:highlight w:val="none"/>
                <w:u w:val="none"/>
                <w:lang w:val="en-US" w:eastAsia="zh-CN"/>
              </w:rPr>
              <w:t>10.供应商必须向采购人提供合同约定产品，因供应商供应的产品证照、质量、售后服务等瑕疵而引发的医疗事故或纠纷给采购人造成的全部经济损失（包括但不限于诊疗费用、手术费用、材料费用、赔偿病人或其亲属的因人身损害赔偿的全部费用）均由供应商全部承担；采购人有权要求供应商退换已用产品，并追究供应商追究违约责任，同时采购人有权终止合同。</w:t>
            </w:r>
          </w:p>
          <w:p w14:paraId="5C114EB8">
            <w:pPr>
              <w:numPr>
                <w:ilvl w:val="0"/>
                <w:numId w:val="0"/>
              </w:numPr>
              <w:spacing w:line="360" w:lineRule="auto"/>
              <w:ind w:left="0" w:leftChars="0" w:firstLine="0" w:firstLineChars="0"/>
              <w:jc w:val="left"/>
              <w:rPr>
                <w:rFonts w:hint="eastAsia" w:asciiTheme="majorEastAsia" w:hAnsiTheme="majorEastAsia" w:eastAsiaTheme="majorEastAsia" w:cstheme="majorEastAsia"/>
                <w:sz w:val="21"/>
                <w:szCs w:val="21"/>
                <w:highlight w:val="none"/>
                <w:u w:val="none"/>
                <w:lang w:val="en-US" w:eastAsia="zh-CN"/>
              </w:rPr>
            </w:pPr>
            <w:r>
              <w:rPr>
                <w:rFonts w:hint="eastAsia" w:asciiTheme="majorEastAsia" w:hAnsiTheme="majorEastAsia" w:eastAsiaTheme="majorEastAsia" w:cstheme="majorEastAsia"/>
                <w:sz w:val="21"/>
                <w:szCs w:val="21"/>
                <w:highlight w:val="none"/>
                <w:u w:val="none"/>
                <w:lang w:val="en-US" w:eastAsia="zh-CN"/>
              </w:rPr>
              <w:t>▲11.成交供应商在配送产品时必须提供所配送产品生产厂家合法授权的厂家代理商出具的授权书，原件备查。</w:t>
            </w:r>
          </w:p>
          <w:p w14:paraId="1C41D6A8">
            <w:pPr>
              <w:numPr>
                <w:ilvl w:val="0"/>
                <w:numId w:val="0"/>
              </w:numPr>
              <w:spacing w:line="360" w:lineRule="auto"/>
              <w:ind w:left="0" w:leftChars="0" w:firstLine="0" w:firstLineChars="0"/>
              <w:jc w:val="left"/>
              <w:rPr>
                <w:rFonts w:hint="eastAsia" w:asciiTheme="majorEastAsia" w:hAnsiTheme="majorEastAsia" w:eastAsiaTheme="majorEastAsia" w:cstheme="majorEastAsia"/>
                <w:sz w:val="21"/>
                <w:szCs w:val="21"/>
                <w:highlight w:val="none"/>
                <w:u w:val="none"/>
                <w:lang w:val="en-US" w:eastAsia="zh-CN"/>
              </w:rPr>
            </w:pPr>
            <w:r>
              <w:rPr>
                <w:rFonts w:hint="eastAsia" w:asciiTheme="majorEastAsia" w:hAnsiTheme="majorEastAsia" w:eastAsiaTheme="majorEastAsia" w:cstheme="majorEastAsia"/>
                <w:sz w:val="21"/>
                <w:szCs w:val="21"/>
                <w:highlight w:val="none"/>
                <w:u w:val="none"/>
                <w:lang w:val="en-US" w:eastAsia="zh-CN"/>
              </w:rPr>
              <w:t>12.技术支持资料：不限于对外公开的产品彩页或说明书或检测报告或用户手册证明材料等（体现技术参数，可以是从生产厂家网页下载的 PDF 或 HTM 文件或在食品药品监督管理部门备案的技术参数或检测报告或生产厂家盖章的技术参数证明材料），以供评标时核对。当投标文件提供的参数与该货物生产商提供的性能参数不符合时，以后者为准。</w:t>
            </w:r>
          </w:p>
          <w:p w14:paraId="798FDD2D">
            <w:pPr>
              <w:numPr>
                <w:ilvl w:val="0"/>
                <w:numId w:val="0"/>
              </w:numPr>
              <w:spacing w:line="360" w:lineRule="auto"/>
              <w:ind w:left="0" w:leftChars="0" w:firstLine="0" w:firstLineChars="0"/>
              <w:jc w:val="left"/>
              <w:rPr>
                <w:rFonts w:hint="eastAsia" w:asciiTheme="majorEastAsia" w:hAnsiTheme="majorEastAsia" w:eastAsiaTheme="majorEastAsia" w:cstheme="majorEastAsia"/>
                <w:sz w:val="21"/>
                <w:szCs w:val="21"/>
                <w:highlight w:val="none"/>
                <w:u w:val="none"/>
                <w:lang w:val="en-US" w:eastAsia="zh-CN"/>
              </w:rPr>
            </w:pPr>
            <w:r>
              <w:rPr>
                <w:rFonts w:hint="eastAsia" w:asciiTheme="majorEastAsia" w:hAnsiTheme="majorEastAsia" w:eastAsiaTheme="majorEastAsia" w:cstheme="majorEastAsia"/>
                <w:sz w:val="21"/>
                <w:szCs w:val="21"/>
                <w:highlight w:val="none"/>
                <w:u w:val="none"/>
                <w:lang w:val="en-US" w:eastAsia="zh-CN"/>
              </w:rPr>
              <w:t>13.响应供应商如有请提供与本项目需求相关的项目实施方案、管理制度方案、配送车辆、售后服务方案、信誉业绩等资料。</w:t>
            </w:r>
          </w:p>
          <w:p w14:paraId="110C9415">
            <w:pPr>
              <w:numPr>
                <w:ilvl w:val="0"/>
                <w:numId w:val="0"/>
              </w:numPr>
              <w:spacing w:line="360" w:lineRule="auto"/>
              <w:ind w:left="0" w:leftChars="0" w:firstLine="0" w:firstLineChars="0"/>
              <w:jc w:val="left"/>
              <w:rPr>
                <w:rFonts w:hint="eastAsia" w:asciiTheme="majorEastAsia" w:hAnsiTheme="majorEastAsia" w:eastAsiaTheme="majorEastAsia" w:cstheme="majorEastAsia"/>
                <w:sz w:val="21"/>
                <w:szCs w:val="21"/>
                <w:highlight w:val="none"/>
                <w:u w:val="none"/>
                <w:lang w:val="en-US" w:eastAsia="zh-CN"/>
              </w:rPr>
            </w:pPr>
            <w:r>
              <w:rPr>
                <w:rFonts w:hint="eastAsia" w:asciiTheme="majorEastAsia" w:hAnsiTheme="majorEastAsia" w:eastAsiaTheme="majorEastAsia" w:cstheme="majorEastAsia"/>
                <w:sz w:val="21"/>
                <w:szCs w:val="21"/>
                <w:highlight w:val="none"/>
                <w:u w:val="none"/>
                <w:lang w:val="en-US" w:eastAsia="zh-CN"/>
              </w:rPr>
              <w:t>14.如国家对竞标产品实行注册证登记管理制度的，则成交供应商必须在响应文件中提供竞标产品的注册证复印件等证明文件，并提供相关的经营许可证复印件</w:t>
            </w:r>
          </w:p>
          <w:p w14:paraId="4DCF5E7E">
            <w:pPr>
              <w:numPr>
                <w:ilvl w:val="0"/>
                <w:numId w:val="0"/>
              </w:numPr>
              <w:spacing w:line="360" w:lineRule="auto"/>
              <w:ind w:left="0" w:leftChars="0" w:firstLine="0" w:firstLineChars="0"/>
              <w:jc w:val="left"/>
              <w:rPr>
                <w:rFonts w:hint="eastAsia" w:asciiTheme="majorEastAsia" w:hAnsiTheme="majorEastAsia" w:eastAsiaTheme="majorEastAsia" w:cstheme="majorEastAsia"/>
                <w:sz w:val="21"/>
                <w:szCs w:val="21"/>
                <w:highlight w:val="none"/>
                <w:u w:val="none"/>
                <w:lang w:val="en-US" w:eastAsia="zh-CN"/>
              </w:rPr>
            </w:pPr>
            <w:r>
              <w:rPr>
                <w:rFonts w:hint="eastAsia" w:asciiTheme="majorEastAsia" w:hAnsiTheme="majorEastAsia" w:eastAsiaTheme="majorEastAsia" w:cstheme="majorEastAsia"/>
                <w:sz w:val="21"/>
                <w:szCs w:val="21"/>
                <w:highlight w:val="none"/>
                <w:u w:val="none"/>
                <w:lang w:val="en-US" w:eastAsia="zh-CN"/>
              </w:rPr>
              <w:t>15.成交供应商在签订合同时须向采购人提供供货产品的生产厂家或国内合法代理商出具的有效保证供货证明原件。</w:t>
            </w:r>
          </w:p>
          <w:p w14:paraId="4296DC3C">
            <w:pPr>
              <w:numPr>
                <w:ilvl w:val="0"/>
                <w:numId w:val="0"/>
              </w:numPr>
              <w:spacing w:line="360" w:lineRule="auto"/>
              <w:ind w:left="0" w:leftChars="0" w:firstLine="0" w:firstLineChars="0"/>
              <w:jc w:val="left"/>
              <w:rPr>
                <w:rFonts w:hint="eastAsia" w:asciiTheme="majorEastAsia" w:hAnsiTheme="majorEastAsia" w:eastAsiaTheme="majorEastAsia" w:cstheme="majorEastAsia"/>
                <w:sz w:val="21"/>
                <w:szCs w:val="21"/>
                <w:highlight w:val="none"/>
                <w:u w:val="none"/>
                <w:lang w:val="en-US" w:eastAsia="zh-CN"/>
              </w:rPr>
            </w:pPr>
            <w:r>
              <w:rPr>
                <w:rFonts w:hint="eastAsia" w:asciiTheme="majorEastAsia" w:hAnsiTheme="majorEastAsia" w:eastAsiaTheme="majorEastAsia" w:cstheme="majorEastAsia"/>
                <w:sz w:val="21"/>
                <w:szCs w:val="21"/>
                <w:highlight w:val="none"/>
                <w:u w:val="none"/>
                <w:lang w:val="en-US" w:eastAsia="zh-CN"/>
              </w:rPr>
              <w:t>16.成交后，采购人在货物验收阶段发现货物技术参数指标达不到采购文件技术要求，采购人将拒绝收货，因采购时间延迟造成采购人经济等方面损失，将由该成交供应商承担。</w:t>
            </w:r>
          </w:p>
          <w:p w14:paraId="41D61947">
            <w:pPr>
              <w:numPr>
                <w:ilvl w:val="0"/>
                <w:numId w:val="0"/>
              </w:numPr>
              <w:spacing w:line="360" w:lineRule="auto"/>
              <w:ind w:left="0" w:leftChars="0" w:firstLine="0" w:firstLineChars="0"/>
              <w:jc w:val="left"/>
              <w:rPr>
                <w:rFonts w:hint="eastAsia" w:asciiTheme="majorEastAsia" w:hAnsiTheme="majorEastAsia" w:eastAsiaTheme="majorEastAsia" w:cstheme="majorEastAsia"/>
                <w:sz w:val="21"/>
                <w:szCs w:val="21"/>
                <w:highlight w:val="none"/>
                <w:u w:val="none"/>
                <w:lang w:val="en-US" w:eastAsia="zh-CN"/>
              </w:rPr>
            </w:pPr>
            <w:r>
              <w:rPr>
                <w:rFonts w:hint="eastAsia" w:asciiTheme="majorEastAsia" w:hAnsiTheme="majorEastAsia" w:eastAsiaTheme="majorEastAsia" w:cstheme="majorEastAsia"/>
                <w:sz w:val="21"/>
                <w:szCs w:val="21"/>
                <w:highlight w:val="none"/>
                <w:u w:val="none"/>
                <w:lang w:val="en-US" w:eastAsia="zh-CN"/>
              </w:rPr>
              <w:t>17.如果成交供应商以价格上调原因停止供货，需承担的相应违约责任，违约金可以从采购人应付的货款中直接扣除；如因停产不能供货，需有厂家出具的停产证明。</w:t>
            </w:r>
          </w:p>
          <w:p w14:paraId="4408F20E">
            <w:pPr>
              <w:numPr>
                <w:ilvl w:val="0"/>
                <w:numId w:val="0"/>
              </w:numPr>
              <w:spacing w:line="360" w:lineRule="auto"/>
              <w:ind w:left="0" w:leftChars="0" w:firstLine="0" w:firstLineChars="0"/>
              <w:jc w:val="left"/>
              <w:rPr>
                <w:rFonts w:hint="eastAsia" w:asciiTheme="majorEastAsia" w:hAnsiTheme="majorEastAsia" w:eastAsiaTheme="majorEastAsia" w:cstheme="majorEastAsia"/>
                <w:sz w:val="21"/>
                <w:szCs w:val="21"/>
                <w:highlight w:val="none"/>
                <w:u w:val="none"/>
                <w:lang w:val="en-US" w:eastAsia="zh-CN"/>
              </w:rPr>
            </w:pPr>
            <w:r>
              <w:rPr>
                <w:rFonts w:hint="eastAsia" w:asciiTheme="majorEastAsia" w:hAnsiTheme="majorEastAsia" w:eastAsiaTheme="majorEastAsia" w:cstheme="majorEastAsia"/>
                <w:sz w:val="21"/>
                <w:szCs w:val="21"/>
                <w:highlight w:val="none"/>
                <w:u w:val="none"/>
                <w:lang w:val="en-US" w:eastAsia="zh-CN"/>
              </w:rPr>
              <w:t>19.若成交供应商发生与产品相关的事故，不论是否与产品质量有关，成交供应商必须积极参与事故的处理。</w:t>
            </w:r>
          </w:p>
          <w:p w14:paraId="05E65CFF">
            <w:pPr>
              <w:numPr>
                <w:ilvl w:val="0"/>
                <w:numId w:val="0"/>
              </w:numPr>
              <w:spacing w:line="360" w:lineRule="auto"/>
              <w:ind w:left="0" w:leftChars="0" w:firstLine="0" w:firstLineChars="0"/>
              <w:jc w:val="left"/>
              <w:rPr>
                <w:rFonts w:hint="eastAsia" w:asciiTheme="majorEastAsia" w:hAnsiTheme="majorEastAsia" w:eastAsiaTheme="majorEastAsia" w:cstheme="majorEastAsia"/>
                <w:sz w:val="21"/>
                <w:szCs w:val="21"/>
                <w:highlight w:val="none"/>
                <w:u w:val="none"/>
                <w:lang w:val="en-US" w:eastAsia="zh-CN"/>
              </w:rPr>
            </w:pPr>
            <w:r>
              <w:rPr>
                <w:rFonts w:hint="eastAsia" w:asciiTheme="majorEastAsia" w:hAnsiTheme="majorEastAsia" w:eastAsiaTheme="majorEastAsia" w:cstheme="majorEastAsia"/>
                <w:sz w:val="21"/>
                <w:szCs w:val="21"/>
                <w:highlight w:val="none"/>
                <w:u w:val="none"/>
                <w:lang w:val="en-US" w:eastAsia="zh-CN"/>
              </w:rPr>
              <w:t>20.保证合同期限内的相关产品授权，不以授权到期为由申请转配送或逾期不供货。</w:t>
            </w:r>
          </w:p>
        </w:tc>
      </w:tr>
    </w:tbl>
    <w:p w14:paraId="2A9B128D">
      <w:pPr>
        <w:pStyle w:val="3"/>
        <w:keepNext/>
        <w:keepLines/>
        <w:pageBreakBefore/>
        <w:widowControl w:val="0"/>
        <w:numPr>
          <w:ilvl w:val="0"/>
          <w:numId w:val="0"/>
        </w:numPr>
        <w:kinsoku/>
        <w:wordWrap/>
        <w:overflowPunct/>
        <w:topLinePunct w:val="0"/>
        <w:autoSpaceDE/>
        <w:autoSpaceDN/>
        <w:bidi w:val="0"/>
        <w:adjustRightInd/>
        <w:snapToGrid/>
        <w:spacing w:line="360" w:lineRule="auto"/>
        <w:ind w:leftChars="0"/>
        <w:jc w:val="center"/>
        <w:textAlignment w:val="auto"/>
        <w:outlineLvl w:val="0"/>
        <w:rPr>
          <w:rFonts w:hint="eastAsia" w:ascii="Times New Roman" w:hAnsi="Times New Roman" w:eastAsia="宋体" w:cs="Times New Roman"/>
          <w:sz w:val="36"/>
          <w:szCs w:val="36"/>
          <w:highlight w:val="none"/>
          <w:lang w:val="en-US" w:eastAsia="zh-CN"/>
        </w:rPr>
      </w:pPr>
      <w:bookmarkStart w:id="4" w:name="_Toc18067"/>
      <w:r>
        <w:rPr>
          <w:rFonts w:hint="eastAsia" w:ascii="Times New Roman" w:hAnsi="Times New Roman" w:eastAsia="宋体" w:cs="Times New Roman"/>
          <w:sz w:val="36"/>
          <w:szCs w:val="36"/>
          <w:highlight w:val="none"/>
          <w:lang w:val="en-US" w:eastAsia="zh-CN"/>
        </w:rPr>
        <w:t>第三章 响应文件格式</w:t>
      </w:r>
      <w:bookmarkEnd w:id="4"/>
    </w:p>
    <w:p w14:paraId="3F236313">
      <w:pPr>
        <w:spacing w:line="360" w:lineRule="auto"/>
        <w:rPr>
          <w:highlight w:val="none"/>
        </w:rPr>
      </w:pPr>
    </w:p>
    <w:p w14:paraId="7EE9F07F">
      <w:pPr>
        <w:spacing w:line="360" w:lineRule="auto"/>
        <w:rPr>
          <w:highlight w:val="none"/>
        </w:rPr>
      </w:pPr>
    </w:p>
    <w:p w14:paraId="612A8841">
      <w:pPr>
        <w:spacing w:line="360" w:lineRule="auto"/>
        <w:rPr>
          <w:highlight w:val="none"/>
        </w:rPr>
      </w:pPr>
    </w:p>
    <w:p w14:paraId="2E62B9C7">
      <w:pPr>
        <w:spacing w:line="360" w:lineRule="auto"/>
        <w:rPr>
          <w:highlight w:val="none"/>
        </w:rPr>
      </w:pPr>
    </w:p>
    <w:p w14:paraId="7730420B">
      <w:pPr>
        <w:spacing w:line="360" w:lineRule="auto"/>
        <w:jc w:val="center"/>
        <w:rPr>
          <w:rFonts w:hint="eastAsia" w:ascii="宋体" w:hAnsi="宋体"/>
          <w:b/>
          <w:sz w:val="32"/>
          <w:szCs w:val="32"/>
          <w:highlight w:val="none"/>
        </w:rPr>
      </w:pPr>
      <w:r>
        <w:rPr>
          <w:rFonts w:hint="eastAsia" w:ascii="宋体" w:hAnsi="宋体"/>
          <w:b/>
          <w:sz w:val="44"/>
          <w:szCs w:val="44"/>
          <w:highlight w:val="none"/>
        </w:rPr>
        <w:t>响  应  文  件</w:t>
      </w:r>
      <w:r>
        <w:rPr>
          <w:rFonts w:hint="eastAsia" w:ascii="宋体" w:hAnsi="宋体"/>
          <w:b/>
          <w:sz w:val="32"/>
          <w:szCs w:val="32"/>
          <w:highlight w:val="none"/>
        </w:rPr>
        <w:t xml:space="preserve"> </w:t>
      </w:r>
    </w:p>
    <w:p w14:paraId="322ADA9A">
      <w:pPr>
        <w:spacing w:line="360" w:lineRule="auto"/>
        <w:jc w:val="center"/>
        <w:rPr>
          <w:rFonts w:hint="eastAsia" w:ascii="宋体" w:hAnsi="宋体"/>
          <w:b/>
          <w:sz w:val="32"/>
          <w:szCs w:val="32"/>
          <w:highlight w:val="none"/>
        </w:rPr>
      </w:pPr>
    </w:p>
    <w:p w14:paraId="33CC8A77">
      <w:pPr>
        <w:spacing w:line="360" w:lineRule="auto"/>
        <w:jc w:val="center"/>
        <w:rPr>
          <w:rFonts w:hint="eastAsia" w:ascii="宋体" w:hAnsi="宋体"/>
          <w:szCs w:val="21"/>
          <w:highlight w:val="none"/>
        </w:rPr>
      </w:pPr>
    </w:p>
    <w:p w14:paraId="65483FC3">
      <w:pPr>
        <w:spacing w:line="360" w:lineRule="auto"/>
        <w:jc w:val="center"/>
        <w:rPr>
          <w:rFonts w:hint="eastAsia" w:ascii="宋体" w:hAnsi="宋体"/>
          <w:szCs w:val="21"/>
          <w:highlight w:val="none"/>
        </w:rPr>
      </w:pPr>
    </w:p>
    <w:p w14:paraId="17B7A45A">
      <w:pPr>
        <w:spacing w:line="360" w:lineRule="auto"/>
        <w:jc w:val="center"/>
        <w:rPr>
          <w:rFonts w:hint="eastAsia" w:ascii="宋体" w:hAnsi="宋体"/>
          <w:szCs w:val="21"/>
          <w:highlight w:val="none"/>
        </w:rPr>
      </w:pPr>
    </w:p>
    <w:p w14:paraId="0EFF242E">
      <w:pPr>
        <w:spacing w:line="360" w:lineRule="auto"/>
        <w:jc w:val="center"/>
        <w:rPr>
          <w:rFonts w:hint="eastAsia" w:ascii="宋体" w:hAnsi="宋体"/>
          <w:szCs w:val="21"/>
          <w:highlight w:val="none"/>
        </w:rPr>
      </w:pPr>
    </w:p>
    <w:p w14:paraId="4CE79487">
      <w:pPr>
        <w:spacing w:line="360" w:lineRule="auto"/>
        <w:jc w:val="center"/>
        <w:rPr>
          <w:rFonts w:hint="eastAsia" w:ascii="宋体" w:hAnsi="宋体"/>
          <w:szCs w:val="21"/>
          <w:highlight w:val="none"/>
        </w:rPr>
      </w:pPr>
    </w:p>
    <w:p w14:paraId="007C6B3F">
      <w:pPr>
        <w:spacing w:line="360" w:lineRule="auto"/>
        <w:jc w:val="center"/>
        <w:rPr>
          <w:rFonts w:hint="eastAsia" w:ascii="宋体" w:hAnsi="宋体"/>
          <w:szCs w:val="21"/>
          <w:highlight w:val="none"/>
        </w:rPr>
      </w:pPr>
    </w:p>
    <w:p w14:paraId="284A961D">
      <w:pPr>
        <w:spacing w:line="360" w:lineRule="auto"/>
        <w:ind w:firstLine="1680" w:firstLineChars="700"/>
        <w:jc w:val="left"/>
        <w:rPr>
          <w:rFonts w:hint="eastAsia" w:ascii="宋体" w:hAnsi="宋体"/>
          <w:sz w:val="24"/>
          <w:szCs w:val="24"/>
          <w:highlight w:val="none"/>
          <w:u w:val="single"/>
        </w:rPr>
      </w:pPr>
      <w:r>
        <w:rPr>
          <w:rFonts w:hint="eastAsia" w:ascii="宋体" w:hAnsi="宋体"/>
          <w:sz w:val="24"/>
          <w:szCs w:val="24"/>
          <w:highlight w:val="none"/>
        </w:rPr>
        <w:t>采购项目名称：</w:t>
      </w:r>
      <w:r>
        <w:rPr>
          <w:rFonts w:hint="eastAsia" w:ascii="宋体" w:hAnsi="宋体"/>
          <w:sz w:val="24"/>
          <w:szCs w:val="24"/>
          <w:highlight w:val="none"/>
          <w:u w:val="single"/>
        </w:rPr>
        <w:t xml:space="preserve">                       </w:t>
      </w:r>
    </w:p>
    <w:p w14:paraId="4C46AC03">
      <w:pPr>
        <w:spacing w:line="360" w:lineRule="auto"/>
        <w:ind w:firstLine="3120" w:firstLineChars="1300"/>
        <w:jc w:val="left"/>
        <w:rPr>
          <w:rFonts w:hint="eastAsia" w:ascii="宋体" w:hAnsi="宋体"/>
          <w:sz w:val="24"/>
          <w:szCs w:val="24"/>
          <w:highlight w:val="none"/>
          <w:u w:val="single"/>
        </w:rPr>
      </w:pPr>
    </w:p>
    <w:p w14:paraId="5F0DF547">
      <w:pPr>
        <w:tabs>
          <w:tab w:val="left" w:pos="3240"/>
        </w:tabs>
        <w:spacing w:line="360" w:lineRule="auto"/>
        <w:ind w:firstLine="1680" w:firstLineChars="700"/>
        <w:jc w:val="left"/>
        <w:rPr>
          <w:rFonts w:hint="eastAsia" w:ascii="宋体" w:hAnsi="宋体"/>
          <w:sz w:val="24"/>
          <w:szCs w:val="24"/>
          <w:highlight w:val="none"/>
          <w:u w:val="single"/>
        </w:rPr>
      </w:pPr>
      <w:r>
        <w:rPr>
          <w:rFonts w:hint="eastAsia" w:ascii="宋体" w:hAnsi="宋体"/>
          <w:sz w:val="24"/>
          <w:szCs w:val="24"/>
          <w:highlight w:val="none"/>
        </w:rPr>
        <w:t>采购项目编号：</w:t>
      </w:r>
      <w:r>
        <w:rPr>
          <w:rFonts w:hint="eastAsia" w:ascii="宋体" w:hAnsi="宋体"/>
          <w:sz w:val="24"/>
          <w:szCs w:val="24"/>
          <w:highlight w:val="none"/>
          <w:u w:val="single"/>
        </w:rPr>
        <w:t xml:space="preserve">                       </w:t>
      </w:r>
    </w:p>
    <w:p w14:paraId="6FFEAD28">
      <w:pPr>
        <w:pStyle w:val="8"/>
        <w:snapToGrid w:val="0"/>
        <w:spacing w:line="360" w:lineRule="auto"/>
        <w:ind w:firstLine="1320" w:firstLineChars="550"/>
        <w:rPr>
          <w:rFonts w:hint="eastAsia" w:ascii="宋体" w:hAnsi="宋体"/>
          <w:sz w:val="24"/>
          <w:szCs w:val="24"/>
          <w:highlight w:val="none"/>
          <w:lang w:val="en-US" w:eastAsia="zh-CN"/>
        </w:rPr>
      </w:pPr>
    </w:p>
    <w:p w14:paraId="7C40FB25">
      <w:pPr>
        <w:spacing w:line="360" w:lineRule="auto"/>
        <w:rPr>
          <w:rFonts w:hint="eastAsia" w:ascii="宋体" w:hAnsi="宋体"/>
          <w:sz w:val="24"/>
          <w:szCs w:val="24"/>
          <w:highlight w:val="none"/>
          <w:lang w:val="en-US" w:eastAsia="zh-CN"/>
        </w:rPr>
      </w:pPr>
    </w:p>
    <w:p w14:paraId="0F8A6C59">
      <w:pPr>
        <w:spacing w:line="360" w:lineRule="auto"/>
        <w:rPr>
          <w:rFonts w:hint="eastAsia" w:ascii="宋体" w:hAnsi="宋体"/>
          <w:sz w:val="24"/>
          <w:szCs w:val="24"/>
          <w:highlight w:val="none"/>
          <w:lang w:val="en-US" w:eastAsia="zh-CN"/>
        </w:rPr>
      </w:pPr>
    </w:p>
    <w:p w14:paraId="67DFBCDC">
      <w:pPr>
        <w:spacing w:line="360" w:lineRule="auto"/>
        <w:rPr>
          <w:rFonts w:hint="eastAsia" w:ascii="宋体" w:hAnsi="宋体"/>
          <w:sz w:val="24"/>
          <w:szCs w:val="24"/>
          <w:highlight w:val="none"/>
          <w:lang w:val="en-US" w:eastAsia="zh-CN"/>
        </w:rPr>
      </w:pPr>
    </w:p>
    <w:p w14:paraId="52AF9B5B">
      <w:pPr>
        <w:pStyle w:val="8"/>
        <w:snapToGrid w:val="0"/>
        <w:spacing w:line="360" w:lineRule="auto"/>
        <w:ind w:firstLine="1320" w:firstLineChars="550"/>
        <w:rPr>
          <w:rFonts w:hint="eastAsia" w:ascii="宋体" w:hAnsi="宋体"/>
          <w:sz w:val="24"/>
          <w:szCs w:val="24"/>
          <w:highlight w:val="none"/>
          <w:lang w:val="en-US" w:eastAsia="zh-CN"/>
        </w:rPr>
      </w:pPr>
      <w:r>
        <w:rPr>
          <w:rFonts w:hint="eastAsia" w:ascii="宋体" w:hAnsi="宋体"/>
          <w:sz w:val="24"/>
          <w:szCs w:val="24"/>
          <w:highlight w:val="none"/>
          <w:lang w:val="en-US" w:eastAsia="zh-CN"/>
        </w:rPr>
        <w:t xml:space="preserve">                                            </w:t>
      </w:r>
    </w:p>
    <w:p w14:paraId="71510D4F">
      <w:pPr>
        <w:pStyle w:val="17"/>
        <w:wordWrap w:val="0"/>
        <w:spacing w:line="360" w:lineRule="auto"/>
        <w:ind w:firstLine="616" w:firstLineChars="257"/>
        <w:jc w:val="right"/>
        <w:rPr>
          <w:rFonts w:hint="eastAsia"/>
          <w:sz w:val="24"/>
          <w:szCs w:val="24"/>
          <w:highlight w:val="none"/>
          <w:u w:val="single"/>
        </w:rPr>
      </w:pPr>
      <w:r>
        <w:rPr>
          <w:rFonts w:hint="eastAsia" w:ascii="宋体" w:hAnsi="宋体"/>
          <w:sz w:val="24"/>
          <w:szCs w:val="24"/>
          <w:highlight w:val="none"/>
          <w:lang w:val="en-US" w:eastAsia="zh-CN"/>
        </w:rPr>
        <w:t xml:space="preserve">             </w:t>
      </w:r>
      <w:r>
        <w:rPr>
          <w:rFonts w:hint="eastAsia"/>
          <w:sz w:val="24"/>
          <w:szCs w:val="24"/>
          <w:highlight w:val="none"/>
        </w:rPr>
        <w:t>供应商名称（盖公章）</w:t>
      </w:r>
      <w:r>
        <w:rPr>
          <w:rFonts w:hint="eastAsia"/>
          <w:sz w:val="24"/>
          <w:szCs w:val="24"/>
          <w:highlight w:val="none"/>
          <w:u w:val="single"/>
        </w:rPr>
        <w:t xml:space="preserve">         </w:t>
      </w:r>
    </w:p>
    <w:p w14:paraId="38A83255">
      <w:pPr>
        <w:pStyle w:val="17"/>
        <w:spacing w:line="360" w:lineRule="auto"/>
        <w:ind w:firstLine="616" w:firstLineChars="257"/>
        <w:jc w:val="right"/>
        <w:rPr>
          <w:rFonts w:hint="eastAsia"/>
          <w:sz w:val="24"/>
          <w:szCs w:val="24"/>
          <w:highlight w:val="none"/>
          <w:u w:val="single"/>
        </w:rPr>
      </w:pPr>
    </w:p>
    <w:p w14:paraId="4A83CCAB">
      <w:pPr>
        <w:pStyle w:val="17"/>
        <w:wordWrap w:val="0"/>
        <w:spacing w:line="360" w:lineRule="auto"/>
        <w:ind w:firstLine="616" w:firstLineChars="257"/>
        <w:jc w:val="right"/>
        <w:rPr>
          <w:rFonts w:hint="eastAsia" w:hAnsi="宋体"/>
          <w:b/>
          <w:sz w:val="24"/>
          <w:szCs w:val="24"/>
          <w:highlight w:val="none"/>
        </w:rPr>
      </w:pPr>
      <w:r>
        <w:rPr>
          <w:rFonts w:hint="eastAsia" w:hAnsi="宋体"/>
          <w:sz w:val="24"/>
          <w:szCs w:val="24"/>
          <w:highlight w:val="none"/>
          <w:lang w:val="en-US" w:eastAsia="zh-CN"/>
        </w:rPr>
        <w:t xml:space="preserve"> </w:t>
      </w:r>
      <w:r>
        <w:rPr>
          <w:rFonts w:hint="eastAsia" w:hAnsi="宋体"/>
          <w:sz w:val="24"/>
          <w:szCs w:val="24"/>
          <w:highlight w:val="none"/>
        </w:rPr>
        <w:t xml:space="preserve"> 日期：</w:t>
      </w:r>
      <w:r>
        <w:rPr>
          <w:rFonts w:hint="eastAsia" w:hAnsi="宋体"/>
          <w:sz w:val="24"/>
          <w:szCs w:val="24"/>
          <w:highlight w:val="none"/>
          <w:u w:val="single"/>
        </w:rPr>
        <w:t xml:space="preserve">      </w:t>
      </w:r>
      <w:r>
        <w:rPr>
          <w:rFonts w:hint="eastAsia" w:hAnsi="宋体"/>
          <w:sz w:val="24"/>
          <w:szCs w:val="24"/>
          <w:highlight w:val="none"/>
        </w:rPr>
        <w:t>年</w:t>
      </w:r>
      <w:r>
        <w:rPr>
          <w:rFonts w:hint="eastAsia" w:hAnsi="宋体"/>
          <w:sz w:val="24"/>
          <w:szCs w:val="24"/>
          <w:highlight w:val="none"/>
          <w:u w:val="single"/>
        </w:rPr>
        <w:t xml:space="preserve">     </w:t>
      </w:r>
      <w:r>
        <w:rPr>
          <w:rFonts w:hint="eastAsia" w:hAnsi="宋体"/>
          <w:sz w:val="24"/>
          <w:szCs w:val="24"/>
          <w:highlight w:val="none"/>
        </w:rPr>
        <w:t>月</w:t>
      </w:r>
      <w:r>
        <w:rPr>
          <w:rFonts w:hint="eastAsia" w:hAnsi="宋体"/>
          <w:sz w:val="24"/>
          <w:szCs w:val="24"/>
          <w:highlight w:val="none"/>
          <w:u w:val="single"/>
        </w:rPr>
        <w:t xml:space="preserve">     </w:t>
      </w:r>
      <w:r>
        <w:rPr>
          <w:rFonts w:hint="eastAsia" w:hAnsi="宋体"/>
          <w:sz w:val="24"/>
          <w:szCs w:val="24"/>
          <w:highlight w:val="none"/>
        </w:rPr>
        <w:t xml:space="preserve">日 </w:t>
      </w:r>
    </w:p>
    <w:p w14:paraId="6B2CA5EB">
      <w:pPr>
        <w:spacing w:line="360" w:lineRule="auto"/>
        <w:ind w:firstLine="6440" w:firstLineChars="2300"/>
        <w:rPr>
          <w:rFonts w:hint="eastAsia" w:ascii="宋体" w:hAnsi="宋体"/>
          <w:sz w:val="28"/>
          <w:szCs w:val="28"/>
          <w:highlight w:val="none"/>
        </w:rPr>
      </w:pPr>
    </w:p>
    <w:p w14:paraId="7E1C0DED">
      <w:pPr>
        <w:spacing w:line="360" w:lineRule="auto"/>
        <w:rPr>
          <w:rFonts w:hint="eastAsia" w:ascii="宋体" w:hAnsi="宋体" w:eastAsia="宋体" w:cs="Times New Roman"/>
          <w:b/>
          <w:color w:val="000000"/>
          <w:kern w:val="2"/>
          <w:sz w:val="24"/>
          <w:szCs w:val="24"/>
          <w:lang w:val="en-US" w:eastAsia="zh-CN" w:bidi="ar-SA"/>
        </w:rPr>
      </w:pPr>
      <w:r>
        <w:rPr>
          <w:rFonts w:hint="eastAsia" w:ascii="宋体" w:hAnsi="宋体" w:eastAsia="宋体" w:cs="Times New Roman"/>
          <w:b/>
          <w:color w:val="000000"/>
          <w:kern w:val="2"/>
          <w:sz w:val="24"/>
          <w:szCs w:val="24"/>
          <w:lang w:val="en-US" w:eastAsia="zh-CN" w:bidi="ar-SA"/>
        </w:rPr>
        <w:br w:type="page"/>
      </w:r>
    </w:p>
    <w:p w14:paraId="07496639">
      <w:pPr>
        <w:keepNext w:val="0"/>
        <w:keepLines w:val="0"/>
        <w:pageBreakBefore w:val="0"/>
        <w:numPr>
          <w:ilvl w:val="0"/>
          <w:numId w:val="0"/>
        </w:numPr>
        <w:kinsoku/>
        <w:overflowPunct/>
        <w:topLinePunct w:val="0"/>
        <w:bidi w:val="0"/>
        <w:snapToGrid w:val="0"/>
        <w:spacing w:line="360" w:lineRule="auto"/>
        <w:textAlignment w:val="auto"/>
        <w:rPr>
          <w:rFonts w:hint="eastAsia" w:ascii="宋体" w:hAnsi="宋体" w:eastAsia="宋体" w:cs="宋体"/>
          <w:b/>
          <w:bCs w:val="0"/>
          <w:color w:val="000000"/>
          <w:sz w:val="21"/>
          <w:szCs w:val="21"/>
          <w:highlight w:val="none"/>
          <w:lang w:eastAsia="zh-CN"/>
        </w:rPr>
      </w:pPr>
      <w:r>
        <w:rPr>
          <w:rFonts w:hint="eastAsia" w:ascii="宋体" w:hAnsi="宋体" w:cs="宋体"/>
          <w:b/>
          <w:bCs w:val="0"/>
          <w:color w:val="000000"/>
          <w:kern w:val="2"/>
          <w:sz w:val="21"/>
          <w:szCs w:val="21"/>
          <w:lang w:val="en-US" w:eastAsia="zh-CN" w:bidi="ar-SA"/>
        </w:rPr>
        <w:t>一、</w:t>
      </w:r>
      <w:r>
        <w:rPr>
          <w:rFonts w:hint="eastAsia" w:ascii="宋体" w:hAnsi="宋体" w:eastAsia="宋体" w:cs="宋体"/>
          <w:b/>
          <w:bCs w:val="0"/>
          <w:color w:val="000000"/>
          <w:kern w:val="2"/>
          <w:sz w:val="21"/>
          <w:szCs w:val="21"/>
          <w:lang w:val="en-US" w:eastAsia="zh-CN" w:bidi="ar-SA"/>
        </w:rPr>
        <w:t>有效的</w:t>
      </w:r>
      <w:r>
        <w:rPr>
          <w:rFonts w:hint="eastAsia" w:ascii="宋体" w:hAnsi="宋体" w:eastAsia="宋体" w:cs="宋体"/>
          <w:b/>
          <w:bCs w:val="0"/>
          <w:color w:val="000000"/>
          <w:sz w:val="21"/>
          <w:szCs w:val="21"/>
          <w:highlight w:val="none"/>
          <w:lang w:val="en-US" w:eastAsia="zh-CN"/>
        </w:rPr>
        <w:t>供应商合法的主体资格证明（如营业执照、事业单位法人证书、执业许可证等）复印件</w:t>
      </w:r>
      <w:r>
        <w:rPr>
          <w:rFonts w:hint="eastAsia" w:ascii="宋体" w:hAnsi="宋体" w:eastAsia="宋体" w:cs="宋体"/>
          <w:b/>
          <w:bCs w:val="0"/>
          <w:color w:val="000000"/>
          <w:sz w:val="21"/>
          <w:szCs w:val="21"/>
          <w:highlight w:val="none"/>
          <w:lang w:eastAsia="zh-CN"/>
        </w:rPr>
        <w:t>（必须提供）</w:t>
      </w:r>
      <w:r>
        <w:rPr>
          <w:rFonts w:hint="eastAsia" w:ascii="宋体" w:hAnsi="宋体" w:cs="宋体"/>
          <w:b/>
          <w:bCs w:val="0"/>
          <w:color w:val="000000"/>
          <w:sz w:val="21"/>
          <w:szCs w:val="21"/>
          <w:highlight w:val="none"/>
          <w:lang w:eastAsia="zh-CN"/>
        </w:rPr>
        <w:t>。</w:t>
      </w:r>
    </w:p>
    <w:p w14:paraId="484ACBAC">
      <w:pPr>
        <w:keepNext w:val="0"/>
        <w:keepLines w:val="0"/>
        <w:pageBreakBefore w:val="0"/>
        <w:numPr>
          <w:ilvl w:val="0"/>
          <w:numId w:val="0"/>
        </w:numPr>
        <w:kinsoku/>
        <w:overflowPunct/>
        <w:topLinePunct w:val="0"/>
        <w:bidi w:val="0"/>
        <w:snapToGrid w:val="0"/>
        <w:spacing w:line="360" w:lineRule="auto"/>
        <w:textAlignment w:val="auto"/>
        <w:rPr>
          <w:rFonts w:hint="eastAsia" w:ascii="宋体" w:hAnsi="宋体" w:eastAsia="宋体" w:cs="宋体"/>
          <w:b/>
          <w:color w:val="000000"/>
          <w:sz w:val="21"/>
          <w:szCs w:val="21"/>
          <w:highlight w:val="none"/>
          <w:lang w:eastAsia="zh-CN"/>
        </w:rPr>
      </w:pPr>
    </w:p>
    <w:p w14:paraId="78E96BA1">
      <w:pPr>
        <w:keepNext w:val="0"/>
        <w:keepLines w:val="0"/>
        <w:pageBreakBefore w:val="0"/>
        <w:numPr>
          <w:ilvl w:val="0"/>
          <w:numId w:val="0"/>
        </w:numPr>
        <w:kinsoku/>
        <w:overflowPunct/>
        <w:topLinePunct w:val="0"/>
        <w:bidi w:val="0"/>
        <w:snapToGrid w:val="0"/>
        <w:spacing w:line="360" w:lineRule="auto"/>
        <w:textAlignment w:val="auto"/>
        <w:rPr>
          <w:rFonts w:hint="eastAsia"/>
          <w:lang w:eastAsia="zh-CN"/>
        </w:rPr>
      </w:pPr>
      <w:r>
        <w:rPr>
          <w:rFonts w:hint="eastAsia" w:ascii="Times New Roman" w:hAnsi="Times New Roman" w:eastAsia="宋体" w:cs="Times New Roman"/>
          <w:b/>
          <w:bCs/>
          <w:kern w:val="2"/>
          <w:sz w:val="21"/>
          <w:szCs w:val="24"/>
          <w:lang w:val="en-US" w:eastAsia="zh-CN" w:bidi="ar-SA"/>
        </w:rPr>
        <w:t>二、</w:t>
      </w:r>
      <w:r>
        <w:rPr>
          <w:rFonts w:hint="eastAsia" w:ascii="宋体" w:hAnsi="宋体" w:eastAsia="宋体" w:cs="宋体"/>
          <w:b/>
          <w:bCs w:val="0"/>
          <w:color w:val="000000"/>
          <w:sz w:val="21"/>
          <w:szCs w:val="21"/>
          <w:highlight w:val="none"/>
          <w:lang w:eastAsia="zh-CN"/>
        </w:rPr>
        <w:t>法定代表人完整有效的身份证复印件（必须提供）</w:t>
      </w:r>
      <w:r>
        <w:rPr>
          <w:rFonts w:hint="eastAsia" w:ascii="宋体" w:hAnsi="宋体" w:cs="宋体"/>
          <w:b/>
          <w:bCs w:val="0"/>
          <w:color w:val="000000"/>
          <w:sz w:val="21"/>
          <w:szCs w:val="21"/>
          <w:highlight w:val="none"/>
          <w:lang w:eastAsia="zh-CN"/>
        </w:rPr>
        <w:t>。</w:t>
      </w:r>
    </w:p>
    <w:p w14:paraId="64B529A2">
      <w:pPr>
        <w:keepNext w:val="0"/>
        <w:keepLines w:val="0"/>
        <w:pageBreakBefore w:val="0"/>
        <w:numPr>
          <w:ilvl w:val="0"/>
          <w:numId w:val="0"/>
        </w:numPr>
        <w:kinsoku/>
        <w:overflowPunct/>
        <w:topLinePunct w:val="0"/>
        <w:bidi w:val="0"/>
        <w:snapToGrid w:val="0"/>
        <w:spacing w:line="360" w:lineRule="auto"/>
        <w:textAlignment w:val="auto"/>
        <w:rPr>
          <w:rFonts w:hint="eastAsia" w:ascii="宋体" w:hAnsi="宋体" w:eastAsia="宋体" w:cs="宋体"/>
          <w:b/>
          <w:bCs w:val="0"/>
          <w:color w:val="000000"/>
          <w:sz w:val="21"/>
          <w:szCs w:val="21"/>
          <w:highlight w:val="none"/>
          <w:lang w:val="en-US" w:eastAsia="zh-CN"/>
        </w:rPr>
      </w:pPr>
    </w:p>
    <w:p w14:paraId="3F390E3E">
      <w:pPr>
        <w:keepNext w:val="0"/>
        <w:keepLines w:val="0"/>
        <w:pageBreakBefore w:val="0"/>
        <w:numPr>
          <w:ilvl w:val="0"/>
          <w:numId w:val="0"/>
        </w:numPr>
        <w:kinsoku/>
        <w:overflowPunct/>
        <w:topLinePunct w:val="0"/>
        <w:bidi w:val="0"/>
        <w:snapToGrid w:val="0"/>
        <w:spacing w:line="360" w:lineRule="auto"/>
        <w:textAlignment w:val="auto"/>
        <w:rPr>
          <w:rFonts w:hint="eastAsia" w:ascii="宋体" w:hAnsi="宋体" w:eastAsia="宋体" w:cs="宋体"/>
          <w:b/>
          <w:bCs w:val="0"/>
          <w:color w:val="000000"/>
          <w:sz w:val="21"/>
          <w:szCs w:val="21"/>
          <w:highlight w:val="none"/>
          <w:lang w:eastAsia="zh-CN"/>
        </w:rPr>
      </w:pPr>
      <w:r>
        <w:rPr>
          <w:rFonts w:hint="eastAsia" w:ascii="宋体" w:hAnsi="宋体" w:eastAsia="宋体" w:cs="宋体"/>
          <w:b/>
          <w:bCs w:val="0"/>
          <w:color w:val="000000"/>
          <w:sz w:val="21"/>
          <w:szCs w:val="21"/>
          <w:highlight w:val="none"/>
          <w:lang w:val="en-US" w:eastAsia="zh-CN"/>
        </w:rPr>
        <w:t>三、</w:t>
      </w:r>
      <w:r>
        <w:rPr>
          <w:rFonts w:hint="eastAsia" w:ascii="宋体" w:hAnsi="宋体" w:eastAsia="宋体" w:cs="宋体"/>
          <w:b/>
          <w:bCs w:val="0"/>
          <w:color w:val="000000"/>
          <w:sz w:val="21"/>
          <w:szCs w:val="21"/>
          <w:highlight w:val="none"/>
          <w:lang w:eastAsia="zh-CN"/>
        </w:rPr>
        <w:t>响应文件递交截止当月前半年内</w:t>
      </w:r>
      <w:r>
        <w:rPr>
          <w:rFonts w:hint="eastAsia" w:ascii="宋体" w:hAnsi="宋体" w:cs="宋体"/>
          <w:b/>
          <w:bCs w:val="0"/>
          <w:color w:val="000000"/>
          <w:sz w:val="21"/>
          <w:szCs w:val="21"/>
          <w:highlight w:val="none"/>
          <w:lang w:val="en-US" w:eastAsia="zh-CN"/>
        </w:rPr>
        <w:t>响应</w:t>
      </w:r>
      <w:r>
        <w:rPr>
          <w:rFonts w:hint="eastAsia" w:ascii="宋体" w:hAnsi="宋体" w:eastAsia="宋体" w:cs="宋体"/>
          <w:b/>
          <w:bCs w:val="0"/>
          <w:color w:val="000000"/>
          <w:sz w:val="21"/>
          <w:szCs w:val="21"/>
          <w:highlight w:val="none"/>
          <w:lang w:eastAsia="zh-CN"/>
        </w:rPr>
        <w:t>供应商</w:t>
      </w:r>
      <w:r>
        <w:rPr>
          <w:rFonts w:hint="eastAsia" w:ascii="宋体" w:hAnsi="宋体" w:cs="宋体"/>
          <w:b/>
          <w:bCs w:val="0"/>
          <w:color w:val="000000"/>
          <w:sz w:val="21"/>
          <w:szCs w:val="21"/>
          <w:highlight w:val="none"/>
          <w:lang w:val="en-US" w:eastAsia="zh-CN"/>
        </w:rPr>
        <w:t>任意一个月</w:t>
      </w:r>
      <w:r>
        <w:rPr>
          <w:rFonts w:hint="eastAsia" w:ascii="宋体" w:hAnsi="宋体" w:eastAsia="宋体" w:cs="宋体"/>
          <w:b/>
          <w:bCs w:val="0"/>
          <w:color w:val="000000"/>
          <w:sz w:val="21"/>
          <w:szCs w:val="21"/>
          <w:highlight w:val="none"/>
          <w:lang w:eastAsia="zh-CN"/>
        </w:rPr>
        <w:t>的</w:t>
      </w:r>
      <w:r>
        <w:rPr>
          <w:rFonts w:hint="eastAsia" w:ascii="宋体" w:hAnsi="宋体" w:eastAsia="宋体" w:cs="宋体"/>
          <w:b/>
          <w:bCs w:val="0"/>
          <w:color w:val="000000"/>
          <w:sz w:val="21"/>
          <w:szCs w:val="21"/>
          <w:highlight w:val="none"/>
          <w:u w:val="single"/>
          <w:lang w:eastAsia="zh-CN"/>
        </w:rPr>
        <w:t>依法缴纳税收</w:t>
      </w:r>
      <w:r>
        <w:rPr>
          <w:rFonts w:hint="eastAsia" w:ascii="宋体" w:hAnsi="宋体" w:eastAsia="宋体" w:cs="宋体"/>
          <w:b/>
          <w:bCs w:val="0"/>
          <w:color w:val="000000"/>
          <w:sz w:val="21"/>
          <w:szCs w:val="21"/>
          <w:highlight w:val="none"/>
          <w:lang w:eastAsia="zh-CN"/>
        </w:rPr>
        <w:t>的凭据复印件；依法免税（或无纳税记录或零报税）的，必须提供相应文件证明其依法免税（或无纳税记录或零报税）。从成立之日起到响应文件提交截止时间止不足要求月数的，只需提供从成立之日起的依法缴纳税收相应证明文件），复印件（必须提供）</w:t>
      </w:r>
      <w:r>
        <w:rPr>
          <w:rFonts w:hint="eastAsia" w:ascii="宋体" w:hAnsi="宋体" w:cs="宋体"/>
          <w:b/>
          <w:bCs w:val="0"/>
          <w:color w:val="000000"/>
          <w:sz w:val="21"/>
          <w:szCs w:val="21"/>
          <w:highlight w:val="none"/>
          <w:lang w:eastAsia="zh-CN"/>
        </w:rPr>
        <w:t>。</w:t>
      </w:r>
    </w:p>
    <w:p w14:paraId="15B7DD43">
      <w:pPr>
        <w:keepNext w:val="0"/>
        <w:keepLines w:val="0"/>
        <w:pageBreakBefore w:val="0"/>
        <w:numPr>
          <w:ilvl w:val="0"/>
          <w:numId w:val="0"/>
        </w:numPr>
        <w:kinsoku/>
        <w:overflowPunct/>
        <w:topLinePunct w:val="0"/>
        <w:bidi w:val="0"/>
        <w:snapToGrid w:val="0"/>
        <w:spacing w:line="360" w:lineRule="auto"/>
        <w:textAlignment w:val="auto"/>
        <w:rPr>
          <w:rFonts w:hint="eastAsia" w:ascii="宋体" w:hAnsi="宋体" w:eastAsia="宋体" w:cs="宋体"/>
          <w:b/>
          <w:bCs w:val="0"/>
          <w:color w:val="000000"/>
          <w:sz w:val="21"/>
          <w:szCs w:val="21"/>
          <w:highlight w:val="none"/>
          <w:lang w:val="en-US" w:eastAsia="zh-CN"/>
        </w:rPr>
      </w:pPr>
    </w:p>
    <w:p w14:paraId="0EA1E265">
      <w:pPr>
        <w:keepNext w:val="0"/>
        <w:keepLines w:val="0"/>
        <w:pageBreakBefore w:val="0"/>
        <w:numPr>
          <w:ilvl w:val="0"/>
          <w:numId w:val="0"/>
        </w:numPr>
        <w:kinsoku/>
        <w:overflowPunct/>
        <w:topLinePunct w:val="0"/>
        <w:bidi w:val="0"/>
        <w:snapToGrid w:val="0"/>
        <w:spacing w:line="360" w:lineRule="auto"/>
        <w:ind w:left="0" w:leftChars="0" w:firstLine="0" w:firstLineChars="0"/>
        <w:textAlignment w:val="auto"/>
        <w:rPr>
          <w:rFonts w:hint="eastAsia" w:ascii="宋体" w:hAnsi="宋体" w:cs="宋体"/>
          <w:b/>
          <w:bCs w:val="0"/>
          <w:color w:val="000000"/>
          <w:sz w:val="21"/>
          <w:szCs w:val="21"/>
          <w:highlight w:val="none"/>
          <w:lang w:eastAsia="zh-CN"/>
        </w:rPr>
      </w:pPr>
      <w:r>
        <w:rPr>
          <w:rFonts w:hint="eastAsia" w:ascii="宋体" w:hAnsi="宋体" w:cs="宋体"/>
          <w:b/>
          <w:bCs/>
          <w:color w:val="000000"/>
          <w:kern w:val="2"/>
          <w:sz w:val="21"/>
          <w:szCs w:val="21"/>
          <w:lang w:val="en-US" w:eastAsia="zh-CN" w:bidi="ar-SA"/>
        </w:rPr>
        <w:t>四</w:t>
      </w:r>
      <w:r>
        <w:rPr>
          <w:rFonts w:hint="eastAsia" w:ascii="宋体" w:hAnsi="宋体" w:eastAsia="宋体" w:cs="宋体"/>
          <w:b/>
          <w:bCs/>
          <w:color w:val="000000"/>
          <w:kern w:val="2"/>
          <w:sz w:val="21"/>
          <w:szCs w:val="21"/>
          <w:lang w:val="en-US" w:eastAsia="zh-CN" w:bidi="ar-SA"/>
        </w:rPr>
        <w:t>、</w:t>
      </w:r>
      <w:r>
        <w:rPr>
          <w:rFonts w:hint="eastAsia" w:ascii="宋体" w:hAnsi="宋体" w:eastAsia="宋体" w:cs="宋体"/>
          <w:b/>
          <w:bCs w:val="0"/>
          <w:color w:val="000000"/>
          <w:sz w:val="21"/>
          <w:szCs w:val="21"/>
          <w:highlight w:val="none"/>
          <w:lang w:eastAsia="zh-CN"/>
        </w:rPr>
        <w:t>响应文件递交截止当月前半年内</w:t>
      </w:r>
      <w:r>
        <w:rPr>
          <w:rFonts w:hint="eastAsia" w:ascii="宋体" w:hAnsi="宋体" w:cs="宋体"/>
          <w:b/>
          <w:bCs w:val="0"/>
          <w:color w:val="000000"/>
          <w:sz w:val="21"/>
          <w:szCs w:val="21"/>
          <w:highlight w:val="none"/>
          <w:lang w:val="en-US" w:eastAsia="zh-CN"/>
        </w:rPr>
        <w:t>响应</w:t>
      </w:r>
      <w:r>
        <w:rPr>
          <w:rFonts w:hint="eastAsia" w:ascii="宋体" w:hAnsi="宋体" w:eastAsia="宋体" w:cs="宋体"/>
          <w:b/>
          <w:bCs w:val="0"/>
          <w:color w:val="000000"/>
          <w:sz w:val="21"/>
          <w:szCs w:val="21"/>
          <w:highlight w:val="none"/>
          <w:lang w:eastAsia="zh-CN"/>
        </w:rPr>
        <w:t>供应商</w:t>
      </w:r>
      <w:r>
        <w:rPr>
          <w:rFonts w:hint="eastAsia" w:ascii="宋体" w:hAnsi="宋体" w:cs="宋体"/>
          <w:b/>
          <w:bCs w:val="0"/>
          <w:color w:val="000000"/>
          <w:sz w:val="21"/>
          <w:szCs w:val="21"/>
          <w:highlight w:val="none"/>
          <w:lang w:val="en-US" w:eastAsia="zh-CN"/>
        </w:rPr>
        <w:t>任意一个月</w:t>
      </w:r>
      <w:r>
        <w:rPr>
          <w:rFonts w:hint="eastAsia" w:ascii="宋体" w:hAnsi="宋体" w:eastAsia="宋体" w:cs="宋体"/>
          <w:b/>
          <w:bCs w:val="0"/>
          <w:color w:val="000000"/>
          <w:sz w:val="21"/>
          <w:szCs w:val="21"/>
          <w:highlight w:val="none"/>
          <w:lang w:eastAsia="zh-CN"/>
        </w:rPr>
        <w:t>的</w:t>
      </w:r>
      <w:r>
        <w:rPr>
          <w:rFonts w:hint="eastAsia" w:ascii="宋体" w:hAnsi="宋体" w:eastAsia="宋体" w:cs="宋体"/>
          <w:b/>
          <w:bCs w:val="0"/>
          <w:color w:val="000000"/>
          <w:sz w:val="21"/>
          <w:szCs w:val="21"/>
          <w:highlight w:val="none"/>
          <w:u w:val="single"/>
          <w:lang w:eastAsia="zh-CN"/>
        </w:rPr>
        <w:t>依法缴纳社会保障资金</w:t>
      </w:r>
      <w:r>
        <w:rPr>
          <w:rFonts w:hint="eastAsia" w:ascii="宋体" w:hAnsi="宋体" w:eastAsia="宋体" w:cs="宋体"/>
          <w:b/>
          <w:bCs w:val="0"/>
          <w:color w:val="000000"/>
          <w:sz w:val="21"/>
          <w:szCs w:val="21"/>
          <w:highlight w:val="none"/>
          <w:lang w:eastAsia="zh-CN"/>
        </w:rPr>
        <w:t>的缴费凭证（专用收据或者社会保险缴纳清单或其他有效证明）复印件；依法不需要缴纳社会保障资金的，必须提供相应文件证明不需要缴纳社会保障资金证明复印件。从取得营业执照之日起到响应文件提交截止时间止不足要求月数的只需提供从取得营业执照起依法缴纳社会保障资金的相应证明文件，复印件（</w:t>
      </w:r>
      <w:r>
        <w:rPr>
          <w:rFonts w:hint="eastAsia" w:ascii="宋体" w:hAnsi="宋体" w:cs="宋体"/>
          <w:b/>
          <w:bCs w:val="0"/>
          <w:color w:val="000000"/>
          <w:sz w:val="21"/>
          <w:szCs w:val="21"/>
          <w:highlight w:val="none"/>
          <w:lang w:val="en-US" w:eastAsia="zh-CN"/>
        </w:rPr>
        <w:t>必须提供</w:t>
      </w:r>
      <w:r>
        <w:rPr>
          <w:rFonts w:hint="eastAsia" w:ascii="宋体" w:hAnsi="宋体" w:eastAsia="宋体" w:cs="宋体"/>
          <w:b/>
          <w:bCs w:val="0"/>
          <w:color w:val="000000"/>
          <w:sz w:val="21"/>
          <w:szCs w:val="21"/>
          <w:highlight w:val="none"/>
          <w:lang w:eastAsia="zh-CN"/>
        </w:rPr>
        <w:t>）</w:t>
      </w:r>
      <w:r>
        <w:rPr>
          <w:rFonts w:hint="eastAsia" w:ascii="宋体" w:hAnsi="宋体" w:cs="宋体"/>
          <w:b/>
          <w:bCs w:val="0"/>
          <w:color w:val="000000"/>
          <w:sz w:val="21"/>
          <w:szCs w:val="21"/>
          <w:highlight w:val="none"/>
          <w:lang w:eastAsia="zh-CN"/>
        </w:rPr>
        <w:t>。</w:t>
      </w:r>
    </w:p>
    <w:p w14:paraId="1137DF56">
      <w:pPr>
        <w:pStyle w:val="2"/>
        <w:numPr>
          <w:ilvl w:val="0"/>
          <w:numId w:val="0"/>
        </w:numPr>
        <w:ind w:left="0" w:leftChars="0" w:firstLine="0" w:firstLineChars="0"/>
        <w:jc w:val="left"/>
        <w:rPr>
          <w:rFonts w:hint="eastAsia" w:asciiTheme="minorEastAsia" w:hAnsiTheme="minorEastAsia" w:eastAsiaTheme="minorEastAsia" w:cstheme="minorEastAsia"/>
          <w:b/>
          <w:bCs/>
          <w:sz w:val="21"/>
          <w:szCs w:val="21"/>
          <w:highlight w:val="none"/>
          <w:lang w:eastAsia="zh-CN"/>
        </w:rPr>
      </w:pPr>
      <w:r>
        <w:rPr>
          <w:rFonts w:hint="eastAsia" w:asciiTheme="minorEastAsia" w:hAnsiTheme="minorEastAsia" w:eastAsiaTheme="minorEastAsia" w:cstheme="minorEastAsia"/>
          <w:b/>
          <w:bCs/>
          <w:kern w:val="0"/>
          <w:sz w:val="21"/>
          <w:szCs w:val="21"/>
          <w:highlight w:val="none"/>
          <w:lang w:val="en-US" w:eastAsia="zh-CN" w:bidi="ar-SA"/>
        </w:rPr>
        <w:t>五、</w:t>
      </w:r>
      <w:r>
        <w:rPr>
          <w:rFonts w:hint="eastAsia" w:asciiTheme="minorEastAsia" w:hAnsiTheme="minorEastAsia" w:eastAsiaTheme="minorEastAsia" w:cstheme="minorEastAsia"/>
          <w:b/>
          <w:bCs/>
          <w:sz w:val="21"/>
          <w:szCs w:val="21"/>
          <w:highlight w:val="none"/>
          <w:lang w:eastAsia="zh-CN"/>
        </w:rPr>
        <w:t>本项目采购标的为第三类医疗器械，供应商须按《医疗器械监督管理条例》（国务院令第739号）的分类管理要求，具备有效的第三类《医疗器械经营许可证》（经营范围须包含本次采购标的）；或供应商为产品注册人，具有《医疗器械监督管理条例》第四十三条规定的医疗器械注册人凭证（必须提供）。</w:t>
      </w:r>
    </w:p>
    <w:p w14:paraId="6881734C">
      <w:pPr>
        <w:rPr>
          <w:rFonts w:hint="eastAsia"/>
          <w:lang w:eastAsia="zh-CN"/>
        </w:rPr>
      </w:pPr>
    </w:p>
    <w:p w14:paraId="379C33D8">
      <w:pPr>
        <w:keepNext w:val="0"/>
        <w:keepLines w:val="0"/>
        <w:pageBreakBefore w:val="0"/>
        <w:kinsoku/>
        <w:overflowPunct/>
        <w:topLinePunct w:val="0"/>
        <w:autoSpaceDE/>
        <w:autoSpaceDN/>
        <w:bidi w:val="0"/>
        <w:spacing w:line="360" w:lineRule="auto"/>
        <w:jc w:val="left"/>
        <w:textAlignment w:val="auto"/>
        <w:rPr>
          <w:rFonts w:hint="eastAsia" w:ascii="宋体" w:hAnsi="宋体" w:eastAsia="宋体" w:cs="宋体"/>
          <w:b/>
          <w:color w:val="000000"/>
          <w:sz w:val="21"/>
          <w:szCs w:val="21"/>
          <w:highlight w:val="none"/>
        </w:rPr>
      </w:pPr>
      <w:r>
        <w:rPr>
          <w:rFonts w:hint="eastAsia" w:ascii="宋体" w:hAnsi="宋体" w:cs="宋体"/>
          <w:b/>
          <w:color w:val="000000"/>
          <w:sz w:val="21"/>
          <w:szCs w:val="21"/>
          <w:highlight w:val="none"/>
          <w:lang w:val="en-US" w:eastAsia="zh-CN"/>
        </w:rPr>
        <w:t>六</w:t>
      </w:r>
      <w:r>
        <w:rPr>
          <w:rFonts w:hint="eastAsia" w:ascii="宋体" w:hAnsi="宋体" w:eastAsia="宋体" w:cs="宋体"/>
          <w:b/>
          <w:color w:val="000000"/>
          <w:sz w:val="21"/>
          <w:szCs w:val="21"/>
          <w:highlight w:val="none"/>
        </w:rPr>
        <w:t>、法定代表人授权委托书和委托代理人完整有效的身份证复印件</w:t>
      </w:r>
      <w:r>
        <w:rPr>
          <w:rFonts w:hint="eastAsia" w:ascii="宋体" w:hAnsi="宋体" w:eastAsia="宋体" w:cs="宋体"/>
          <w:b/>
          <w:bCs/>
          <w:sz w:val="21"/>
          <w:szCs w:val="21"/>
          <w:highlight w:val="none"/>
          <w:lang w:eastAsia="zh-CN"/>
        </w:rPr>
        <w:t>（委托</w:t>
      </w:r>
      <w:r>
        <w:rPr>
          <w:rFonts w:hint="eastAsia" w:ascii="宋体" w:hAnsi="宋体" w:eastAsia="宋体" w:cs="宋体"/>
          <w:b/>
          <w:color w:val="000000"/>
          <w:sz w:val="21"/>
          <w:szCs w:val="21"/>
          <w:highlight w:val="none"/>
          <w:lang w:eastAsia="zh-CN"/>
        </w:rPr>
        <w:t>代理时必须提供）</w:t>
      </w:r>
      <w:r>
        <w:rPr>
          <w:rFonts w:hint="eastAsia" w:ascii="宋体" w:hAnsi="宋体" w:cs="宋体"/>
          <w:b/>
          <w:color w:val="000000"/>
          <w:sz w:val="21"/>
          <w:szCs w:val="21"/>
          <w:highlight w:val="none"/>
          <w:lang w:eastAsia="zh-CN"/>
        </w:rPr>
        <w:t>。</w:t>
      </w:r>
    </w:p>
    <w:p w14:paraId="68EED943">
      <w:pPr>
        <w:keepNext w:val="0"/>
        <w:keepLines w:val="0"/>
        <w:pageBreakBefore w:val="0"/>
        <w:kinsoku/>
        <w:overflowPunct/>
        <w:topLinePunct w:val="0"/>
        <w:bidi w:val="0"/>
        <w:snapToGrid w:val="0"/>
        <w:spacing w:before="120" w:beforeLines="50" w:after="50" w:line="360" w:lineRule="auto"/>
        <w:jc w:val="center"/>
        <w:textAlignment w:val="auto"/>
        <w:rPr>
          <w:rFonts w:hint="eastAsia" w:ascii="宋体" w:hAnsi="宋体" w:eastAsia="宋体" w:cs="宋体"/>
          <w:b/>
          <w:bCs/>
          <w:sz w:val="21"/>
          <w:szCs w:val="21"/>
          <w:highlight w:val="none"/>
          <w:lang w:eastAsia="zh-CN"/>
        </w:rPr>
      </w:pPr>
    </w:p>
    <w:p w14:paraId="1D105EF7">
      <w:pPr>
        <w:keepNext w:val="0"/>
        <w:keepLines w:val="0"/>
        <w:pageBreakBefore w:val="0"/>
        <w:kinsoku/>
        <w:overflowPunct/>
        <w:topLinePunct w:val="0"/>
        <w:bidi w:val="0"/>
        <w:snapToGrid w:val="0"/>
        <w:spacing w:before="120" w:beforeLines="50" w:after="50" w:line="360" w:lineRule="auto"/>
        <w:jc w:val="center"/>
        <w:textAlignment w:val="auto"/>
        <w:rPr>
          <w:rFonts w:hint="eastAsia" w:ascii="宋体" w:hAnsi="宋体" w:eastAsia="宋体" w:cs="宋体"/>
          <w:b/>
          <w:bCs/>
          <w:sz w:val="21"/>
          <w:szCs w:val="21"/>
          <w:highlight w:val="none"/>
          <w:lang w:eastAsia="zh-CN"/>
        </w:rPr>
      </w:pPr>
      <w:r>
        <w:rPr>
          <w:rFonts w:hint="eastAsia" w:ascii="宋体" w:hAnsi="宋体" w:eastAsia="宋体" w:cs="宋体"/>
          <w:b/>
          <w:bCs/>
          <w:sz w:val="21"/>
          <w:szCs w:val="21"/>
          <w:highlight w:val="none"/>
          <w:lang w:eastAsia="zh-CN"/>
        </w:rPr>
        <w:t>法定代表人授权委托书（</w:t>
      </w:r>
      <w:r>
        <w:rPr>
          <w:rFonts w:hint="eastAsia" w:ascii="宋体" w:hAnsi="宋体" w:eastAsia="宋体" w:cs="宋体"/>
          <w:b/>
          <w:bCs/>
          <w:sz w:val="21"/>
          <w:szCs w:val="21"/>
          <w:highlight w:val="none"/>
          <w:lang w:val="en-US" w:eastAsia="zh-CN"/>
        </w:rPr>
        <w:t>参考格式</w:t>
      </w:r>
      <w:r>
        <w:rPr>
          <w:rFonts w:hint="eastAsia" w:ascii="宋体" w:hAnsi="宋体" w:eastAsia="宋体" w:cs="宋体"/>
          <w:b/>
          <w:bCs/>
          <w:sz w:val="21"/>
          <w:szCs w:val="21"/>
          <w:highlight w:val="none"/>
          <w:lang w:eastAsia="zh-CN"/>
        </w:rPr>
        <w:t>）</w:t>
      </w:r>
    </w:p>
    <w:p w14:paraId="7F0237E6">
      <w:pPr>
        <w:keepNext w:val="0"/>
        <w:keepLines w:val="0"/>
        <w:pageBreakBefore w:val="0"/>
        <w:widowControl w:val="0"/>
        <w:kinsoku/>
        <w:wordWrap/>
        <w:overflowPunct/>
        <w:topLinePunct w:val="0"/>
        <w:autoSpaceDE/>
        <w:autoSpaceDN/>
        <w:bidi w:val="0"/>
        <w:adjustRightInd/>
        <w:snapToGrid w:val="0"/>
        <w:spacing w:before="120" w:beforeLines="50" w:after="50" w:line="360" w:lineRule="auto"/>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致________(采购人)：</w:t>
      </w:r>
    </w:p>
    <w:p w14:paraId="2692A244">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我</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（姓名）系</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（供应商名称）的法定代表人，现授权委托本单位在职职工（姓名）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（身份证号）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以我方的名义参加</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eastAsia="zh-CN"/>
        </w:rPr>
        <w:t>广西壮族自治区生殖医院</w:t>
      </w:r>
      <w:r>
        <w:rPr>
          <w:rFonts w:hint="eastAsia" w:ascii="宋体" w:hAnsi="宋体" w:eastAsia="宋体" w:cs="宋体"/>
          <w:sz w:val="21"/>
          <w:szCs w:val="21"/>
          <w:highlight w:val="none"/>
          <w:u w:val="single"/>
        </w:rPr>
        <w:t xml:space="preserve">（项目名称：        </w:t>
      </w:r>
      <w:r>
        <w:rPr>
          <w:rFonts w:hint="eastAsia" w:ascii="宋体" w:hAnsi="宋体" w:eastAsia="宋体" w:cs="宋体"/>
          <w:sz w:val="21"/>
          <w:szCs w:val="21"/>
          <w:highlight w:val="none"/>
          <w:u w:val="single"/>
          <w:lang w:eastAsia="zh-CN"/>
        </w:rPr>
        <w:t>，</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项目编号：       ）</w:t>
      </w:r>
      <w:r>
        <w:rPr>
          <w:rFonts w:hint="eastAsia" w:ascii="宋体" w:hAnsi="宋体" w:eastAsia="宋体" w:cs="宋体"/>
          <w:sz w:val="21"/>
          <w:szCs w:val="21"/>
          <w:highlight w:val="none"/>
        </w:rPr>
        <w:t>的投标活动，并代表我方全权办理针对上述项目的投标、开标、评标、签约等具体事务和签署相关文件。</w:t>
      </w:r>
    </w:p>
    <w:p w14:paraId="4813C1C7">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我方对委托代理人的签字事项负全部责任。</w:t>
      </w:r>
    </w:p>
    <w:p w14:paraId="7A8E9142">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u w:val="single"/>
        </w:rPr>
        <w:t>在撤销授权的书面通知以前，本授权书一直有效。</w:t>
      </w:r>
      <w:r>
        <w:rPr>
          <w:rFonts w:hint="eastAsia" w:ascii="宋体" w:hAnsi="宋体" w:eastAsia="宋体" w:cs="宋体"/>
          <w:sz w:val="21"/>
          <w:szCs w:val="21"/>
          <w:highlight w:val="none"/>
        </w:rPr>
        <w:t>委托代理人在授权书有效期内签署的所有文件不因授权的撤销而失效。</w:t>
      </w:r>
    </w:p>
    <w:p w14:paraId="5256AFB3">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委托代理人无转委托权，特此委托。</w:t>
      </w:r>
    </w:p>
    <w:p w14:paraId="2C1AD928">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被授权人（委托代理人）签字：</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p>
    <w:p w14:paraId="6F90D97D">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420" w:firstLineChars="2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所在部门/职务：</w:t>
      </w:r>
      <w:r>
        <w:rPr>
          <w:rFonts w:hint="eastAsia" w:ascii="宋体" w:hAnsi="宋体" w:eastAsia="宋体" w:cs="宋体"/>
          <w:sz w:val="21"/>
          <w:szCs w:val="21"/>
          <w:highlight w:val="none"/>
          <w:u w:val="single"/>
        </w:rPr>
        <w:t xml:space="preserve">                           </w:t>
      </w:r>
    </w:p>
    <w:p w14:paraId="70FE50A3">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联系电话：</w:t>
      </w:r>
      <w:r>
        <w:rPr>
          <w:rFonts w:hint="eastAsia" w:ascii="宋体" w:hAnsi="宋体" w:eastAsia="宋体" w:cs="宋体"/>
          <w:sz w:val="21"/>
          <w:szCs w:val="21"/>
          <w:highlight w:val="none"/>
          <w:u w:val="single"/>
        </w:rPr>
        <w:t xml:space="preserve">                                </w:t>
      </w:r>
    </w:p>
    <w:p w14:paraId="06F29721">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420" w:firstLineChars="2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法定代表人签字：</w:t>
      </w:r>
      <w:r>
        <w:rPr>
          <w:rFonts w:hint="eastAsia" w:ascii="宋体" w:hAnsi="宋体" w:eastAsia="宋体" w:cs="宋体"/>
          <w:sz w:val="21"/>
          <w:szCs w:val="21"/>
          <w:highlight w:val="none"/>
          <w:u w:val="single"/>
        </w:rPr>
        <w:t xml:space="preserve">                          </w:t>
      </w:r>
    </w:p>
    <w:p w14:paraId="2C84F1BE">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420" w:firstLineChars="200"/>
        <w:textAlignment w:val="auto"/>
        <w:rPr>
          <w:rFonts w:hint="eastAsia" w:ascii="宋体" w:hAnsi="宋体" w:eastAsia="宋体" w:cs="宋体"/>
          <w:sz w:val="21"/>
          <w:szCs w:val="21"/>
          <w:highlight w:val="none"/>
          <w:u w:val="single"/>
        </w:rPr>
      </w:pPr>
    </w:p>
    <w:p w14:paraId="0175326E">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5040" w:firstLineChars="24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供应商名称（盖公章）：</w:t>
      </w:r>
      <w:r>
        <w:rPr>
          <w:rFonts w:hint="eastAsia" w:ascii="宋体" w:hAnsi="宋体" w:eastAsia="宋体" w:cs="宋体"/>
          <w:sz w:val="21"/>
          <w:szCs w:val="21"/>
          <w:highlight w:val="none"/>
          <w:u w:val="single"/>
        </w:rPr>
        <w:t xml:space="preserve">             </w:t>
      </w:r>
    </w:p>
    <w:p w14:paraId="641ADB5C">
      <w:pPr>
        <w:pStyle w:val="17"/>
        <w:keepNext w:val="0"/>
        <w:keepLines w:val="0"/>
        <w:pageBreakBefore w:val="0"/>
        <w:widowControl w:val="0"/>
        <w:kinsoku/>
        <w:wordWrap w:val="0"/>
        <w:overflowPunct/>
        <w:topLinePunct w:val="0"/>
        <w:autoSpaceDE/>
        <w:autoSpaceDN/>
        <w:bidi w:val="0"/>
        <w:adjustRightInd/>
        <w:spacing w:line="360" w:lineRule="auto"/>
        <w:ind w:firstLine="539" w:firstLineChars="257"/>
        <w:jc w:val="righ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日期：</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日 </w:t>
      </w:r>
    </w:p>
    <w:p w14:paraId="40E4F3E2">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48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附：委托代理人有效的身份证正反面复印件，并加盖公章。</w:t>
      </w:r>
    </w:p>
    <w:p w14:paraId="2259284B">
      <w:pPr>
        <w:keepNext w:val="0"/>
        <w:keepLines w:val="0"/>
        <w:pageBreakBefore w:val="0"/>
        <w:numPr>
          <w:ilvl w:val="0"/>
          <w:numId w:val="0"/>
        </w:numPr>
        <w:kinsoku/>
        <w:overflowPunct/>
        <w:topLinePunct w:val="0"/>
        <w:bidi w:val="0"/>
        <w:spacing w:line="360" w:lineRule="auto"/>
        <w:ind w:left="0" w:leftChars="0" w:firstLine="0" w:firstLineChars="0"/>
        <w:textAlignment w:val="auto"/>
        <w:rPr>
          <w:rFonts w:hint="eastAsia" w:ascii="宋体" w:hAnsi="宋体" w:eastAsia="宋体" w:cs="宋体"/>
          <w:b/>
          <w:color w:val="000000"/>
          <w:sz w:val="21"/>
          <w:szCs w:val="21"/>
          <w:highlight w:val="none"/>
          <w:lang w:val="en-US" w:eastAsia="zh-CN"/>
        </w:rPr>
      </w:pPr>
    </w:p>
    <w:p w14:paraId="1ACA92FE">
      <w:pPr>
        <w:keepNext w:val="0"/>
        <w:keepLines w:val="0"/>
        <w:pageBreakBefore w:val="0"/>
        <w:kinsoku/>
        <w:overflowPunct/>
        <w:topLinePunct w:val="0"/>
        <w:bidi w:val="0"/>
        <w:spacing w:line="360" w:lineRule="auto"/>
        <w:textAlignment w:val="auto"/>
        <w:rPr>
          <w:rFonts w:hint="eastAsia" w:ascii="宋体" w:hAnsi="宋体" w:cs="宋体"/>
          <w:b/>
          <w:color w:val="000000"/>
          <w:kern w:val="2"/>
          <w:sz w:val="21"/>
          <w:szCs w:val="21"/>
          <w:lang w:val="en-US" w:eastAsia="zh-CN" w:bidi="ar-SA"/>
        </w:rPr>
      </w:pPr>
    </w:p>
    <w:p w14:paraId="314D49C8">
      <w:pPr>
        <w:keepNext w:val="0"/>
        <w:keepLines w:val="0"/>
        <w:pageBreakBefore w:val="0"/>
        <w:kinsoku/>
        <w:overflowPunct/>
        <w:topLinePunct w:val="0"/>
        <w:bidi w:val="0"/>
        <w:spacing w:line="360" w:lineRule="auto"/>
        <w:textAlignment w:val="auto"/>
        <w:rPr>
          <w:rFonts w:hint="eastAsia" w:ascii="宋体" w:hAnsi="宋体" w:cs="宋体"/>
          <w:b/>
          <w:color w:val="000000"/>
          <w:kern w:val="2"/>
          <w:sz w:val="21"/>
          <w:szCs w:val="21"/>
          <w:lang w:val="en-US" w:eastAsia="zh-CN" w:bidi="ar-SA"/>
        </w:rPr>
      </w:pPr>
    </w:p>
    <w:p w14:paraId="50DD0E58">
      <w:pPr>
        <w:keepNext w:val="0"/>
        <w:keepLines w:val="0"/>
        <w:pageBreakBefore w:val="0"/>
        <w:kinsoku/>
        <w:overflowPunct/>
        <w:topLinePunct w:val="0"/>
        <w:bidi w:val="0"/>
        <w:spacing w:line="360" w:lineRule="auto"/>
        <w:textAlignment w:val="auto"/>
        <w:rPr>
          <w:rFonts w:hint="eastAsia" w:ascii="宋体" w:hAnsi="宋体" w:cs="宋体"/>
          <w:b/>
          <w:color w:val="000000"/>
          <w:kern w:val="2"/>
          <w:sz w:val="21"/>
          <w:szCs w:val="21"/>
          <w:lang w:val="en-US" w:eastAsia="zh-CN" w:bidi="ar-SA"/>
        </w:rPr>
      </w:pPr>
    </w:p>
    <w:p w14:paraId="71F18772">
      <w:pPr>
        <w:keepNext w:val="0"/>
        <w:keepLines w:val="0"/>
        <w:pageBreakBefore w:val="0"/>
        <w:kinsoku/>
        <w:overflowPunct/>
        <w:topLinePunct w:val="0"/>
        <w:bidi w:val="0"/>
        <w:spacing w:line="360" w:lineRule="auto"/>
        <w:textAlignment w:val="auto"/>
        <w:rPr>
          <w:rFonts w:hint="eastAsia" w:ascii="宋体" w:hAnsi="宋体" w:cs="宋体"/>
          <w:b/>
          <w:color w:val="000000"/>
          <w:kern w:val="2"/>
          <w:sz w:val="21"/>
          <w:szCs w:val="21"/>
          <w:lang w:val="en-US" w:eastAsia="zh-CN" w:bidi="ar-SA"/>
        </w:rPr>
      </w:pPr>
    </w:p>
    <w:p w14:paraId="5B5C73A5">
      <w:pPr>
        <w:keepNext w:val="0"/>
        <w:keepLines w:val="0"/>
        <w:pageBreakBefore w:val="0"/>
        <w:kinsoku/>
        <w:overflowPunct/>
        <w:topLinePunct w:val="0"/>
        <w:bidi w:val="0"/>
        <w:spacing w:line="360" w:lineRule="auto"/>
        <w:textAlignment w:val="auto"/>
        <w:rPr>
          <w:rFonts w:hint="eastAsia" w:ascii="宋体" w:hAnsi="宋体" w:cs="宋体"/>
          <w:b/>
          <w:color w:val="000000"/>
          <w:kern w:val="2"/>
          <w:sz w:val="21"/>
          <w:szCs w:val="21"/>
          <w:lang w:val="en-US" w:eastAsia="zh-CN" w:bidi="ar-SA"/>
        </w:rPr>
      </w:pPr>
    </w:p>
    <w:p w14:paraId="1EE8C5B8">
      <w:pPr>
        <w:keepNext w:val="0"/>
        <w:keepLines w:val="0"/>
        <w:pageBreakBefore w:val="0"/>
        <w:kinsoku/>
        <w:overflowPunct/>
        <w:topLinePunct w:val="0"/>
        <w:bidi w:val="0"/>
        <w:spacing w:line="360" w:lineRule="auto"/>
        <w:textAlignment w:val="auto"/>
        <w:rPr>
          <w:rFonts w:hint="eastAsia" w:ascii="宋体" w:hAnsi="宋体" w:cs="宋体"/>
          <w:b/>
          <w:color w:val="000000"/>
          <w:kern w:val="2"/>
          <w:sz w:val="21"/>
          <w:szCs w:val="21"/>
          <w:lang w:val="en-US" w:eastAsia="zh-CN" w:bidi="ar-SA"/>
        </w:rPr>
      </w:pPr>
    </w:p>
    <w:p w14:paraId="63C0EC19">
      <w:pPr>
        <w:keepNext w:val="0"/>
        <w:keepLines w:val="0"/>
        <w:pageBreakBefore w:val="0"/>
        <w:kinsoku/>
        <w:overflowPunct/>
        <w:topLinePunct w:val="0"/>
        <w:bidi w:val="0"/>
        <w:spacing w:line="360" w:lineRule="auto"/>
        <w:textAlignment w:val="auto"/>
        <w:rPr>
          <w:rFonts w:hint="eastAsia" w:ascii="宋体" w:hAnsi="宋体" w:cs="宋体"/>
          <w:b/>
          <w:color w:val="000000"/>
          <w:kern w:val="2"/>
          <w:sz w:val="21"/>
          <w:szCs w:val="21"/>
          <w:lang w:val="en-US" w:eastAsia="zh-CN" w:bidi="ar-SA"/>
        </w:rPr>
      </w:pPr>
    </w:p>
    <w:p w14:paraId="00C6E0D0">
      <w:pPr>
        <w:keepNext w:val="0"/>
        <w:keepLines w:val="0"/>
        <w:pageBreakBefore w:val="0"/>
        <w:kinsoku/>
        <w:overflowPunct/>
        <w:topLinePunct w:val="0"/>
        <w:bidi w:val="0"/>
        <w:spacing w:line="360" w:lineRule="auto"/>
        <w:textAlignment w:val="auto"/>
        <w:rPr>
          <w:rFonts w:hint="eastAsia" w:ascii="宋体" w:hAnsi="宋体" w:cs="宋体"/>
          <w:b/>
          <w:color w:val="000000"/>
          <w:kern w:val="2"/>
          <w:sz w:val="21"/>
          <w:szCs w:val="21"/>
          <w:lang w:val="en-US" w:eastAsia="zh-CN" w:bidi="ar-SA"/>
        </w:rPr>
      </w:pPr>
    </w:p>
    <w:p w14:paraId="786201C7">
      <w:pPr>
        <w:keepNext w:val="0"/>
        <w:keepLines w:val="0"/>
        <w:pageBreakBefore w:val="0"/>
        <w:kinsoku/>
        <w:overflowPunct/>
        <w:topLinePunct w:val="0"/>
        <w:bidi w:val="0"/>
        <w:spacing w:line="360" w:lineRule="auto"/>
        <w:textAlignment w:val="auto"/>
        <w:rPr>
          <w:rFonts w:hint="eastAsia" w:ascii="宋体" w:hAnsi="宋体" w:cs="宋体"/>
          <w:b/>
          <w:color w:val="000000"/>
          <w:kern w:val="2"/>
          <w:sz w:val="21"/>
          <w:szCs w:val="21"/>
          <w:lang w:val="en-US" w:eastAsia="zh-CN" w:bidi="ar-SA"/>
        </w:rPr>
      </w:pPr>
    </w:p>
    <w:p w14:paraId="53905B26">
      <w:pPr>
        <w:keepNext w:val="0"/>
        <w:keepLines w:val="0"/>
        <w:pageBreakBefore w:val="0"/>
        <w:kinsoku/>
        <w:overflowPunct/>
        <w:topLinePunct w:val="0"/>
        <w:bidi w:val="0"/>
        <w:spacing w:line="360" w:lineRule="auto"/>
        <w:textAlignment w:val="auto"/>
        <w:rPr>
          <w:rFonts w:hint="eastAsia" w:ascii="宋体" w:hAnsi="宋体" w:cs="宋体"/>
          <w:b/>
          <w:color w:val="000000"/>
          <w:kern w:val="2"/>
          <w:sz w:val="21"/>
          <w:szCs w:val="21"/>
          <w:lang w:val="en-US" w:eastAsia="zh-CN" w:bidi="ar-SA"/>
        </w:rPr>
      </w:pPr>
    </w:p>
    <w:p w14:paraId="21207CAD">
      <w:pPr>
        <w:keepNext w:val="0"/>
        <w:keepLines w:val="0"/>
        <w:pageBreakBefore w:val="0"/>
        <w:kinsoku/>
        <w:overflowPunct/>
        <w:topLinePunct w:val="0"/>
        <w:bidi w:val="0"/>
        <w:spacing w:line="360" w:lineRule="auto"/>
        <w:textAlignment w:val="auto"/>
        <w:rPr>
          <w:rFonts w:hint="eastAsia" w:ascii="宋体" w:hAnsi="宋体" w:cs="宋体"/>
          <w:b/>
          <w:color w:val="000000"/>
          <w:kern w:val="2"/>
          <w:sz w:val="21"/>
          <w:szCs w:val="21"/>
          <w:lang w:val="en-US" w:eastAsia="zh-CN" w:bidi="ar-SA"/>
        </w:rPr>
      </w:pPr>
    </w:p>
    <w:p w14:paraId="7F58983C">
      <w:pPr>
        <w:keepNext w:val="0"/>
        <w:keepLines w:val="0"/>
        <w:pageBreakBefore w:val="0"/>
        <w:kinsoku/>
        <w:overflowPunct/>
        <w:topLinePunct w:val="0"/>
        <w:bidi w:val="0"/>
        <w:spacing w:line="360" w:lineRule="auto"/>
        <w:textAlignment w:val="auto"/>
        <w:rPr>
          <w:rFonts w:hint="eastAsia" w:ascii="宋体" w:hAnsi="宋体" w:cs="宋体"/>
          <w:b/>
          <w:color w:val="000000"/>
          <w:kern w:val="2"/>
          <w:sz w:val="21"/>
          <w:szCs w:val="21"/>
          <w:lang w:val="en-US" w:eastAsia="zh-CN" w:bidi="ar-SA"/>
        </w:rPr>
      </w:pPr>
    </w:p>
    <w:p w14:paraId="38F86987">
      <w:pPr>
        <w:keepNext w:val="0"/>
        <w:keepLines w:val="0"/>
        <w:pageBreakBefore w:val="0"/>
        <w:kinsoku/>
        <w:overflowPunct/>
        <w:topLinePunct w:val="0"/>
        <w:bidi w:val="0"/>
        <w:spacing w:line="360" w:lineRule="auto"/>
        <w:textAlignment w:val="auto"/>
        <w:rPr>
          <w:rFonts w:hint="eastAsia" w:ascii="宋体" w:hAnsi="宋体" w:cs="宋体"/>
          <w:b/>
          <w:color w:val="000000"/>
          <w:kern w:val="2"/>
          <w:sz w:val="21"/>
          <w:szCs w:val="21"/>
          <w:lang w:val="en-US" w:eastAsia="zh-CN" w:bidi="ar-SA"/>
        </w:rPr>
      </w:pPr>
    </w:p>
    <w:p w14:paraId="434593BC">
      <w:pPr>
        <w:keepNext w:val="0"/>
        <w:keepLines w:val="0"/>
        <w:pageBreakBefore w:val="0"/>
        <w:kinsoku/>
        <w:overflowPunct/>
        <w:topLinePunct w:val="0"/>
        <w:bidi w:val="0"/>
        <w:spacing w:line="360" w:lineRule="auto"/>
        <w:textAlignment w:val="auto"/>
        <w:rPr>
          <w:rFonts w:hint="eastAsia" w:ascii="宋体" w:hAnsi="宋体" w:cs="宋体"/>
          <w:b/>
          <w:color w:val="000000"/>
          <w:kern w:val="2"/>
          <w:sz w:val="21"/>
          <w:szCs w:val="21"/>
          <w:lang w:val="en-US" w:eastAsia="zh-CN" w:bidi="ar-SA"/>
        </w:rPr>
      </w:pPr>
    </w:p>
    <w:p w14:paraId="1BF6F126">
      <w:pPr>
        <w:keepNext w:val="0"/>
        <w:keepLines w:val="0"/>
        <w:pageBreakBefore w:val="0"/>
        <w:kinsoku/>
        <w:overflowPunct/>
        <w:topLinePunct w:val="0"/>
        <w:bidi w:val="0"/>
        <w:spacing w:line="360" w:lineRule="auto"/>
        <w:textAlignment w:val="auto"/>
        <w:rPr>
          <w:rFonts w:hint="eastAsia" w:ascii="宋体" w:hAnsi="宋体" w:cs="宋体"/>
          <w:b/>
          <w:color w:val="000000"/>
          <w:kern w:val="2"/>
          <w:sz w:val="21"/>
          <w:szCs w:val="21"/>
          <w:lang w:val="en-US" w:eastAsia="zh-CN" w:bidi="ar-SA"/>
        </w:rPr>
      </w:pPr>
    </w:p>
    <w:p w14:paraId="416F7260">
      <w:pPr>
        <w:keepNext w:val="0"/>
        <w:keepLines w:val="0"/>
        <w:pageBreakBefore w:val="0"/>
        <w:kinsoku/>
        <w:overflowPunct/>
        <w:topLinePunct w:val="0"/>
        <w:bidi w:val="0"/>
        <w:spacing w:line="360" w:lineRule="auto"/>
        <w:textAlignment w:val="auto"/>
        <w:rPr>
          <w:rFonts w:hint="eastAsia" w:ascii="宋体" w:hAnsi="宋体" w:cs="宋体"/>
          <w:b/>
          <w:color w:val="000000"/>
          <w:kern w:val="2"/>
          <w:sz w:val="21"/>
          <w:szCs w:val="21"/>
          <w:lang w:val="en-US" w:eastAsia="zh-CN" w:bidi="ar-SA"/>
        </w:rPr>
      </w:pPr>
    </w:p>
    <w:p w14:paraId="0E0C576F">
      <w:pPr>
        <w:keepNext w:val="0"/>
        <w:keepLines w:val="0"/>
        <w:pageBreakBefore w:val="0"/>
        <w:kinsoku/>
        <w:overflowPunct/>
        <w:topLinePunct w:val="0"/>
        <w:bidi w:val="0"/>
        <w:spacing w:line="360" w:lineRule="auto"/>
        <w:textAlignment w:val="auto"/>
        <w:rPr>
          <w:rFonts w:hint="eastAsia" w:ascii="宋体" w:hAnsi="宋体" w:cs="宋体"/>
          <w:b/>
          <w:color w:val="000000"/>
          <w:kern w:val="2"/>
          <w:sz w:val="21"/>
          <w:szCs w:val="21"/>
          <w:lang w:val="en-US" w:eastAsia="zh-CN" w:bidi="ar-SA"/>
        </w:rPr>
      </w:pPr>
    </w:p>
    <w:p w14:paraId="7785EBB3">
      <w:pPr>
        <w:keepNext w:val="0"/>
        <w:keepLines w:val="0"/>
        <w:pageBreakBefore w:val="0"/>
        <w:kinsoku/>
        <w:overflowPunct/>
        <w:topLinePunct w:val="0"/>
        <w:bidi w:val="0"/>
        <w:spacing w:line="360" w:lineRule="auto"/>
        <w:textAlignment w:val="auto"/>
        <w:rPr>
          <w:rFonts w:hint="eastAsia" w:ascii="宋体" w:hAnsi="宋体" w:eastAsia="宋体" w:cs="宋体"/>
          <w:b/>
          <w:color w:val="000000"/>
          <w:sz w:val="21"/>
          <w:szCs w:val="21"/>
          <w:highlight w:val="none"/>
          <w:lang w:eastAsia="zh-CN"/>
        </w:rPr>
      </w:pPr>
      <w:r>
        <w:rPr>
          <w:rFonts w:hint="eastAsia" w:ascii="宋体" w:hAnsi="宋体" w:cs="宋体"/>
          <w:b/>
          <w:color w:val="000000"/>
          <w:kern w:val="2"/>
          <w:sz w:val="21"/>
          <w:szCs w:val="21"/>
          <w:lang w:val="en-US" w:eastAsia="zh-CN" w:bidi="ar-SA"/>
        </w:rPr>
        <w:t>七</w:t>
      </w:r>
      <w:r>
        <w:rPr>
          <w:rFonts w:hint="eastAsia" w:ascii="宋体" w:hAnsi="宋体" w:eastAsia="宋体" w:cs="宋体"/>
          <w:b/>
          <w:color w:val="000000"/>
          <w:kern w:val="2"/>
          <w:sz w:val="21"/>
          <w:szCs w:val="21"/>
          <w:lang w:val="en-US" w:eastAsia="zh-CN" w:bidi="ar-SA"/>
        </w:rPr>
        <w:t>、</w:t>
      </w:r>
      <w:r>
        <w:rPr>
          <w:rFonts w:hint="eastAsia" w:ascii="宋体" w:hAnsi="宋体" w:eastAsia="宋体" w:cs="宋体"/>
          <w:b/>
          <w:color w:val="000000"/>
          <w:sz w:val="21"/>
          <w:szCs w:val="21"/>
          <w:highlight w:val="none"/>
          <w:lang w:eastAsia="zh-CN"/>
        </w:rPr>
        <w:t>报价表（必须提供</w:t>
      </w:r>
      <w:r>
        <w:rPr>
          <w:rFonts w:hint="eastAsia" w:ascii="宋体" w:hAnsi="宋体" w:eastAsia="宋体" w:cs="宋体"/>
          <w:b/>
          <w:color w:val="000000"/>
          <w:sz w:val="21"/>
          <w:szCs w:val="21"/>
          <w:highlight w:val="none"/>
          <w:lang w:val="en-US" w:eastAsia="zh-CN"/>
        </w:rPr>
        <w:t>,密封有效</w:t>
      </w:r>
      <w:r>
        <w:rPr>
          <w:rFonts w:hint="eastAsia" w:ascii="宋体" w:hAnsi="宋体" w:eastAsia="宋体" w:cs="宋体"/>
          <w:b/>
          <w:color w:val="000000"/>
          <w:sz w:val="21"/>
          <w:szCs w:val="21"/>
          <w:highlight w:val="none"/>
          <w:lang w:eastAsia="zh-CN"/>
        </w:rPr>
        <w:t>）</w:t>
      </w:r>
    </w:p>
    <w:p w14:paraId="7DAAE76D">
      <w:pPr>
        <w:pStyle w:val="38"/>
        <w:keepNext w:val="0"/>
        <w:keepLines w:val="0"/>
        <w:pageBreakBefore w:val="0"/>
        <w:numPr>
          <w:ilvl w:val="0"/>
          <w:numId w:val="0"/>
        </w:numPr>
        <w:kinsoku/>
        <w:wordWrap/>
        <w:overflowPunct/>
        <w:topLinePunct w:val="0"/>
        <w:bidi w:val="0"/>
        <w:adjustRightInd w:val="0"/>
        <w:spacing w:line="360" w:lineRule="auto"/>
        <w:jc w:val="center"/>
        <w:textAlignment w:val="auto"/>
        <w:rPr>
          <w:rFonts w:hint="eastAsia" w:ascii="宋体" w:hAnsi="宋体" w:eastAsia="宋体" w:cs="宋体"/>
          <w:b/>
          <w:bCs/>
          <w:color w:val="auto"/>
          <w:kern w:val="2"/>
          <w:sz w:val="32"/>
          <w:szCs w:val="32"/>
          <w:highlight w:val="none"/>
          <w:lang w:val="en-US" w:eastAsia="zh-CN" w:bidi="ar-SA"/>
        </w:rPr>
      </w:pPr>
      <w:r>
        <w:rPr>
          <w:rFonts w:hint="eastAsia" w:ascii="宋体" w:hAnsi="宋体" w:eastAsia="宋体" w:cs="宋体"/>
          <w:b/>
          <w:bCs/>
          <w:color w:val="auto"/>
          <w:kern w:val="2"/>
          <w:sz w:val="32"/>
          <w:szCs w:val="32"/>
          <w:highlight w:val="none"/>
          <w:lang w:val="en-US" w:eastAsia="zh-CN" w:bidi="ar-SA"/>
        </w:rPr>
        <w:t>报 价 表</w:t>
      </w:r>
    </w:p>
    <w:p w14:paraId="520C3663">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sz w:val="21"/>
          <w:szCs w:val="21"/>
          <w:highlight w:val="none"/>
          <w:u w:val="single"/>
          <w:lang w:val="en-US" w:eastAsia="zh-CN"/>
        </w:rPr>
      </w:pPr>
      <w:r>
        <w:rPr>
          <w:rFonts w:hint="eastAsia" w:ascii="宋体" w:hAnsi="宋体" w:eastAsia="宋体" w:cs="宋体"/>
          <w:bCs/>
          <w:sz w:val="21"/>
          <w:szCs w:val="21"/>
          <w:highlight w:val="none"/>
          <w:lang w:val="en-US" w:eastAsia="zh-CN"/>
        </w:rPr>
        <w:t>采购</w:t>
      </w:r>
      <w:r>
        <w:rPr>
          <w:rFonts w:hint="eastAsia" w:ascii="宋体" w:hAnsi="宋体" w:eastAsia="宋体" w:cs="宋体"/>
          <w:bCs/>
          <w:sz w:val="21"/>
          <w:szCs w:val="21"/>
          <w:highlight w:val="none"/>
        </w:rPr>
        <w:t>项目</w:t>
      </w:r>
      <w:r>
        <w:rPr>
          <w:rFonts w:hint="eastAsia" w:ascii="宋体" w:hAnsi="宋体" w:eastAsia="宋体" w:cs="宋体"/>
          <w:bCs/>
          <w:sz w:val="21"/>
          <w:szCs w:val="21"/>
          <w:highlight w:val="none"/>
          <w:lang w:eastAsia="zh-CN"/>
        </w:rPr>
        <w:t>名称：</w:t>
      </w:r>
      <w:r>
        <w:rPr>
          <w:rFonts w:hint="eastAsia" w:ascii="宋体" w:hAnsi="宋体" w:eastAsia="宋体" w:cs="宋体"/>
          <w:sz w:val="21"/>
          <w:szCs w:val="21"/>
          <w:highlight w:val="none"/>
          <w:u w:val="single"/>
          <w:lang w:val="en-US" w:eastAsia="zh-CN"/>
        </w:rPr>
        <w:t xml:space="preserve">               </w:t>
      </w:r>
    </w:p>
    <w:p w14:paraId="4E8EA4B6">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sz w:val="21"/>
          <w:szCs w:val="21"/>
          <w:highlight w:val="none"/>
          <w:u w:val="single"/>
          <w:lang w:val="en-US" w:eastAsia="zh-CN"/>
        </w:rPr>
      </w:pPr>
      <w:r>
        <w:rPr>
          <w:rFonts w:hint="eastAsia" w:ascii="宋体" w:hAnsi="宋体" w:eastAsia="宋体" w:cs="宋体"/>
          <w:bCs/>
          <w:sz w:val="21"/>
          <w:szCs w:val="21"/>
          <w:highlight w:val="none"/>
          <w:lang w:val="en-US" w:eastAsia="zh-CN"/>
        </w:rPr>
        <w:t>采购</w:t>
      </w:r>
      <w:r>
        <w:rPr>
          <w:rFonts w:hint="eastAsia" w:ascii="宋体" w:hAnsi="宋体" w:eastAsia="宋体" w:cs="宋体"/>
          <w:bCs/>
          <w:sz w:val="21"/>
          <w:szCs w:val="21"/>
          <w:highlight w:val="none"/>
          <w:lang w:eastAsia="zh-CN"/>
        </w:rPr>
        <w:t>项目编号</w:t>
      </w:r>
      <w:r>
        <w:rPr>
          <w:rFonts w:hint="eastAsia" w:ascii="宋体" w:hAnsi="宋体" w:eastAsia="宋体" w:cs="宋体"/>
          <w:bCs/>
          <w:sz w:val="21"/>
          <w:szCs w:val="21"/>
          <w:highlight w:val="none"/>
        </w:rPr>
        <w:t>：</w:t>
      </w:r>
      <w:r>
        <w:rPr>
          <w:rFonts w:hint="eastAsia" w:ascii="宋体" w:hAnsi="宋体" w:eastAsia="宋体" w:cs="宋体"/>
          <w:sz w:val="21"/>
          <w:szCs w:val="21"/>
          <w:highlight w:val="none"/>
          <w:u w:val="single"/>
          <w:lang w:val="en-US" w:eastAsia="zh-CN"/>
        </w:rPr>
        <w:t xml:space="preserve">               </w:t>
      </w:r>
    </w:p>
    <w:p w14:paraId="48290457">
      <w:pPr>
        <w:keepNext w:val="0"/>
        <w:keepLines w:val="0"/>
        <w:pageBreakBefore w:val="0"/>
        <w:tabs>
          <w:tab w:val="left" w:pos="180"/>
          <w:tab w:val="left" w:pos="1620"/>
        </w:tabs>
        <w:kinsoku/>
        <w:wordWrap/>
        <w:overflowPunct/>
        <w:topLinePunct w:val="0"/>
        <w:autoSpaceDE/>
        <w:autoSpaceDN/>
        <w:bidi w:val="0"/>
        <w:snapToGrid/>
        <w:spacing w:line="360" w:lineRule="auto"/>
        <w:jc w:val="left"/>
        <w:textAlignment w:val="auto"/>
        <w:rPr>
          <w:rFonts w:hint="eastAsia" w:ascii="宋体" w:hAnsi="宋体" w:eastAsia="宋体" w:cs="宋体"/>
          <w:b w:val="0"/>
          <w:bCs w:val="0"/>
          <w:sz w:val="21"/>
          <w:szCs w:val="21"/>
          <w:highlight w:val="none"/>
          <w:lang w:eastAsia="zh-CN"/>
        </w:rPr>
      </w:pP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5"/>
        <w:gridCol w:w="2330"/>
        <w:gridCol w:w="2008"/>
        <w:gridCol w:w="653"/>
        <w:gridCol w:w="692"/>
        <w:gridCol w:w="947"/>
        <w:gridCol w:w="947"/>
      </w:tblGrid>
      <w:tr w14:paraId="756BD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475" w:type="dxa"/>
            <w:shd w:val="clear" w:color="auto" w:fill="auto"/>
            <w:vAlign w:val="center"/>
          </w:tcPr>
          <w:p w14:paraId="16456D89">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序号</w:t>
            </w:r>
          </w:p>
        </w:tc>
        <w:tc>
          <w:tcPr>
            <w:tcW w:w="2330" w:type="dxa"/>
            <w:shd w:val="clear" w:color="auto" w:fill="auto"/>
            <w:vAlign w:val="center"/>
          </w:tcPr>
          <w:p w14:paraId="7DA9BBF4">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标的名称</w:t>
            </w:r>
          </w:p>
        </w:tc>
        <w:tc>
          <w:tcPr>
            <w:tcW w:w="2008" w:type="dxa"/>
            <w:shd w:val="clear" w:color="auto" w:fill="auto"/>
            <w:vAlign w:val="center"/>
          </w:tcPr>
          <w:p w14:paraId="53D234E8">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规格</w:t>
            </w:r>
          </w:p>
        </w:tc>
        <w:tc>
          <w:tcPr>
            <w:tcW w:w="653" w:type="dxa"/>
            <w:shd w:val="clear" w:color="auto" w:fill="auto"/>
            <w:vAlign w:val="center"/>
          </w:tcPr>
          <w:p w14:paraId="5FBAAA25">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计量单位</w:t>
            </w:r>
          </w:p>
        </w:tc>
        <w:tc>
          <w:tcPr>
            <w:tcW w:w="692" w:type="dxa"/>
            <w:shd w:val="clear" w:color="auto" w:fill="auto"/>
            <w:vAlign w:val="center"/>
          </w:tcPr>
          <w:p w14:paraId="4297C1E2">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数量</w:t>
            </w:r>
          </w:p>
        </w:tc>
        <w:tc>
          <w:tcPr>
            <w:tcW w:w="947" w:type="dxa"/>
            <w:shd w:val="clear" w:color="auto" w:fill="auto"/>
            <w:vAlign w:val="center"/>
          </w:tcPr>
          <w:p w14:paraId="10744628">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b/>
                <w:bCs/>
                <w:kern w:val="2"/>
                <w:sz w:val="21"/>
                <w:szCs w:val="21"/>
                <w:lang w:val="en-US" w:eastAsia="zh-CN" w:bidi="ar-SA"/>
              </w:rPr>
            </w:pPr>
            <w:r>
              <w:rPr>
                <w:rFonts w:hint="eastAsia" w:ascii="宋体" w:hAnsi="宋体" w:cs="宋体"/>
                <w:b/>
                <w:bCs/>
                <w:kern w:val="0"/>
                <w:sz w:val="21"/>
                <w:szCs w:val="21"/>
                <w:lang w:val="en-US" w:eastAsia="zh-CN" w:bidi="ar"/>
              </w:rPr>
              <w:t>报价</w:t>
            </w:r>
            <w:r>
              <w:rPr>
                <w:rFonts w:hint="eastAsia" w:ascii="宋体" w:hAnsi="宋体" w:eastAsia="宋体" w:cs="宋体"/>
                <w:b/>
                <w:bCs/>
                <w:kern w:val="0"/>
                <w:sz w:val="21"/>
                <w:szCs w:val="21"/>
                <w:lang w:val="en-US" w:eastAsia="zh-CN" w:bidi="ar"/>
              </w:rPr>
              <w:t>（元）</w:t>
            </w:r>
          </w:p>
        </w:tc>
        <w:tc>
          <w:tcPr>
            <w:tcW w:w="947" w:type="dxa"/>
            <w:shd w:val="clear" w:color="auto" w:fill="auto"/>
            <w:vAlign w:val="center"/>
          </w:tcPr>
          <w:p w14:paraId="7D728577">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b/>
                <w:bCs/>
                <w:kern w:val="0"/>
                <w:sz w:val="21"/>
                <w:szCs w:val="21"/>
                <w:lang w:val="en-US" w:eastAsia="zh-CN" w:bidi="ar"/>
              </w:rPr>
            </w:pPr>
            <w:r>
              <w:rPr>
                <w:rFonts w:hint="eastAsia" w:ascii="宋体" w:hAnsi="宋体" w:cs="宋体"/>
                <w:b/>
                <w:bCs/>
                <w:kern w:val="0"/>
                <w:sz w:val="21"/>
                <w:szCs w:val="21"/>
                <w:lang w:val="en-US" w:eastAsia="zh-CN" w:bidi="ar"/>
              </w:rPr>
              <w:t>总报价（元）</w:t>
            </w:r>
          </w:p>
        </w:tc>
      </w:tr>
      <w:tr w14:paraId="62086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475" w:type="dxa"/>
            <w:shd w:val="clear" w:color="auto" w:fill="auto"/>
            <w:vAlign w:val="center"/>
          </w:tcPr>
          <w:p w14:paraId="78B9E563">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kern w:val="2"/>
                <w:sz w:val="21"/>
                <w:szCs w:val="21"/>
                <w:lang w:val="en-US" w:eastAsia="zh-CN" w:bidi="ar-SA"/>
              </w:rPr>
            </w:pPr>
            <w:r>
              <w:rPr>
                <w:rFonts w:hint="eastAsia" w:ascii="宋体" w:hAnsi="宋体" w:eastAsia="宋体" w:cs="宋体"/>
                <w:kern w:val="0"/>
                <w:sz w:val="21"/>
                <w:szCs w:val="21"/>
                <w:lang w:val="en-US" w:eastAsia="zh-CN" w:bidi="ar"/>
              </w:rPr>
              <w:t>1</w:t>
            </w:r>
          </w:p>
        </w:tc>
        <w:tc>
          <w:tcPr>
            <w:tcW w:w="2330" w:type="dxa"/>
            <w:shd w:val="clear" w:color="auto" w:fill="auto"/>
            <w:vAlign w:val="center"/>
          </w:tcPr>
          <w:p w14:paraId="6E4534E8">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kern w:val="2"/>
                <w:sz w:val="21"/>
                <w:szCs w:val="21"/>
                <w:lang w:val="en-US" w:eastAsia="zh-CN" w:bidi="ar-SA"/>
              </w:rPr>
            </w:pPr>
            <w:r>
              <w:rPr>
                <w:rStyle w:val="49"/>
                <w:rFonts w:hint="eastAsia"/>
                <w:color w:val="auto"/>
                <w:sz w:val="21"/>
                <w:szCs w:val="21"/>
                <w:lang w:val="en-US" w:eastAsia="zh-CN" w:bidi="ar"/>
              </w:rPr>
              <w:t>抗β2糖蛋白I抗体IgA非定值质控品</w:t>
            </w:r>
          </w:p>
        </w:tc>
        <w:tc>
          <w:tcPr>
            <w:tcW w:w="2008" w:type="dxa"/>
            <w:shd w:val="clear" w:color="auto" w:fill="auto"/>
            <w:vAlign w:val="center"/>
          </w:tcPr>
          <w:p w14:paraId="61A93DAB">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default" w:ascii="宋体" w:hAnsi="宋体" w:eastAsia="宋体" w:cs="宋体"/>
                <w:kern w:val="2"/>
                <w:sz w:val="21"/>
                <w:szCs w:val="21"/>
                <w:lang w:val="en-US" w:eastAsia="zh-CN" w:bidi="ar-SA"/>
              </w:rPr>
            </w:pPr>
            <w:r>
              <w:rPr>
                <w:rStyle w:val="49"/>
                <w:rFonts w:hint="eastAsia"/>
                <w:color w:val="auto"/>
                <w:sz w:val="21"/>
                <w:szCs w:val="21"/>
                <w:lang w:val="en-US" w:eastAsia="zh-CN" w:bidi="ar"/>
              </w:rPr>
              <w:t>阳性：2×1mL，</w:t>
            </w:r>
            <w:r>
              <w:rPr>
                <w:rStyle w:val="49"/>
                <w:rFonts w:hint="eastAsia"/>
                <w:color w:val="auto"/>
                <w:sz w:val="21"/>
                <w:szCs w:val="21"/>
                <w:lang w:val="en-US" w:eastAsia="zh-CN" w:bidi="ar"/>
              </w:rPr>
              <w:br w:type="textWrapping"/>
            </w:r>
            <w:r>
              <w:rPr>
                <w:rStyle w:val="49"/>
                <w:rFonts w:hint="eastAsia"/>
                <w:color w:val="auto"/>
                <w:sz w:val="21"/>
                <w:szCs w:val="21"/>
                <w:lang w:val="en-US" w:eastAsia="zh-CN" w:bidi="ar"/>
              </w:rPr>
              <w:t>阴性：2×1mL</w:t>
            </w:r>
          </w:p>
        </w:tc>
        <w:tc>
          <w:tcPr>
            <w:tcW w:w="653" w:type="dxa"/>
            <w:shd w:val="clear" w:color="auto" w:fill="auto"/>
            <w:vAlign w:val="center"/>
          </w:tcPr>
          <w:p w14:paraId="148877D9">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default" w:ascii="宋体" w:hAnsi="宋体" w:eastAsia="宋体" w:cs="宋体"/>
                <w:kern w:val="2"/>
                <w:sz w:val="21"/>
                <w:szCs w:val="21"/>
                <w:lang w:val="en-US" w:eastAsia="zh-CN" w:bidi="ar-SA"/>
              </w:rPr>
            </w:pPr>
            <w:r>
              <w:rPr>
                <w:rStyle w:val="49"/>
                <w:rFonts w:hint="eastAsia"/>
                <w:color w:val="auto"/>
                <w:sz w:val="21"/>
                <w:szCs w:val="21"/>
                <w:lang w:val="en-US" w:eastAsia="zh-CN" w:bidi="ar"/>
              </w:rPr>
              <w:t>盒</w:t>
            </w:r>
          </w:p>
        </w:tc>
        <w:tc>
          <w:tcPr>
            <w:tcW w:w="692" w:type="dxa"/>
            <w:shd w:val="clear" w:color="auto" w:fill="auto"/>
            <w:vAlign w:val="center"/>
          </w:tcPr>
          <w:p w14:paraId="05ABE783">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9</w:t>
            </w:r>
          </w:p>
        </w:tc>
        <w:tc>
          <w:tcPr>
            <w:tcW w:w="947" w:type="dxa"/>
            <w:vAlign w:val="center"/>
          </w:tcPr>
          <w:p w14:paraId="025C9A48">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kern w:val="0"/>
                <w:sz w:val="21"/>
                <w:szCs w:val="21"/>
                <w:lang w:val="en-US" w:eastAsia="zh-CN" w:bidi="ar"/>
              </w:rPr>
            </w:pPr>
          </w:p>
        </w:tc>
        <w:tc>
          <w:tcPr>
            <w:tcW w:w="947" w:type="dxa"/>
            <w:vMerge w:val="restart"/>
            <w:vAlign w:val="center"/>
          </w:tcPr>
          <w:p w14:paraId="3EF9896B">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kern w:val="0"/>
                <w:sz w:val="21"/>
                <w:szCs w:val="21"/>
                <w:lang w:val="en-US" w:eastAsia="zh-CN" w:bidi="ar"/>
              </w:rPr>
            </w:pPr>
          </w:p>
        </w:tc>
      </w:tr>
      <w:tr w14:paraId="673E8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475" w:type="dxa"/>
            <w:shd w:val="clear" w:color="auto" w:fill="auto"/>
            <w:vAlign w:val="center"/>
          </w:tcPr>
          <w:p w14:paraId="60689E6F">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default"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2</w:t>
            </w:r>
          </w:p>
        </w:tc>
        <w:tc>
          <w:tcPr>
            <w:tcW w:w="2330" w:type="dxa"/>
            <w:shd w:val="clear" w:color="auto" w:fill="auto"/>
            <w:vAlign w:val="center"/>
          </w:tcPr>
          <w:p w14:paraId="475A53F7">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kern w:val="2"/>
                <w:sz w:val="21"/>
                <w:szCs w:val="21"/>
                <w:lang w:val="en-US" w:eastAsia="zh-CN" w:bidi="ar-SA"/>
              </w:rPr>
            </w:pPr>
            <w:r>
              <w:rPr>
                <w:rStyle w:val="49"/>
                <w:rFonts w:hint="eastAsia"/>
                <w:color w:val="auto"/>
                <w:sz w:val="21"/>
                <w:szCs w:val="21"/>
                <w:lang w:val="en-US" w:eastAsia="zh-CN" w:bidi="ar"/>
              </w:rPr>
              <w:t>抗β2糖蛋白I抗体IgM非定值质控品</w:t>
            </w:r>
          </w:p>
        </w:tc>
        <w:tc>
          <w:tcPr>
            <w:tcW w:w="2008" w:type="dxa"/>
            <w:shd w:val="clear" w:color="auto" w:fill="auto"/>
            <w:vAlign w:val="center"/>
          </w:tcPr>
          <w:p w14:paraId="5F57C48B">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default" w:ascii="宋体" w:hAnsi="宋体" w:eastAsia="宋体" w:cs="宋体"/>
                <w:kern w:val="2"/>
                <w:sz w:val="21"/>
                <w:szCs w:val="21"/>
                <w:lang w:val="en-US" w:eastAsia="zh-CN" w:bidi="ar-SA"/>
              </w:rPr>
            </w:pPr>
            <w:r>
              <w:rPr>
                <w:rStyle w:val="49"/>
                <w:rFonts w:hint="eastAsia"/>
                <w:color w:val="auto"/>
                <w:sz w:val="21"/>
                <w:szCs w:val="21"/>
                <w:lang w:val="en-US" w:eastAsia="zh-CN" w:bidi="ar"/>
              </w:rPr>
              <w:t>阳性：2×1mL，</w:t>
            </w:r>
            <w:r>
              <w:rPr>
                <w:rStyle w:val="49"/>
                <w:rFonts w:hint="eastAsia"/>
                <w:color w:val="auto"/>
                <w:sz w:val="21"/>
                <w:szCs w:val="21"/>
                <w:lang w:val="en-US" w:eastAsia="zh-CN" w:bidi="ar"/>
              </w:rPr>
              <w:br w:type="textWrapping"/>
            </w:r>
            <w:r>
              <w:rPr>
                <w:rStyle w:val="49"/>
                <w:rFonts w:hint="eastAsia"/>
                <w:color w:val="auto"/>
                <w:sz w:val="21"/>
                <w:szCs w:val="21"/>
                <w:lang w:val="en-US" w:eastAsia="zh-CN" w:bidi="ar"/>
              </w:rPr>
              <w:t>阴性：2×1mL</w:t>
            </w:r>
          </w:p>
        </w:tc>
        <w:tc>
          <w:tcPr>
            <w:tcW w:w="653" w:type="dxa"/>
            <w:shd w:val="clear" w:color="auto" w:fill="auto"/>
            <w:vAlign w:val="center"/>
          </w:tcPr>
          <w:p w14:paraId="04ABB0D6">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default" w:ascii="宋体" w:hAnsi="宋体" w:eastAsia="宋体" w:cs="宋体"/>
                <w:kern w:val="2"/>
                <w:sz w:val="21"/>
                <w:szCs w:val="21"/>
                <w:lang w:val="en-US" w:eastAsia="zh-CN" w:bidi="ar-SA"/>
              </w:rPr>
            </w:pPr>
            <w:r>
              <w:rPr>
                <w:rStyle w:val="49"/>
                <w:rFonts w:hint="eastAsia"/>
                <w:color w:val="auto"/>
                <w:sz w:val="21"/>
                <w:szCs w:val="21"/>
                <w:lang w:val="en-US" w:eastAsia="zh-CN" w:bidi="ar"/>
              </w:rPr>
              <w:t>盒</w:t>
            </w:r>
          </w:p>
        </w:tc>
        <w:tc>
          <w:tcPr>
            <w:tcW w:w="692" w:type="dxa"/>
            <w:shd w:val="clear" w:color="auto" w:fill="auto"/>
            <w:vAlign w:val="center"/>
          </w:tcPr>
          <w:p w14:paraId="29D90F29">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9</w:t>
            </w:r>
          </w:p>
        </w:tc>
        <w:tc>
          <w:tcPr>
            <w:tcW w:w="947" w:type="dxa"/>
            <w:vAlign w:val="center"/>
          </w:tcPr>
          <w:p w14:paraId="6FFBA817">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kern w:val="0"/>
                <w:sz w:val="21"/>
                <w:szCs w:val="21"/>
                <w:lang w:val="en-US" w:eastAsia="zh-CN" w:bidi="ar"/>
              </w:rPr>
            </w:pPr>
          </w:p>
        </w:tc>
        <w:tc>
          <w:tcPr>
            <w:tcW w:w="947" w:type="dxa"/>
            <w:vMerge w:val="continue"/>
            <w:vAlign w:val="center"/>
          </w:tcPr>
          <w:p w14:paraId="4AD08C21">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kern w:val="0"/>
                <w:sz w:val="21"/>
                <w:szCs w:val="21"/>
                <w:lang w:val="en-US" w:eastAsia="zh-CN" w:bidi="ar"/>
              </w:rPr>
            </w:pPr>
          </w:p>
        </w:tc>
      </w:tr>
      <w:tr w14:paraId="3B388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475" w:type="dxa"/>
            <w:shd w:val="clear" w:color="auto" w:fill="auto"/>
            <w:vAlign w:val="center"/>
          </w:tcPr>
          <w:p w14:paraId="2DBC02CF">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default" w:ascii="宋体" w:hAnsi="宋体" w:cs="宋体"/>
                <w:kern w:val="0"/>
                <w:sz w:val="21"/>
                <w:szCs w:val="21"/>
                <w:lang w:val="en-US" w:eastAsia="zh-CN" w:bidi="ar"/>
              </w:rPr>
            </w:pPr>
            <w:r>
              <w:rPr>
                <w:rFonts w:hint="eastAsia" w:ascii="宋体" w:hAnsi="宋体" w:cs="宋体"/>
                <w:kern w:val="0"/>
                <w:sz w:val="21"/>
                <w:szCs w:val="21"/>
                <w:lang w:val="en-US" w:eastAsia="zh-CN" w:bidi="ar"/>
              </w:rPr>
              <w:t>3</w:t>
            </w:r>
          </w:p>
        </w:tc>
        <w:tc>
          <w:tcPr>
            <w:tcW w:w="2330" w:type="dxa"/>
            <w:shd w:val="clear" w:color="auto" w:fill="auto"/>
            <w:vAlign w:val="center"/>
          </w:tcPr>
          <w:p w14:paraId="50977A30">
            <w:pPr>
              <w:keepNext w:val="0"/>
              <w:keepLines w:val="0"/>
              <w:pageBreakBefore w:val="0"/>
              <w:widowControl/>
              <w:suppressLineNumbers w:val="0"/>
              <w:kinsoku/>
              <w:wordWrap/>
              <w:overflowPunct/>
              <w:topLinePunct w:val="0"/>
              <w:autoSpaceDE/>
              <w:autoSpaceDN/>
              <w:bidi w:val="0"/>
              <w:adjustRightInd/>
              <w:snapToGrid/>
              <w:spacing w:line="360" w:lineRule="auto"/>
              <w:jc w:val="center"/>
              <w:rPr>
                <w:rStyle w:val="49"/>
                <w:rFonts w:hint="eastAsia"/>
                <w:color w:val="auto"/>
                <w:sz w:val="21"/>
                <w:szCs w:val="21"/>
                <w:lang w:val="en-US" w:eastAsia="zh-CN" w:bidi="ar"/>
              </w:rPr>
            </w:pPr>
            <w:r>
              <w:rPr>
                <w:rStyle w:val="49"/>
                <w:rFonts w:hint="eastAsia"/>
                <w:color w:val="auto"/>
                <w:sz w:val="21"/>
                <w:szCs w:val="21"/>
                <w:lang w:val="en-US" w:eastAsia="zh-CN" w:bidi="ar"/>
              </w:rPr>
              <w:t>抗β2糖蛋白I抗体IgG非定值质控品</w:t>
            </w:r>
          </w:p>
        </w:tc>
        <w:tc>
          <w:tcPr>
            <w:tcW w:w="2008" w:type="dxa"/>
            <w:shd w:val="clear" w:color="auto" w:fill="auto"/>
            <w:vAlign w:val="center"/>
          </w:tcPr>
          <w:p w14:paraId="76E8551F">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default" w:ascii="宋体" w:hAnsi="宋体" w:eastAsia="宋体" w:cs="宋体"/>
                <w:kern w:val="2"/>
                <w:sz w:val="21"/>
                <w:szCs w:val="21"/>
                <w:lang w:val="en-US" w:eastAsia="zh-CN" w:bidi="ar-SA"/>
              </w:rPr>
            </w:pPr>
            <w:r>
              <w:rPr>
                <w:rStyle w:val="49"/>
                <w:rFonts w:hint="eastAsia"/>
                <w:color w:val="auto"/>
                <w:sz w:val="21"/>
                <w:szCs w:val="21"/>
                <w:lang w:val="en-US" w:eastAsia="zh-CN" w:bidi="ar"/>
              </w:rPr>
              <w:t>阳性：2×1mL，</w:t>
            </w:r>
            <w:r>
              <w:rPr>
                <w:rStyle w:val="49"/>
                <w:rFonts w:hint="eastAsia"/>
                <w:color w:val="auto"/>
                <w:sz w:val="21"/>
                <w:szCs w:val="21"/>
                <w:lang w:val="en-US" w:eastAsia="zh-CN" w:bidi="ar"/>
              </w:rPr>
              <w:br w:type="textWrapping"/>
            </w:r>
            <w:r>
              <w:rPr>
                <w:rStyle w:val="49"/>
                <w:rFonts w:hint="eastAsia"/>
                <w:color w:val="auto"/>
                <w:sz w:val="21"/>
                <w:szCs w:val="21"/>
                <w:lang w:val="en-US" w:eastAsia="zh-CN" w:bidi="ar"/>
              </w:rPr>
              <w:t>阴性：2×1mL</w:t>
            </w:r>
          </w:p>
        </w:tc>
        <w:tc>
          <w:tcPr>
            <w:tcW w:w="653" w:type="dxa"/>
            <w:shd w:val="clear" w:color="auto" w:fill="auto"/>
            <w:vAlign w:val="center"/>
          </w:tcPr>
          <w:p w14:paraId="37F359EB">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cs="宋体"/>
                <w:kern w:val="2"/>
                <w:sz w:val="21"/>
                <w:szCs w:val="21"/>
                <w:lang w:val="en-US" w:eastAsia="zh-CN" w:bidi="ar-SA"/>
              </w:rPr>
            </w:pPr>
            <w:r>
              <w:rPr>
                <w:rStyle w:val="49"/>
                <w:rFonts w:hint="eastAsia"/>
                <w:color w:val="auto"/>
                <w:sz w:val="21"/>
                <w:szCs w:val="21"/>
                <w:lang w:val="en-US" w:eastAsia="zh-CN" w:bidi="ar"/>
              </w:rPr>
              <w:t>盒</w:t>
            </w:r>
          </w:p>
        </w:tc>
        <w:tc>
          <w:tcPr>
            <w:tcW w:w="692" w:type="dxa"/>
            <w:shd w:val="clear" w:color="auto" w:fill="auto"/>
            <w:vAlign w:val="center"/>
          </w:tcPr>
          <w:p w14:paraId="1FA66DB6">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9</w:t>
            </w:r>
          </w:p>
        </w:tc>
        <w:tc>
          <w:tcPr>
            <w:tcW w:w="947" w:type="dxa"/>
            <w:vAlign w:val="center"/>
          </w:tcPr>
          <w:p w14:paraId="3A666311">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kern w:val="0"/>
                <w:sz w:val="21"/>
                <w:szCs w:val="21"/>
                <w:lang w:val="en-US" w:eastAsia="zh-CN" w:bidi="ar"/>
              </w:rPr>
            </w:pPr>
          </w:p>
        </w:tc>
        <w:tc>
          <w:tcPr>
            <w:tcW w:w="947" w:type="dxa"/>
            <w:vMerge w:val="continue"/>
            <w:vAlign w:val="center"/>
          </w:tcPr>
          <w:p w14:paraId="2C180AF6">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kern w:val="0"/>
                <w:sz w:val="21"/>
                <w:szCs w:val="21"/>
                <w:lang w:val="en-US" w:eastAsia="zh-CN" w:bidi="ar"/>
              </w:rPr>
            </w:pPr>
          </w:p>
        </w:tc>
      </w:tr>
    </w:tbl>
    <w:p w14:paraId="6E74B7DD">
      <w:pPr>
        <w:keepNext w:val="0"/>
        <w:keepLines w:val="0"/>
        <w:pageBreakBefore w:val="0"/>
        <w:tabs>
          <w:tab w:val="left" w:pos="180"/>
          <w:tab w:val="left" w:pos="1620"/>
        </w:tabs>
        <w:kinsoku/>
        <w:wordWrap/>
        <w:overflowPunct/>
        <w:topLinePunct w:val="0"/>
        <w:autoSpaceDE/>
        <w:autoSpaceDN/>
        <w:bidi w:val="0"/>
        <w:snapToGrid/>
        <w:spacing w:line="360" w:lineRule="auto"/>
        <w:ind w:firstLine="420" w:firstLineChars="200"/>
        <w:jc w:val="left"/>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lang w:eastAsia="zh-CN"/>
        </w:rPr>
        <w:t>注</w:t>
      </w:r>
      <w:r>
        <w:rPr>
          <w:rFonts w:hint="eastAsia" w:ascii="宋体" w:hAnsi="宋体" w:eastAsia="宋体" w:cs="宋体"/>
          <w:b w:val="0"/>
          <w:bCs w:val="0"/>
          <w:sz w:val="21"/>
          <w:szCs w:val="21"/>
          <w:highlight w:val="none"/>
        </w:rPr>
        <w:t>：</w:t>
      </w:r>
    </w:p>
    <w:p w14:paraId="785E91AC">
      <w:pPr>
        <w:keepNext w:val="0"/>
        <w:keepLines w:val="0"/>
        <w:pageBreakBefore w:val="0"/>
        <w:tabs>
          <w:tab w:val="left" w:pos="180"/>
          <w:tab w:val="left" w:pos="1620"/>
        </w:tabs>
        <w:kinsoku/>
        <w:wordWrap/>
        <w:overflowPunct/>
        <w:topLinePunct w:val="0"/>
        <w:autoSpaceDE/>
        <w:autoSpaceDN/>
        <w:bidi w:val="0"/>
        <w:snapToGrid/>
        <w:spacing w:line="360" w:lineRule="auto"/>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1、根据采购内容要求提供明细内容（名称、规格、单位、单价）报价。</w:t>
      </w:r>
    </w:p>
    <w:p w14:paraId="7FB18543">
      <w:pPr>
        <w:keepNext w:val="0"/>
        <w:keepLines w:val="0"/>
        <w:pageBreakBefore w:val="0"/>
        <w:tabs>
          <w:tab w:val="left" w:pos="180"/>
          <w:tab w:val="left" w:pos="1620"/>
        </w:tabs>
        <w:kinsoku/>
        <w:wordWrap/>
        <w:overflowPunct/>
        <w:topLinePunct w:val="0"/>
        <w:autoSpaceDE/>
        <w:autoSpaceDN/>
        <w:bidi w:val="0"/>
        <w:snapToGrid/>
        <w:spacing w:line="360" w:lineRule="auto"/>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2、投标报价以人民币计价，单位为元，精确至小数点后两位。</w:t>
      </w:r>
    </w:p>
    <w:p w14:paraId="12CD619B">
      <w:pPr>
        <w:keepNext w:val="0"/>
        <w:keepLines w:val="0"/>
        <w:pageBreakBefore w:val="0"/>
        <w:tabs>
          <w:tab w:val="left" w:pos="180"/>
          <w:tab w:val="left" w:pos="1620"/>
        </w:tabs>
        <w:kinsoku/>
        <w:wordWrap/>
        <w:overflowPunct/>
        <w:topLinePunct w:val="0"/>
        <w:autoSpaceDE/>
        <w:autoSpaceDN/>
        <w:bidi w:val="0"/>
        <w:snapToGrid/>
        <w:spacing w:line="360" w:lineRule="auto"/>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3、以院内议价的最终报价为准，不再额外收取其他费用，报价含税费、运输费、人工费等所需的一切费用。</w:t>
      </w:r>
    </w:p>
    <w:p w14:paraId="3512E02F">
      <w:pPr>
        <w:keepNext w:val="0"/>
        <w:keepLines w:val="0"/>
        <w:pageBreakBefore w:val="0"/>
        <w:tabs>
          <w:tab w:val="left" w:pos="180"/>
          <w:tab w:val="left" w:pos="1620"/>
        </w:tabs>
        <w:kinsoku/>
        <w:wordWrap/>
        <w:overflowPunct/>
        <w:topLinePunct w:val="0"/>
        <w:autoSpaceDE/>
        <w:autoSpaceDN/>
        <w:bidi w:val="0"/>
        <w:snapToGrid/>
        <w:spacing w:line="360" w:lineRule="auto"/>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4、供应商报价应充分预估各类履约风险，合同履约期内价格不予调整，采购人不再另行支付任何其他费用。</w:t>
      </w:r>
    </w:p>
    <w:p w14:paraId="7DA3DF35">
      <w:pPr>
        <w:keepNext w:val="0"/>
        <w:keepLines w:val="0"/>
        <w:pageBreakBefore w:val="0"/>
        <w:tabs>
          <w:tab w:val="left" w:pos="180"/>
          <w:tab w:val="left" w:pos="1620"/>
        </w:tabs>
        <w:kinsoku/>
        <w:wordWrap/>
        <w:overflowPunct/>
        <w:topLinePunct w:val="0"/>
        <w:autoSpaceDE/>
        <w:autoSpaceDN/>
        <w:bidi w:val="0"/>
        <w:snapToGrid/>
        <w:spacing w:line="360" w:lineRule="auto"/>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5、供应商须对本项目全部服务内容作出完整唯一报价，投标报价超出上控单价、存在漏项报价、选择性报价及有条件报价的，均作响应无效处理。</w:t>
      </w:r>
    </w:p>
    <w:p w14:paraId="7D6AA114">
      <w:pPr>
        <w:keepNext w:val="0"/>
        <w:keepLines w:val="0"/>
        <w:pageBreakBefore w:val="0"/>
        <w:kinsoku/>
        <w:overflowPunct/>
        <w:topLinePunct w:val="0"/>
        <w:bidi w:val="0"/>
        <w:spacing w:line="360" w:lineRule="auto"/>
        <w:ind w:firstLine="3780" w:firstLineChars="1800"/>
        <w:textAlignment w:val="auto"/>
        <w:rPr>
          <w:rFonts w:hint="eastAsia" w:ascii="宋体" w:hAnsi="宋体" w:eastAsia="宋体" w:cs="宋体"/>
          <w:sz w:val="21"/>
          <w:szCs w:val="21"/>
          <w:highlight w:val="none"/>
        </w:rPr>
      </w:pPr>
    </w:p>
    <w:p w14:paraId="3851886C">
      <w:pPr>
        <w:keepNext w:val="0"/>
        <w:keepLines w:val="0"/>
        <w:pageBreakBefore w:val="0"/>
        <w:kinsoku/>
        <w:overflowPunct/>
        <w:topLinePunct w:val="0"/>
        <w:bidi w:val="0"/>
        <w:spacing w:line="360" w:lineRule="auto"/>
        <w:ind w:firstLine="3780" w:firstLineChars="1800"/>
        <w:textAlignment w:val="auto"/>
        <w:rPr>
          <w:rFonts w:hint="eastAsia" w:ascii="宋体" w:hAnsi="宋体" w:eastAsia="宋体" w:cs="宋体"/>
          <w:sz w:val="21"/>
          <w:szCs w:val="21"/>
          <w:highlight w:val="none"/>
          <w:u w:val="single"/>
          <w:lang w:val="en-US" w:eastAsia="zh-CN"/>
        </w:rPr>
      </w:pPr>
      <w:r>
        <w:rPr>
          <w:rFonts w:hint="eastAsia" w:ascii="宋体" w:hAnsi="宋体" w:eastAsia="宋体" w:cs="宋体"/>
          <w:sz w:val="21"/>
          <w:szCs w:val="21"/>
          <w:highlight w:val="none"/>
        </w:rPr>
        <w:t>法定代表人或委托代理人（签字）</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p>
    <w:p w14:paraId="2A29A7DA">
      <w:pPr>
        <w:keepNext w:val="0"/>
        <w:keepLines w:val="0"/>
        <w:pageBreakBefore w:val="0"/>
        <w:kinsoku/>
        <w:overflowPunct/>
        <w:topLinePunct w:val="0"/>
        <w:bidi w:val="0"/>
        <w:spacing w:line="360" w:lineRule="auto"/>
        <w:ind w:firstLine="6090" w:firstLineChars="29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联系电话</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p>
    <w:p w14:paraId="535A2D6A">
      <w:pPr>
        <w:keepNext w:val="0"/>
        <w:keepLines w:val="0"/>
        <w:pageBreakBefore w:val="0"/>
        <w:kinsoku/>
        <w:overflowPunct/>
        <w:topLinePunct w:val="0"/>
        <w:bidi w:val="0"/>
        <w:spacing w:line="360" w:lineRule="auto"/>
        <w:ind w:firstLine="4830" w:firstLineChars="23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供应商名称（盖公章）：</w:t>
      </w:r>
      <w:r>
        <w:rPr>
          <w:rFonts w:hint="eastAsia" w:ascii="宋体" w:hAnsi="宋体" w:eastAsia="宋体" w:cs="宋体"/>
          <w:sz w:val="21"/>
          <w:szCs w:val="21"/>
          <w:highlight w:val="none"/>
          <w:u w:val="single"/>
        </w:rPr>
        <w:t xml:space="preserve">            </w:t>
      </w:r>
    </w:p>
    <w:p w14:paraId="1ED041CE">
      <w:pPr>
        <w:keepNext w:val="0"/>
        <w:keepLines w:val="0"/>
        <w:pageBreakBefore w:val="0"/>
        <w:kinsoku/>
        <w:overflowPunct/>
        <w:topLinePunct w:val="0"/>
        <w:bidi w:val="0"/>
        <w:adjustRightInd w:val="0"/>
        <w:snapToGrid w:val="0"/>
        <w:spacing w:line="360" w:lineRule="auto"/>
        <w:ind w:right="12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日期：</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日</w:t>
      </w:r>
      <w:bookmarkStart w:id="5" w:name="_Toc6622"/>
    </w:p>
    <w:p w14:paraId="3849939D">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br w:type="page"/>
      </w:r>
    </w:p>
    <w:p w14:paraId="0F9B4063">
      <w:pPr>
        <w:spacing w:line="360" w:lineRule="auto"/>
        <w:jc w:val="center"/>
        <w:rPr>
          <w:rFonts w:ascii="宋体" w:hAnsi="宋体" w:cs="宋体"/>
          <w:b/>
          <w:bCs/>
          <w:sz w:val="32"/>
          <w:szCs w:val="32"/>
          <w:highlight w:val="none"/>
        </w:rPr>
      </w:pPr>
      <w:r>
        <w:rPr>
          <w:rFonts w:hint="eastAsia" w:ascii="宋体" w:hAnsi="宋体" w:cs="宋体"/>
          <w:b/>
          <w:bCs/>
          <w:sz w:val="32"/>
          <w:szCs w:val="32"/>
          <w:highlight w:val="none"/>
        </w:rPr>
        <w:t>采购项目合同验收书（</w:t>
      </w:r>
      <w:r>
        <w:rPr>
          <w:rFonts w:hint="eastAsia" w:ascii="宋体" w:hAnsi="宋体" w:cs="宋体"/>
          <w:b/>
          <w:bCs/>
          <w:sz w:val="32"/>
          <w:szCs w:val="32"/>
          <w:highlight w:val="none"/>
          <w:lang w:val="en-US" w:eastAsia="zh-CN"/>
        </w:rPr>
        <w:t>参考</w:t>
      </w:r>
      <w:r>
        <w:rPr>
          <w:rFonts w:hint="eastAsia" w:ascii="宋体" w:hAnsi="宋体" w:cs="宋体"/>
          <w:b/>
          <w:bCs/>
          <w:sz w:val="32"/>
          <w:szCs w:val="32"/>
          <w:highlight w:val="none"/>
        </w:rPr>
        <w:t>格式）</w:t>
      </w:r>
    </w:p>
    <w:p w14:paraId="4084083D">
      <w:pPr>
        <w:spacing w:line="360" w:lineRule="auto"/>
        <w:rPr>
          <w:highlight w:val="none"/>
        </w:rPr>
      </w:pPr>
    </w:p>
    <w:p w14:paraId="1D4728E7">
      <w:pPr>
        <w:keepNext w:val="0"/>
        <w:keepLines w:val="0"/>
        <w:pageBreakBefore w:val="0"/>
        <w:widowControl/>
        <w:kinsoku/>
        <w:wordWrap/>
        <w:overflowPunct/>
        <w:topLinePunct w:val="0"/>
        <w:autoSpaceDE/>
        <w:autoSpaceDN/>
        <w:bidi w:val="0"/>
        <w:adjustRightInd/>
        <w:snapToGrid/>
        <w:spacing w:line="360" w:lineRule="auto"/>
        <w:ind w:firstLine="482"/>
        <w:jc w:val="both"/>
        <w:textAlignment w:val="auto"/>
        <w:rPr>
          <w:rFonts w:ascii="宋体" w:hAnsi="宋体"/>
          <w:kern w:val="0"/>
          <w:sz w:val="21"/>
          <w:szCs w:val="21"/>
          <w:highlight w:val="none"/>
        </w:rPr>
      </w:pPr>
      <w:r>
        <w:rPr>
          <w:rFonts w:hint="eastAsia" w:ascii="宋体" w:hAnsi="宋体" w:cs="仿宋"/>
          <w:kern w:val="0"/>
          <w:sz w:val="21"/>
          <w:szCs w:val="21"/>
          <w:highlight w:val="none"/>
        </w:rPr>
        <w:t>根据采购项目（</w:t>
      </w:r>
      <w:r>
        <w:rPr>
          <w:rFonts w:hint="eastAsia" w:ascii="宋体" w:hAnsi="宋体" w:cs="仿宋"/>
          <w:kern w:val="0"/>
          <w:sz w:val="21"/>
          <w:szCs w:val="21"/>
          <w:highlight w:val="none"/>
          <w:u w:val="none"/>
        </w:rPr>
        <w:t>采购合同编号：</w:t>
      </w:r>
      <w:r>
        <w:rPr>
          <w:rFonts w:ascii="宋体" w:hAnsi="宋体"/>
          <w:kern w:val="0"/>
          <w:sz w:val="21"/>
          <w:szCs w:val="21"/>
          <w:highlight w:val="none"/>
          <w:u w:val="single"/>
        </w:rPr>
        <w:softHyphen/>
      </w:r>
      <w:r>
        <w:rPr>
          <w:rFonts w:ascii="宋体" w:hAnsi="宋体"/>
          <w:kern w:val="0"/>
          <w:sz w:val="21"/>
          <w:szCs w:val="21"/>
          <w:highlight w:val="none"/>
          <w:u w:val="single"/>
        </w:rPr>
        <w:t>  </w:t>
      </w:r>
      <w:r>
        <w:rPr>
          <w:rFonts w:hint="eastAsia" w:ascii="宋体" w:hAnsi="宋体"/>
          <w:kern w:val="0"/>
          <w:sz w:val="21"/>
          <w:szCs w:val="21"/>
          <w:highlight w:val="none"/>
          <w:u w:val="single"/>
          <w:lang w:val="en-US" w:eastAsia="zh-CN"/>
        </w:rPr>
        <w:t xml:space="preserve"> </w:t>
      </w:r>
      <w:r>
        <w:rPr>
          <w:rFonts w:ascii="宋体" w:hAnsi="宋体"/>
          <w:kern w:val="0"/>
          <w:sz w:val="21"/>
          <w:szCs w:val="21"/>
          <w:highlight w:val="none"/>
          <w:u w:val="single"/>
        </w:rPr>
        <w:t> </w:t>
      </w:r>
      <w:r>
        <w:rPr>
          <w:rFonts w:hint="eastAsia" w:ascii="宋体" w:hAnsi="宋体" w:cs="仿宋"/>
          <w:kern w:val="0"/>
          <w:sz w:val="21"/>
          <w:szCs w:val="21"/>
          <w:highlight w:val="none"/>
        </w:rPr>
        <w:t>）的约定，我单位对（</w:t>
      </w:r>
      <w:r>
        <w:rPr>
          <w:rFonts w:hint="eastAsia" w:ascii="宋体" w:hAnsi="宋体" w:cs="仿宋"/>
          <w:kern w:val="0"/>
          <w:sz w:val="21"/>
          <w:szCs w:val="21"/>
          <w:highlight w:val="none"/>
          <w:u w:val="none"/>
        </w:rPr>
        <w:t>项目名称</w:t>
      </w:r>
      <w:r>
        <w:rPr>
          <w:rFonts w:hint="eastAsia" w:ascii="宋体" w:hAnsi="宋体" w:cs="仿宋"/>
          <w:kern w:val="0"/>
          <w:sz w:val="21"/>
          <w:szCs w:val="21"/>
          <w:highlight w:val="none"/>
          <w:u w:val="none"/>
          <w:lang w:eastAsia="zh-CN"/>
        </w:rPr>
        <w:t>：</w:t>
      </w:r>
      <w:r>
        <w:rPr>
          <w:rFonts w:ascii="宋体" w:hAnsi="宋体"/>
          <w:kern w:val="0"/>
          <w:sz w:val="21"/>
          <w:szCs w:val="21"/>
          <w:highlight w:val="none"/>
          <w:u w:val="single"/>
        </w:rPr>
        <w:t>  </w:t>
      </w:r>
      <w:r>
        <w:rPr>
          <w:rFonts w:hint="eastAsia" w:ascii="宋体" w:hAnsi="宋体"/>
          <w:kern w:val="0"/>
          <w:sz w:val="21"/>
          <w:szCs w:val="21"/>
          <w:highlight w:val="none"/>
          <w:u w:val="single"/>
          <w:lang w:val="en-US" w:eastAsia="zh-CN"/>
        </w:rPr>
        <w:t xml:space="preserve">   </w:t>
      </w:r>
      <w:r>
        <w:rPr>
          <w:rFonts w:ascii="宋体" w:hAnsi="宋体"/>
          <w:kern w:val="0"/>
          <w:sz w:val="21"/>
          <w:szCs w:val="21"/>
          <w:highlight w:val="none"/>
          <w:u w:val="single"/>
        </w:rPr>
        <w:t> </w:t>
      </w:r>
      <w:r>
        <w:rPr>
          <w:rFonts w:hint="eastAsia" w:ascii="宋体" w:hAnsi="宋体"/>
          <w:kern w:val="0"/>
          <w:sz w:val="21"/>
          <w:szCs w:val="21"/>
          <w:highlight w:val="none"/>
          <w:u w:val="none"/>
          <w:lang w:val="en-US" w:eastAsia="zh-CN"/>
        </w:rPr>
        <w:t xml:space="preserve"> ，</w:t>
      </w:r>
      <w:r>
        <w:rPr>
          <w:rFonts w:hint="eastAsia" w:ascii="宋体" w:hAnsi="宋体" w:cs="仿宋"/>
          <w:kern w:val="0"/>
          <w:sz w:val="21"/>
          <w:szCs w:val="21"/>
          <w:highlight w:val="none"/>
          <w:u w:val="none"/>
        </w:rPr>
        <w:t>项目</w:t>
      </w:r>
      <w:r>
        <w:rPr>
          <w:rFonts w:hint="eastAsia" w:ascii="宋体" w:hAnsi="宋体" w:cs="仿宋"/>
          <w:kern w:val="0"/>
          <w:sz w:val="21"/>
          <w:szCs w:val="21"/>
          <w:highlight w:val="none"/>
          <w:u w:val="none"/>
          <w:lang w:eastAsia="zh-CN"/>
        </w:rPr>
        <w:t>编号：</w:t>
      </w:r>
      <w:r>
        <w:rPr>
          <w:rFonts w:hint="eastAsia" w:ascii="宋体" w:hAnsi="宋体" w:cs="仿宋"/>
          <w:kern w:val="0"/>
          <w:sz w:val="21"/>
          <w:szCs w:val="21"/>
          <w:highlight w:val="none"/>
          <w:u w:val="single"/>
          <w:lang w:val="en-US" w:eastAsia="zh-CN"/>
        </w:rPr>
        <w:t xml:space="preserve">   </w:t>
      </w:r>
      <w:r>
        <w:rPr>
          <w:rFonts w:ascii="宋体" w:hAnsi="宋体"/>
          <w:kern w:val="0"/>
          <w:sz w:val="21"/>
          <w:szCs w:val="21"/>
          <w:highlight w:val="none"/>
          <w:u w:val="single"/>
        </w:rPr>
        <w:t>   </w:t>
      </w:r>
      <w:r>
        <w:rPr>
          <w:rFonts w:hint="eastAsia" w:ascii="宋体" w:hAnsi="宋体" w:cs="仿宋"/>
          <w:kern w:val="0"/>
          <w:sz w:val="21"/>
          <w:szCs w:val="21"/>
          <w:highlight w:val="none"/>
        </w:rPr>
        <w:t>）</w:t>
      </w:r>
      <w:r>
        <w:rPr>
          <w:rFonts w:hint="eastAsia" w:ascii="宋体" w:hAnsi="宋体" w:cs="仿宋"/>
          <w:kern w:val="0"/>
          <w:sz w:val="21"/>
          <w:szCs w:val="21"/>
          <w:highlight w:val="none"/>
          <w:lang w:eastAsia="zh-CN"/>
        </w:rPr>
        <w:t>的</w:t>
      </w:r>
      <w:r>
        <w:rPr>
          <w:rFonts w:hint="eastAsia" w:ascii="宋体" w:hAnsi="宋体" w:cs="仿宋"/>
          <w:kern w:val="0"/>
          <w:sz w:val="21"/>
          <w:szCs w:val="21"/>
          <w:highlight w:val="none"/>
        </w:rPr>
        <w:t>采购项目成交供应商</w:t>
      </w:r>
      <w:r>
        <w:rPr>
          <w:rFonts w:hint="eastAsia" w:ascii="宋体" w:hAnsi="宋体" w:cs="仿宋"/>
          <w:kern w:val="0"/>
          <w:sz w:val="21"/>
          <w:szCs w:val="21"/>
          <w:highlight w:val="none"/>
          <w:lang w:eastAsia="zh-CN"/>
        </w:rPr>
        <w:t>：</w:t>
      </w:r>
      <w:r>
        <w:rPr>
          <w:rFonts w:ascii="宋体" w:hAnsi="宋体"/>
          <w:kern w:val="0"/>
          <w:sz w:val="21"/>
          <w:szCs w:val="21"/>
          <w:highlight w:val="none"/>
          <w:u w:val="single"/>
        </w:rPr>
        <w:t>          </w:t>
      </w:r>
      <w:r>
        <w:rPr>
          <w:rFonts w:hint="eastAsia" w:ascii="宋体" w:hAnsi="宋体" w:cs="仿宋"/>
          <w:kern w:val="0"/>
          <w:sz w:val="21"/>
          <w:szCs w:val="21"/>
          <w:highlight w:val="none"/>
        </w:rPr>
        <w:t>提供的货物（或工程、服务）进行了验收，验收情况如下：</w:t>
      </w:r>
    </w:p>
    <w:tbl>
      <w:tblPr>
        <w:tblStyle w:val="30"/>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35"/>
        <w:gridCol w:w="2343"/>
        <w:gridCol w:w="864"/>
        <w:gridCol w:w="2276"/>
        <w:gridCol w:w="809"/>
        <w:gridCol w:w="1369"/>
      </w:tblGrid>
      <w:tr w14:paraId="4E93A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977" w:type="pct"/>
            <w:gridSpan w:val="2"/>
            <w:noWrap w:val="0"/>
            <w:vAlign w:val="center"/>
          </w:tcPr>
          <w:p w14:paraId="13E7BEC4">
            <w:pPr>
              <w:keepNext w:val="0"/>
              <w:keepLines w:val="0"/>
              <w:pageBreakBefore w:val="0"/>
              <w:widowControl/>
              <w:kinsoku/>
              <w:wordWrap/>
              <w:overflowPunct/>
              <w:topLinePunct w:val="0"/>
              <w:autoSpaceDE/>
              <w:autoSpaceDN/>
              <w:bidi w:val="0"/>
              <w:adjustRightInd/>
              <w:snapToGrid/>
              <w:spacing w:line="360" w:lineRule="auto"/>
              <w:ind w:firstLine="5"/>
              <w:jc w:val="center"/>
              <w:textAlignment w:val="auto"/>
              <w:rPr>
                <w:rFonts w:ascii="宋体"/>
                <w:kern w:val="0"/>
                <w:highlight w:val="none"/>
              </w:rPr>
            </w:pPr>
            <w:r>
              <w:rPr>
                <w:rFonts w:hint="eastAsia" w:ascii="宋体" w:hAnsi="宋体" w:cs="宋体"/>
                <w:kern w:val="0"/>
                <w:highlight w:val="none"/>
              </w:rPr>
              <w:t>验收方式：</w:t>
            </w:r>
          </w:p>
        </w:tc>
        <w:tc>
          <w:tcPr>
            <w:tcW w:w="3022" w:type="pct"/>
            <w:gridSpan w:val="4"/>
            <w:noWrap w:val="0"/>
            <w:vAlign w:val="center"/>
          </w:tcPr>
          <w:p w14:paraId="4914BA76">
            <w:pPr>
              <w:keepNext w:val="0"/>
              <w:keepLines w:val="0"/>
              <w:pageBreakBefore w:val="0"/>
              <w:widowControl/>
              <w:kinsoku/>
              <w:wordWrap/>
              <w:overflowPunct/>
              <w:topLinePunct w:val="0"/>
              <w:autoSpaceDE/>
              <w:autoSpaceDN/>
              <w:bidi w:val="0"/>
              <w:adjustRightInd/>
              <w:snapToGrid/>
              <w:spacing w:line="360" w:lineRule="auto"/>
              <w:ind w:firstLine="480"/>
              <w:jc w:val="center"/>
              <w:textAlignment w:val="auto"/>
              <w:rPr>
                <w:rFonts w:ascii="宋体"/>
                <w:kern w:val="0"/>
                <w:highlight w:val="none"/>
              </w:rPr>
            </w:pPr>
            <w:r>
              <w:rPr>
                <w:rFonts w:hint="eastAsia" w:ascii="宋体" w:cs="宋体"/>
                <w:kern w:val="0"/>
                <w:highlight w:val="none"/>
              </w:rPr>
              <w:t>□</w:t>
            </w:r>
            <w:r>
              <w:rPr>
                <w:rFonts w:hint="eastAsia" w:ascii="宋体" w:hAnsi="宋体" w:cs="宋体"/>
                <w:kern w:val="0"/>
                <w:highlight w:val="none"/>
              </w:rPr>
              <w:t>自行验收</w:t>
            </w:r>
            <w:r>
              <w:rPr>
                <w:rFonts w:ascii="宋体"/>
                <w:kern w:val="0"/>
                <w:highlight w:val="none"/>
              </w:rPr>
              <w:t>        </w:t>
            </w:r>
            <w:r>
              <w:rPr>
                <w:rFonts w:hint="eastAsia" w:ascii="宋体" w:cs="宋体"/>
                <w:kern w:val="0"/>
                <w:highlight w:val="none"/>
              </w:rPr>
              <w:t>□</w:t>
            </w:r>
            <w:r>
              <w:rPr>
                <w:rFonts w:hint="eastAsia" w:ascii="宋体" w:hAnsi="宋体" w:cs="宋体"/>
                <w:kern w:val="0"/>
                <w:highlight w:val="none"/>
              </w:rPr>
              <w:t>委托验收</w:t>
            </w:r>
          </w:p>
        </w:tc>
      </w:tr>
      <w:tr w14:paraId="2D3CB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2" w:hRule="atLeast"/>
          <w:jc w:val="center"/>
        </w:trPr>
        <w:tc>
          <w:tcPr>
            <w:tcW w:w="645" w:type="pct"/>
            <w:noWrap w:val="0"/>
            <w:vAlign w:val="center"/>
          </w:tcPr>
          <w:p w14:paraId="56647DFA">
            <w:pPr>
              <w:keepNext w:val="0"/>
              <w:keepLines w:val="0"/>
              <w:pageBreakBefore w:val="0"/>
              <w:widowControl/>
              <w:kinsoku/>
              <w:wordWrap/>
              <w:overflowPunct/>
              <w:topLinePunct w:val="0"/>
              <w:autoSpaceDE/>
              <w:autoSpaceDN/>
              <w:bidi w:val="0"/>
              <w:adjustRightInd/>
              <w:snapToGrid/>
              <w:spacing w:line="360" w:lineRule="auto"/>
              <w:ind w:firstLine="2"/>
              <w:jc w:val="center"/>
              <w:textAlignment w:val="auto"/>
              <w:rPr>
                <w:rFonts w:ascii="宋体"/>
                <w:kern w:val="0"/>
                <w:highlight w:val="none"/>
              </w:rPr>
            </w:pPr>
            <w:r>
              <w:rPr>
                <w:rFonts w:hint="eastAsia" w:ascii="宋体" w:hAnsi="宋体" w:cs="宋体"/>
                <w:kern w:val="0"/>
                <w:highlight w:val="none"/>
              </w:rPr>
              <w:t>序号</w:t>
            </w:r>
          </w:p>
        </w:tc>
        <w:tc>
          <w:tcPr>
            <w:tcW w:w="1331" w:type="pct"/>
            <w:noWrap w:val="0"/>
            <w:vAlign w:val="center"/>
          </w:tcPr>
          <w:p w14:paraId="2B7C45DD">
            <w:pPr>
              <w:keepNext w:val="0"/>
              <w:keepLines w:val="0"/>
              <w:pageBreakBefore w:val="0"/>
              <w:widowControl/>
              <w:kinsoku/>
              <w:wordWrap/>
              <w:overflowPunct/>
              <w:topLinePunct w:val="0"/>
              <w:autoSpaceDE/>
              <w:autoSpaceDN/>
              <w:bidi w:val="0"/>
              <w:adjustRightInd/>
              <w:snapToGrid/>
              <w:spacing w:line="360" w:lineRule="auto"/>
              <w:ind w:firstLine="2"/>
              <w:jc w:val="center"/>
              <w:textAlignment w:val="auto"/>
              <w:rPr>
                <w:rFonts w:ascii="宋体"/>
                <w:kern w:val="0"/>
                <w:highlight w:val="none"/>
              </w:rPr>
            </w:pPr>
            <w:r>
              <w:rPr>
                <w:rFonts w:hint="eastAsia" w:ascii="宋体" w:hAnsi="宋体" w:cs="宋体"/>
                <w:kern w:val="0"/>
                <w:highlight w:val="none"/>
              </w:rPr>
              <w:t>名</w:t>
            </w:r>
            <w:r>
              <w:rPr>
                <w:rFonts w:ascii="宋体"/>
                <w:kern w:val="0"/>
                <w:highlight w:val="none"/>
              </w:rPr>
              <w:t> </w:t>
            </w:r>
            <w:r>
              <w:rPr>
                <w:rFonts w:hint="eastAsia" w:ascii="宋体" w:hAnsi="宋体" w:cs="宋体"/>
                <w:kern w:val="0"/>
                <w:highlight w:val="none"/>
              </w:rPr>
              <w:t>称</w:t>
            </w:r>
          </w:p>
        </w:tc>
        <w:tc>
          <w:tcPr>
            <w:tcW w:w="1785" w:type="pct"/>
            <w:gridSpan w:val="2"/>
            <w:noWrap w:val="0"/>
            <w:vAlign w:val="center"/>
          </w:tcPr>
          <w:p w14:paraId="1C7B86E4">
            <w:pPr>
              <w:keepNext w:val="0"/>
              <w:keepLines w:val="0"/>
              <w:pageBreakBefore w:val="0"/>
              <w:widowControl/>
              <w:kinsoku/>
              <w:wordWrap/>
              <w:overflowPunct/>
              <w:topLinePunct w:val="0"/>
              <w:autoSpaceDE/>
              <w:autoSpaceDN/>
              <w:bidi w:val="0"/>
              <w:adjustRightInd/>
              <w:snapToGrid/>
              <w:spacing w:line="360" w:lineRule="auto"/>
              <w:ind w:firstLine="2"/>
              <w:jc w:val="center"/>
              <w:textAlignment w:val="auto"/>
              <w:rPr>
                <w:rFonts w:ascii="宋体" w:hAnsi="宋体" w:cs="宋体"/>
                <w:kern w:val="0"/>
                <w:highlight w:val="none"/>
              </w:rPr>
            </w:pPr>
            <w:r>
              <w:rPr>
                <w:rFonts w:hint="eastAsia" w:ascii="宋体" w:hAnsi="宋体" w:cs="宋体"/>
                <w:kern w:val="0"/>
                <w:highlight w:val="none"/>
              </w:rPr>
              <w:t>货物型号规格、标准及配置等</w:t>
            </w:r>
          </w:p>
          <w:p w14:paraId="3BF0B4D2">
            <w:pPr>
              <w:keepNext w:val="0"/>
              <w:keepLines w:val="0"/>
              <w:pageBreakBefore w:val="0"/>
              <w:widowControl/>
              <w:kinsoku/>
              <w:wordWrap/>
              <w:overflowPunct/>
              <w:topLinePunct w:val="0"/>
              <w:autoSpaceDE/>
              <w:autoSpaceDN/>
              <w:bidi w:val="0"/>
              <w:adjustRightInd/>
              <w:snapToGrid/>
              <w:spacing w:line="360" w:lineRule="auto"/>
              <w:ind w:firstLine="2"/>
              <w:jc w:val="center"/>
              <w:textAlignment w:val="auto"/>
              <w:rPr>
                <w:rFonts w:ascii="宋体"/>
                <w:kern w:val="0"/>
                <w:highlight w:val="none"/>
              </w:rPr>
            </w:pPr>
            <w:r>
              <w:rPr>
                <w:rFonts w:hint="eastAsia" w:ascii="宋体" w:hAnsi="宋体" w:cs="宋体"/>
                <w:kern w:val="0"/>
                <w:highlight w:val="none"/>
              </w:rPr>
              <w:t>（或服务内容、标准）</w:t>
            </w:r>
          </w:p>
        </w:tc>
        <w:tc>
          <w:tcPr>
            <w:tcW w:w="460" w:type="pct"/>
            <w:noWrap w:val="0"/>
            <w:vAlign w:val="center"/>
          </w:tcPr>
          <w:p w14:paraId="2E2643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宋体"/>
                <w:kern w:val="0"/>
                <w:highlight w:val="none"/>
              </w:rPr>
            </w:pPr>
            <w:r>
              <w:rPr>
                <w:rFonts w:hint="eastAsia" w:ascii="宋体" w:hAnsi="宋体" w:cs="宋体"/>
                <w:kern w:val="0"/>
                <w:highlight w:val="none"/>
              </w:rPr>
              <w:t>数量</w:t>
            </w:r>
          </w:p>
        </w:tc>
        <w:tc>
          <w:tcPr>
            <w:tcW w:w="776" w:type="pct"/>
            <w:noWrap w:val="0"/>
            <w:vAlign w:val="center"/>
          </w:tcPr>
          <w:p w14:paraId="395159E2">
            <w:pPr>
              <w:keepNext w:val="0"/>
              <w:keepLines w:val="0"/>
              <w:pageBreakBefore w:val="0"/>
              <w:widowControl/>
              <w:kinsoku/>
              <w:wordWrap/>
              <w:overflowPunct/>
              <w:topLinePunct w:val="0"/>
              <w:autoSpaceDE/>
              <w:autoSpaceDN/>
              <w:bidi w:val="0"/>
              <w:adjustRightInd/>
              <w:snapToGrid/>
              <w:spacing w:line="360" w:lineRule="auto"/>
              <w:ind w:firstLine="2"/>
              <w:jc w:val="center"/>
              <w:textAlignment w:val="auto"/>
              <w:rPr>
                <w:rFonts w:ascii="宋体"/>
                <w:kern w:val="0"/>
                <w:highlight w:val="none"/>
              </w:rPr>
            </w:pPr>
            <w:r>
              <w:rPr>
                <w:rFonts w:hint="eastAsia" w:ascii="宋体" w:hAnsi="宋体" w:cs="宋体"/>
                <w:kern w:val="0"/>
                <w:highlight w:val="none"/>
              </w:rPr>
              <w:t>金</w:t>
            </w:r>
            <w:r>
              <w:rPr>
                <w:rFonts w:ascii="宋体"/>
                <w:kern w:val="0"/>
                <w:highlight w:val="none"/>
              </w:rPr>
              <w:t> </w:t>
            </w:r>
            <w:r>
              <w:rPr>
                <w:rFonts w:hint="eastAsia" w:ascii="宋体" w:hAnsi="宋体" w:cs="宋体"/>
                <w:kern w:val="0"/>
                <w:highlight w:val="none"/>
              </w:rPr>
              <w:t>额</w:t>
            </w:r>
          </w:p>
        </w:tc>
      </w:tr>
      <w:tr w14:paraId="78D50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645" w:type="pct"/>
            <w:noWrap w:val="0"/>
            <w:vAlign w:val="center"/>
          </w:tcPr>
          <w:p w14:paraId="4FC40CF0">
            <w:pPr>
              <w:keepNext w:val="0"/>
              <w:keepLines w:val="0"/>
              <w:pageBreakBefore w:val="0"/>
              <w:widowControl/>
              <w:kinsoku/>
              <w:wordWrap/>
              <w:overflowPunct/>
              <w:topLinePunct w:val="0"/>
              <w:autoSpaceDE/>
              <w:autoSpaceDN/>
              <w:bidi w:val="0"/>
              <w:adjustRightInd/>
              <w:snapToGrid/>
              <w:spacing w:line="360" w:lineRule="auto"/>
              <w:ind w:firstLine="5"/>
              <w:jc w:val="left"/>
              <w:textAlignment w:val="auto"/>
              <w:rPr>
                <w:rFonts w:ascii="宋体"/>
                <w:kern w:val="0"/>
                <w:highlight w:val="none"/>
              </w:rPr>
            </w:pPr>
            <w:r>
              <w:rPr>
                <w:rFonts w:ascii="宋体"/>
                <w:kern w:val="0"/>
                <w:highlight w:val="none"/>
              </w:rPr>
              <w:t> </w:t>
            </w:r>
          </w:p>
        </w:tc>
        <w:tc>
          <w:tcPr>
            <w:tcW w:w="1331" w:type="pct"/>
            <w:noWrap w:val="0"/>
            <w:vAlign w:val="center"/>
          </w:tcPr>
          <w:p w14:paraId="45D47513">
            <w:pPr>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ascii="宋体"/>
                <w:kern w:val="0"/>
                <w:highlight w:val="none"/>
              </w:rPr>
            </w:pPr>
            <w:r>
              <w:rPr>
                <w:rFonts w:ascii="宋体"/>
                <w:kern w:val="0"/>
                <w:highlight w:val="none"/>
              </w:rPr>
              <w:t> </w:t>
            </w:r>
          </w:p>
        </w:tc>
        <w:tc>
          <w:tcPr>
            <w:tcW w:w="1785" w:type="pct"/>
            <w:gridSpan w:val="2"/>
            <w:noWrap w:val="0"/>
            <w:vAlign w:val="center"/>
          </w:tcPr>
          <w:p w14:paraId="2167AE0E">
            <w:pPr>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ascii="宋体"/>
                <w:kern w:val="0"/>
                <w:highlight w:val="none"/>
              </w:rPr>
            </w:pPr>
            <w:r>
              <w:rPr>
                <w:rFonts w:ascii="宋体"/>
                <w:kern w:val="0"/>
                <w:highlight w:val="none"/>
              </w:rPr>
              <w:t> </w:t>
            </w:r>
          </w:p>
        </w:tc>
        <w:tc>
          <w:tcPr>
            <w:tcW w:w="460" w:type="pct"/>
            <w:noWrap w:val="0"/>
            <w:vAlign w:val="center"/>
          </w:tcPr>
          <w:p w14:paraId="1B928EBF">
            <w:pPr>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ascii="宋体"/>
                <w:kern w:val="0"/>
                <w:highlight w:val="none"/>
              </w:rPr>
            </w:pPr>
            <w:r>
              <w:rPr>
                <w:rFonts w:ascii="宋体"/>
                <w:kern w:val="0"/>
                <w:highlight w:val="none"/>
              </w:rPr>
              <w:t> </w:t>
            </w:r>
          </w:p>
        </w:tc>
        <w:tc>
          <w:tcPr>
            <w:tcW w:w="776" w:type="pct"/>
            <w:noWrap w:val="0"/>
            <w:vAlign w:val="center"/>
          </w:tcPr>
          <w:p w14:paraId="03E6CFDD">
            <w:pPr>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ascii="宋体"/>
                <w:kern w:val="0"/>
                <w:highlight w:val="none"/>
              </w:rPr>
            </w:pPr>
            <w:r>
              <w:rPr>
                <w:rFonts w:ascii="宋体"/>
                <w:kern w:val="0"/>
                <w:highlight w:val="none"/>
              </w:rPr>
              <w:t> </w:t>
            </w:r>
          </w:p>
        </w:tc>
      </w:tr>
      <w:tr w14:paraId="66202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645" w:type="pct"/>
            <w:noWrap w:val="0"/>
            <w:vAlign w:val="center"/>
          </w:tcPr>
          <w:p w14:paraId="1A4DD7C5">
            <w:pPr>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ascii="宋体"/>
                <w:kern w:val="0"/>
                <w:highlight w:val="none"/>
              </w:rPr>
            </w:pPr>
            <w:r>
              <w:rPr>
                <w:rFonts w:ascii="宋体"/>
                <w:kern w:val="0"/>
                <w:highlight w:val="none"/>
              </w:rPr>
              <w:t> </w:t>
            </w:r>
          </w:p>
        </w:tc>
        <w:tc>
          <w:tcPr>
            <w:tcW w:w="1331" w:type="pct"/>
            <w:noWrap w:val="0"/>
            <w:vAlign w:val="center"/>
          </w:tcPr>
          <w:p w14:paraId="349B4EE9">
            <w:pPr>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ascii="宋体"/>
                <w:kern w:val="0"/>
                <w:highlight w:val="none"/>
              </w:rPr>
            </w:pPr>
            <w:r>
              <w:rPr>
                <w:rFonts w:ascii="宋体"/>
                <w:kern w:val="0"/>
                <w:highlight w:val="none"/>
              </w:rPr>
              <w:t> </w:t>
            </w:r>
          </w:p>
        </w:tc>
        <w:tc>
          <w:tcPr>
            <w:tcW w:w="1785" w:type="pct"/>
            <w:gridSpan w:val="2"/>
            <w:noWrap w:val="0"/>
            <w:vAlign w:val="center"/>
          </w:tcPr>
          <w:p w14:paraId="115008AD">
            <w:pPr>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ascii="宋体"/>
                <w:kern w:val="0"/>
                <w:highlight w:val="none"/>
              </w:rPr>
            </w:pPr>
            <w:r>
              <w:rPr>
                <w:rFonts w:ascii="宋体"/>
                <w:kern w:val="0"/>
                <w:highlight w:val="none"/>
              </w:rPr>
              <w:t> </w:t>
            </w:r>
          </w:p>
        </w:tc>
        <w:tc>
          <w:tcPr>
            <w:tcW w:w="460" w:type="pct"/>
            <w:noWrap w:val="0"/>
            <w:vAlign w:val="center"/>
          </w:tcPr>
          <w:p w14:paraId="6B6EC1C3">
            <w:pPr>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ascii="宋体"/>
                <w:kern w:val="0"/>
                <w:highlight w:val="none"/>
              </w:rPr>
            </w:pPr>
            <w:r>
              <w:rPr>
                <w:rFonts w:ascii="宋体"/>
                <w:kern w:val="0"/>
                <w:highlight w:val="none"/>
              </w:rPr>
              <w:t> </w:t>
            </w:r>
          </w:p>
        </w:tc>
        <w:tc>
          <w:tcPr>
            <w:tcW w:w="776" w:type="pct"/>
            <w:noWrap w:val="0"/>
            <w:vAlign w:val="center"/>
          </w:tcPr>
          <w:p w14:paraId="09CCAB6F">
            <w:pPr>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ascii="宋体"/>
                <w:kern w:val="0"/>
                <w:highlight w:val="none"/>
              </w:rPr>
            </w:pPr>
            <w:r>
              <w:rPr>
                <w:rFonts w:ascii="宋体"/>
                <w:kern w:val="0"/>
                <w:highlight w:val="none"/>
              </w:rPr>
              <w:t> </w:t>
            </w:r>
          </w:p>
        </w:tc>
      </w:tr>
      <w:tr w14:paraId="59814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645" w:type="pct"/>
            <w:noWrap w:val="0"/>
            <w:vAlign w:val="center"/>
          </w:tcPr>
          <w:p w14:paraId="3F7E161D">
            <w:pPr>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ascii="宋体"/>
                <w:kern w:val="0"/>
                <w:highlight w:val="none"/>
              </w:rPr>
            </w:pPr>
            <w:r>
              <w:rPr>
                <w:rFonts w:ascii="宋体"/>
                <w:kern w:val="0"/>
                <w:highlight w:val="none"/>
              </w:rPr>
              <w:t> </w:t>
            </w:r>
          </w:p>
        </w:tc>
        <w:tc>
          <w:tcPr>
            <w:tcW w:w="1331" w:type="pct"/>
            <w:noWrap w:val="0"/>
            <w:vAlign w:val="center"/>
          </w:tcPr>
          <w:p w14:paraId="50F1435D">
            <w:pPr>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ascii="宋体"/>
                <w:kern w:val="0"/>
                <w:highlight w:val="none"/>
              </w:rPr>
            </w:pPr>
            <w:r>
              <w:rPr>
                <w:rFonts w:ascii="宋体"/>
                <w:kern w:val="0"/>
                <w:highlight w:val="none"/>
              </w:rPr>
              <w:t> </w:t>
            </w:r>
          </w:p>
        </w:tc>
        <w:tc>
          <w:tcPr>
            <w:tcW w:w="1785" w:type="pct"/>
            <w:gridSpan w:val="2"/>
            <w:noWrap w:val="0"/>
            <w:vAlign w:val="center"/>
          </w:tcPr>
          <w:p w14:paraId="40D97882">
            <w:pPr>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ascii="宋体"/>
                <w:kern w:val="0"/>
                <w:highlight w:val="none"/>
              </w:rPr>
            </w:pPr>
            <w:r>
              <w:rPr>
                <w:rFonts w:ascii="宋体"/>
                <w:kern w:val="0"/>
                <w:highlight w:val="none"/>
              </w:rPr>
              <w:t> </w:t>
            </w:r>
          </w:p>
        </w:tc>
        <w:tc>
          <w:tcPr>
            <w:tcW w:w="460" w:type="pct"/>
            <w:noWrap w:val="0"/>
            <w:vAlign w:val="center"/>
          </w:tcPr>
          <w:p w14:paraId="7C94E2E7">
            <w:pPr>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ascii="宋体"/>
                <w:kern w:val="0"/>
                <w:highlight w:val="none"/>
              </w:rPr>
            </w:pPr>
            <w:r>
              <w:rPr>
                <w:rFonts w:ascii="宋体"/>
                <w:kern w:val="0"/>
                <w:highlight w:val="none"/>
              </w:rPr>
              <w:t> </w:t>
            </w:r>
          </w:p>
        </w:tc>
        <w:tc>
          <w:tcPr>
            <w:tcW w:w="776" w:type="pct"/>
            <w:noWrap w:val="0"/>
            <w:vAlign w:val="center"/>
          </w:tcPr>
          <w:p w14:paraId="28FA0D20">
            <w:pPr>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ascii="宋体"/>
                <w:kern w:val="0"/>
                <w:highlight w:val="none"/>
              </w:rPr>
            </w:pPr>
            <w:r>
              <w:rPr>
                <w:rFonts w:ascii="宋体"/>
                <w:kern w:val="0"/>
                <w:highlight w:val="none"/>
              </w:rPr>
              <w:t> </w:t>
            </w:r>
          </w:p>
        </w:tc>
      </w:tr>
      <w:tr w14:paraId="743ED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7" w:hRule="atLeast"/>
          <w:jc w:val="center"/>
        </w:trPr>
        <w:tc>
          <w:tcPr>
            <w:tcW w:w="5000" w:type="pct"/>
            <w:gridSpan w:val="6"/>
            <w:noWrap w:val="0"/>
            <w:vAlign w:val="center"/>
          </w:tcPr>
          <w:p w14:paraId="3127D436">
            <w:pPr>
              <w:keepNext w:val="0"/>
              <w:keepLines w:val="0"/>
              <w:pageBreakBefore w:val="0"/>
              <w:widowControl/>
              <w:kinsoku/>
              <w:wordWrap/>
              <w:overflowPunct/>
              <w:topLinePunct w:val="0"/>
              <w:autoSpaceDE/>
              <w:autoSpaceDN/>
              <w:bidi w:val="0"/>
              <w:adjustRightInd/>
              <w:snapToGrid/>
              <w:spacing w:line="360" w:lineRule="auto"/>
              <w:ind w:firstLine="2"/>
              <w:jc w:val="left"/>
              <w:textAlignment w:val="auto"/>
              <w:rPr>
                <w:rFonts w:hint="eastAsia" w:ascii="宋体" w:eastAsia="宋体"/>
                <w:kern w:val="0"/>
                <w:highlight w:val="none"/>
                <w:lang w:eastAsia="zh-CN"/>
              </w:rPr>
            </w:pPr>
            <w:r>
              <w:rPr>
                <w:rFonts w:hint="eastAsia" w:ascii="宋体"/>
                <w:kern w:val="0"/>
                <w:highlight w:val="none"/>
                <w:lang w:eastAsia="zh-CN"/>
              </w:rPr>
              <w:t>合计小写金额：￥</w:t>
            </w:r>
          </w:p>
        </w:tc>
      </w:tr>
      <w:tr w14:paraId="0BC33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7" w:hRule="atLeast"/>
          <w:jc w:val="center"/>
        </w:trPr>
        <w:tc>
          <w:tcPr>
            <w:tcW w:w="5000" w:type="pct"/>
            <w:gridSpan w:val="6"/>
            <w:noWrap w:val="0"/>
            <w:vAlign w:val="center"/>
          </w:tcPr>
          <w:p w14:paraId="120B81E3">
            <w:pPr>
              <w:keepNext w:val="0"/>
              <w:keepLines w:val="0"/>
              <w:pageBreakBefore w:val="0"/>
              <w:widowControl/>
              <w:kinsoku/>
              <w:wordWrap/>
              <w:overflowPunct/>
              <w:topLinePunct w:val="0"/>
              <w:autoSpaceDE/>
              <w:autoSpaceDN/>
              <w:bidi w:val="0"/>
              <w:adjustRightInd/>
              <w:snapToGrid/>
              <w:spacing w:line="360" w:lineRule="auto"/>
              <w:ind w:firstLine="2"/>
              <w:jc w:val="left"/>
              <w:textAlignment w:val="auto"/>
              <w:rPr>
                <w:rFonts w:hint="eastAsia" w:ascii="宋体" w:hAnsi="宋体" w:cs="宋体"/>
                <w:kern w:val="0"/>
                <w:highlight w:val="none"/>
              </w:rPr>
            </w:pPr>
            <w:r>
              <w:rPr>
                <w:rFonts w:hint="eastAsia" w:ascii="宋体" w:hAnsi="宋体" w:cs="宋体"/>
                <w:kern w:val="0"/>
                <w:highlight w:val="none"/>
              </w:rPr>
              <w:t>合计大写金额：</w:t>
            </w:r>
            <w:r>
              <w:rPr>
                <w:rFonts w:ascii="宋体"/>
                <w:kern w:val="0"/>
                <w:highlight w:val="none"/>
              </w:rPr>
              <w:t>  </w:t>
            </w:r>
            <w:r>
              <w:rPr>
                <w:rFonts w:hint="eastAsia" w:ascii="宋体" w:hAnsi="宋体" w:cs="宋体"/>
                <w:kern w:val="0"/>
                <w:highlight w:val="none"/>
              </w:rPr>
              <w:t>仟</w:t>
            </w:r>
            <w:r>
              <w:rPr>
                <w:rFonts w:ascii="宋体"/>
                <w:kern w:val="0"/>
                <w:highlight w:val="none"/>
              </w:rPr>
              <w:t>   </w:t>
            </w:r>
            <w:r>
              <w:rPr>
                <w:rFonts w:hint="eastAsia" w:ascii="宋体" w:hAnsi="宋体" w:cs="宋体"/>
                <w:kern w:val="0"/>
                <w:highlight w:val="none"/>
              </w:rPr>
              <w:t>佰</w:t>
            </w:r>
            <w:r>
              <w:rPr>
                <w:rFonts w:ascii="宋体"/>
                <w:kern w:val="0"/>
                <w:highlight w:val="none"/>
              </w:rPr>
              <w:t>   </w:t>
            </w:r>
            <w:r>
              <w:rPr>
                <w:rFonts w:hint="eastAsia" w:ascii="宋体" w:hAnsi="宋体" w:cs="宋体"/>
                <w:kern w:val="0"/>
                <w:highlight w:val="none"/>
              </w:rPr>
              <w:t>拾</w:t>
            </w:r>
            <w:r>
              <w:rPr>
                <w:rFonts w:ascii="宋体"/>
                <w:kern w:val="0"/>
                <w:highlight w:val="none"/>
              </w:rPr>
              <w:t>   </w:t>
            </w:r>
            <w:r>
              <w:rPr>
                <w:rFonts w:hint="eastAsia" w:ascii="宋体" w:hAnsi="宋体" w:cs="宋体"/>
                <w:kern w:val="0"/>
                <w:highlight w:val="none"/>
              </w:rPr>
              <w:t>万</w:t>
            </w:r>
            <w:r>
              <w:rPr>
                <w:rFonts w:ascii="宋体"/>
                <w:kern w:val="0"/>
                <w:highlight w:val="none"/>
              </w:rPr>
              <w:t>   </w:t>
            </w:r>
            <w:r>
              <w:rPr>
                <w:rFonts w:hint="eastAsia" w:ascii="宋体" w:hAnsi="宋体" w:cs="宋体"/>
                <w:kern w:val="0"/>
                <w:highlight w:val="none"/>
              </w:rPr>
              <w:t>仟</w:t>
            </w:r>
            <w:r>
              <w:rPr>
                <w:rFonts w:ascii="宋体"/>
                <w:kern w:val="0"/>
                <w:highlight w:val="none"/>
              </w:rPr>
              <w:t>   </w:t>
            </w:r>
            <w:r>
              <w:rPr>
                <w:rFonts w:hint="eastAsia" w:ascii="宋体" w:hAnsi="宋体" w:cs="宋体"/>
                <w:kern w:val="0"/>
                <w:highlight w:val="none"/>
              </w:rPr>
              <w:t>佰</w:t>
            </w:r>
            <w:r>
              <w:rPr>
                <w:rFonts w:ascii="宋体"/>
                <w:kern w:val="0"/>
                <w:highlight w:val="none"/>
              </w:rPr>
              <w:t>   </w:t>
            </w:r>
            <w:r>
              <w:rPr>
                <w:rFonts w:hint="eastAsia" w:ascii="宋体" w:hAnsi="宋体" w:cs="宋体"/>
                <w:kern w:val="0"/>
                <w:highlight w:val="none"/>
              </w:rPr>
              <w:t>拾</w:t>
            </w:r>
            <w:r>
              <w:rPr>
                <w:rFonts w:ascii="宋体"/>
                <w:kern w:val="0"/>
                <w:highlight w:val="none"/>
              </w:rPr>
              <w:t>   </w:t>
            </w:r>
            <w:r>
              <w:rPr>
                <w:rFonts w:hint="eastAsia" w:ascii="宋体" w:hAnsi="宋体" w:cs="宋体"/>
                <w:kern w:val="0"/>
                <w:highlight w:val="none"/>
              </w:rPr>
              <w:t>元</w:t>
            </w:r>
          </w:p>
        </w:tc>
      </w:tr>
      <w:tr w14:paraId="14CBB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1" w:hRule="atLeast"/>
          <w:jc w:val="center"/>
        </w:trPr>
        <w:tc>
          <w:tcPr>
            <w:tcW w:w="645" w:type="pct"/>
            <w:noWrap w:val="0"/>
            <w:vAlign w:val="center"/>
          </w:tcPr>
          <w:p w14:paraId="444B59BC">
            <w:pPr>
              <w:keepNext w:val="0"/>
              <w:keepLines w:val="0"/>
              <w:pageBreakBefore w:val="0"/>
              <w:widowControl/>
              <w:kinsoku/>
              <w:wordWrap/>
              <w:overflowPunct/>
              <w:topLinePunct w:val="0"/>
              <w:autoSpaceDE/>
              <w:autoSpaceDN/>
              <w:bidi w:val="0"/>
              <w:adjustRightInd/>
              <w:snapToGrid/>
              <w:spacing w:line="360" w:lineRule="auto"/>
              <w:ind w:firstLine="2"/>
              <w:jc w:val="center"/>
              <w:textAlignment w:val="auto"/>
              <w:rPr>
                <w:rFonts w:hint="eastAsia" w:ascii="宋体" w:hAnsi="宋体" w:cs="宋体"/>
                <w:kern w:val="0"/>
                <w:highlight w:val="none"/>
              </w:rPr>
            </w:pPr>
            <w:r>
              <w:rPr>
                <w:rFonts w:hint="eastAsia" w:ascii="宋体" w:hAnsi="宋体" w:cs="宋体"/>
                <w:kern w:val="0"/>
                <w:highlight w:val="none"/>
              </w:rPr>
              <w:t>实际供货</w:t>
            </w:r>
          </w:p>
          <w:p w14:paraId="1D2D65BC">
            <w:pPr>
              <w:keepNext w:val="0"/>
              <w:keepLines w:val="0"/>
              <w:pageBreakBefore w:val="0"/>
              <w:widowControl/>
              <w:kinsoku/>
              <w:wordWrap/>
              <w:overflowPunct/>
              <w:topLinePunct w:val="0"/>
              <w:autoSpaceDE/>
              <w:autoSpaceDN/>
              <w:bidi w:val="0"/>
              <w:adjustRightInd/>
              <w:snapToGrid/>
              <w:spacing w:line="360" w:lineRule="auto"/>
              <w:ind w:firstLine="2"/>
              <w:jc w:val="center"/>
              <w:textAlignment w:val="auto"/>
              <w:rPr>
                <w:rFonts w:ascii="宋体"/>
                <w:kern w:val="0"/>
                <w:highlight w:val="none"/>
              </w:rPr>
            </w:pPr>
            <w:r>
              <w:rPr>
                <w:rFonts w:hint="eastAsia" w:ascii="宋体" w:hAnsi="宋体" w:cs="宋体"/>
                <w:kern w:val="0"/>
                <w:highlight w:val="none"/>
              </w:rPr>
              <w:t>日期</w:t>
            </w:r>
          </w:p>
        </w:tc>
        <w:tc>
          <w:tcPr>
            <w:tcW w:w="1822" w:type="pct"/>
            <w:gridSpan w:val="2"/>
            <w:noWrap w:val="0"/>
            <w:vAlign w:val="center"/>
          </w:tcPr>
          <w:p w14:paraId="4026579D">
            <w:pPr>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ascii="宋体"/>
                <w:kern w:val="0"/>
                <w:highlight w:val="none"/>
              </w:rPr>
            </w:pPr>
            <w:r>
              <w:rPr>
                <w:rFonts w:ascii="宋体"/>
                <w:kern w:val="0"/>
                <w:highlight w:val="none"/>
              </w:rPr>
              <w:t> </w:t>
            </w:r>
          </w:p>
        </w:tc>
        <w:tc>
          <w:tcPr>
            <w:tcW w:w="1293" w:type="pct"/>
            <w:noWrap w:val="0"/>
            <w:vAlign w:val="center"/>
          </w:tcPr>
          <w:p w14:paraId="601352E2">
            <w:pPr>
              <w:keepNext w:val="0"/>
              <w:keepLines w:val="0"/>
              <w:pageBreakBefore w:val="0"/>
              <w:widowControl/>
              <w:kinsoku/>
              <w:wordWrap/>
              <w:overflowPunct/>
              <w:topLinePunct w:val="0"/>
              <w:autoSpaceDE/>
              <w:autoSpaceDN/>
              <w:bidi w:val="0"/>
              <w:adjustRightInd/>
              <w:snapToGrid/>
              <w:spacing w:line="360" w:lineRule="auto"/>
              <w:ind w:firstLine="46"/>
              <w:jc w:val="center"/>
              <w:textAlignment w:val="auto"/>
              <w:rPr>
                <w:rFonts w:ascii="宋体"/>
                <w:kern w:val="0"/>
                <w:highlight w:val="none"/>
              </w:rPr>
            </w:pPr>
            <w:r>
              <w:rPr>
                <w:rFonts w:hint="eastAsia" w:ascii="宋体" w:hAnsi="宋体" w:cs="宋体"/>
                <w:kern w:val="0"/>
                <w:highlight w:val="none"/>
              </w:rPr>
              <w:t>合同交货验收日期</w:t>
            </w:r>
          </w:p>
        </w:tc>
        <w:tc>
          <w:tcPr>
            <w:tcW w:w="1237" w:type="pct"/>
            <w:gridSpan w:val="2"/>
            <w:noWrap w:val="0"/>
            <w:vAlign w:val="center"/>
          </w:tcPr>
          <w:p w14:paraId="2383554C">
            <w:pPr>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ascii="宋体"/>
                <w:kern w:val="0"/>
                <w:highlight w:val="none"/>
              </w:rPr>
            </w:pPr>
            <w:r>
              <w:rPr>
                <w:rFonts w:ascii="宋体"/>
                <w:kern w:val="0"/>
                <w:highlight w:val="none"/>
              </w:rPr>
              <w:t> </w:t>
            </w:r>
          </w:p>
        </w:tc>
      </w:tr>
      <w:tr w14:paraId="24D20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3" w:hRule="atLeast"/>
          <w:jc w:val="center"/>
        </w:trPr>
        <w:tc>
          <w:tcPr>
            <w:tcW w:w="645" w:type="pct"/>
            <w:noWrap w:val="0"/>
            <w:tcMar>
              <w:top w:w="0" w:type="dxa"/>
              <w:left w:w="108" w:type="dxa"/>
              <w:bottom w:w="0" w:type="dxa"/>
              <w:right w:w="108" w:type="dxa"/>
            </w:tcMar>
            <w:vAlign w:val="center"/>
          </w:tcPr>
          <w:p w14:paraId="53ABDC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宋体"/>
                <w:kern w:val="0"/>
                <w:highlight w:val="none"/>
              </w:rPr>
            </w:pPr>
            <w:r>
              <w:rPr>
                <w:rFonts w:hint="eastAsia" w:ascii="宋体" w:hAnsi="宋体" w:cs="宋体"/>
                <w:kern w:val="0"/>
                <w:highlight w:val="none"/>
              </w:rPr>
              <w:t>验收具体内容</w:t>
            </w:r>
          </w:p>
        </w:tc>
        <w:tc>
          <w:tcPr>
            <w:tcW w:w="4354" w:type="pct"/>
            <w:gridSpan w:val="5"/>
            <w:noWrap w:val="0"/>
            <w:tcMar>
              <w:top w:w="0" w:type="dxa"/>
              <w:left w:w="108" w:type="dxa"/>
              <w:bottom w:w="0" w:type="dxa"/>
              <w:right w:w="108" w:type="dxa"/>
            </w:tcMar>
            <w:vAlign w:val="center"/>
          </w:tcPr>
          <w:p w14:paraId="27CA2F82">
            <w:pPr>
              <w:keepNext w:val="0"/>
              <w:keepLines w:val="0"/>
              <w:pageBreakBefore w:val="0"/>
              <w:widowControl/>
              <w:kinsoku/>
              <w:wordWrap/>
              <w:overflowPunct/>
              <w:topLinePunct w:val="0"/>
              <w:autoSpaceDE/>
              <w:autoSpaceDN/>
              <w:bidi w:val="0"/>
              <w:adjustRightInd/>
              <w:snapToGrid/>
              <w:spacing w:line="360" w:lineRule="auto"/>
              <w:jc w:val="left"/>
              <w:textAlignment w:val="auto"/>
              <w:rPr>
                <w:rFonts w:ascii="宋体" w:hAnsi="宋体" w:cs="宋体"/>
                <w:kern w:val="0"/>
                <w:highlight w:val="none"/>
              </w:rPr>
            </w:pPr>
            <w:r>
              <w:rPr>
                <w:rFonts w:hint="eastAsia" w:ascii="宋体" w:hAnsi="宋体" w:cs="宋体"/>
                <w:kern w:val="0"/>
                <w:highlight w:val="none"/>
              </w:rPr>
              <w:t>（应按采购合同、</w:t>
            </w:r>
            <w:r>
              <w:rPr>
                <w:rFonts w:hint="eastAsia" w:ascii="宋体" w:hAnsi="宋体" w:cs="宋体"/>
                <w:kern w:val="0"/>
                <w:highlight w:val="none"/>
                <w:lang w:eastAsia="zh-CN"/>
              </w:rPr>
              <w:t>采购需求</w:t>
            </w:r>
            <w:r>
              <w:rPr>
                <w:rFonts w:hint="eastAsia" w:ascii="宋体" w:hAnsi="宋体" w:cs="宋体"/>
                <w:kern w:val="0"/>
                <w:highlight w:val="none"/>
              </w:rPr>
              <w:t>、</w:t>
            </w:r>
            <w:r>
              <w:rPr>
                <w:rFonts w:hint="eastAsia" w:ascii="宋体" w:hAnsi="宋体" w:cs="宋体"/>
                <w:kern w:val="0"/>
                <w:highlight w:val="none"/>
                <w:lang w:val="en-US" w:eastAsia="zh-CN"/>
              </w:rPr>
              <w:t>响应</w:t>
            </w:r>
            <w:r>
              <w:rPr>
                <w:rFonts w:hint="eastAsia" w:ascii="宋体" w:hAnsi="宋体" w:cs="宋体"/>
                <w:kern w:val="0"/>
                <w:highlight w:val="none"/>
              </w:rPr>
              <w:t>文件及验收方案等进行验收；并核对成交供应商在安装调试等方面是否违反合同约定或服务规范要求、提供的质量保证证明材料是否齐全、应有的配件及附件是否达到合同约定等。可附件</w:t>
            </w:r>
            <w:r>
              <w:rPr>
                <w:rFonts w:ascii="宋体" w:hAnsi="宋体" w:cs="宋体"/>
                <w:kern w:val="0"/>
                <w:highlight w:val="none"/>
              </w:rPr>
              <w:t>)</w:t>
            </w:r>
          </w:p>
        </w:tc>
      </w:tr>
      <w:tr w14:paraId="6BEC2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81" w:hRule="atLeast"/>
          <w:jc w:val="center"/>
        </w:trPr>
        <w:tc>
          <w:tcPr>
            <w:tcW w:w="645" w:type="pct"/>
            <w:vMerge w:val="restart"/>
            <w:noWrap w:val="0"/>
            <w:tcMar>
              <w:top w:w="0" w:type="dxa"/>
              <w:left w:w="108" w:type="dxa"/>
              <w:bottom w:w="0" w:type="dxa"/>
              <w:right w:w="108" w:type="dxa"/>
            </w:tcMar>
            <w:vAlign w:val="center"/>
          </w:tcPr>
          <w:p w14:paraId="7D148C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宋体"/>
                <w:kern w:val="0"/>
                <w:highlight w:val="none"/>
              </w:rPr>
            </w:pPr>
            <w:r>
              <w:rPr>
                <w:rFonts w:hint="eastAsia" w:ascii="宋体" w:hAnsi="宋体" w:cs="宋体"/>
                <w:kern w:val="0"/>
                <w:highlight w:val="none"/>
              </w:rPr>
              <w:t>验收小组意见</w:t>
            </w:r>
          </w:p>
        </w:tc>
        <w:tc>
          <w:tcPr>
            <w:tcW w:w="4354" w:type="pct"/>
            <w:gridSpan w:val="5"/>
            <w:noWrap w:val="0"/>
            <w:vAlign w:val="center"/>
          </w:tcPr>
          <w:p w14:paraId="1D9A8AA9">
            <w:pPr>
              <w:keepNext w:val="0"/>
              <w:keepLines w:val="0"/>
              <w:pageBreakBefore w:val="0"/>
              <w:widowControl/>
              <w:kinsoku/>
              <w:wordWrap/>
              <w:overflowPunct/>
              <w:topLinePunct w:val="0"/>
              <w:autoSpaceDE/>
              <w:autoSpaceDN/>
              <w:bidi w:val="0"/>
              <w:adjustRightInd/>
              <w:snapToGrid/>
              <w:spacing w:line="360" w:lineRule="auto"/>
              <w:jc w:val="left"/>
              <w:textAlignment w:val="auto"/>
              <w:rPr>
                <w:rFonts w:ascii="宋体"/>
                <w:kern w:val="0"/>
                <w:highlight w:val="none"/>
              </w:rPr>
            </w:pPr>
            <w:r>
              <w:rPr>
                <w:rFonts w:ascii="宋体"/>
                <w:kern w:val="0"/>
                <w:highlight w:val="none"/>
              </w:rPr>
              <w:t> </w:t>
            </w:r>
            <w:r>
              <w:rPr>
                <w:rFonts w:hint="eastAsia" w:ascii="宋体" w:hAnsi="宋体" w:cs="宋体"/>
                <w:kern w:val="0"/>
                <w:highlight w:val="none"/>
              </w:rPr>
              <w:t>验收结论性意见：</w:t>
            </w:r>
          </w:p>
          <w:p w14:paraId="19B9F901">
            <w:pPr>
              <w:keepNext w:val="0"/>
              <w:keepLines w:val="0"/>
              <w:pageBreakBefore w:val="0"/>
              <w:widowControl/>
              <w:kinsoku/>
              <w:wordWrap/>
              <w:overflowPunct/>
              <w:topLinePunct w:val="0"/>
              <w:autoSpaceDE/>
              <w:autoSpaceDN/>
              <w:bidi w:val="0"/>
              <w:adjustRightInd/>
              <w:snapToGrid/>
              <w:spacing w:line="360" w:lineRule="auto"/>
              <w:jc w:val="left"/>
              <w:textAlignment w:val="auto"/>
              <w:rPr>
                <w:rFonts w:ascii="宋体"/>
                <w:kern w:val="0"/>
                <w:highlight w:val="none"/>
              </w:rPr>
            </w:pPr>
            <w:r>
              <w:rPr>
                <w:rFonts w:ascii="宋体"/>
                <w:kern w:val="0"/>
                <w:highlight w:val="none"/>
              </w:rPr>
              <w:t> </w:t>
            </w:r>
          </w:p>
        </w:tc>
      </w:tr>
      <w:tr w14:paraId="4A668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7" w:hRule="atLeast"/>
          <w:jc w:val="center"/>
        </w:trPr>
        <w:tc>
          <w:tcPr>
            <w:tcW w:w="645" w:type="pct"/>
            <w:vMerge w:val="continue"/>
            <w:noWrap w:val="0"/>
            <w:vAlign w:val="center"/>
          </w:tcPr>
          <w:p w14:paraId="372FEC13">
            <w:pPr>
              <w:keepNext w:val="0"/>
              <w:keepLines w:val="0"/>
              <w:pageBreakBefore w:val="0"/>
              <w:widowControl/>
              <w:kinsoku/>
              <w:wordWrap/>
              <w:overflowPunct/>
              <w:topLinePunct w:val="0"/>
              <w:autoSpaceDE/>
              <w:autoSpaceDN/>
              <w:bidi w:val="0"/>
              <w:adjustRightInd/>
              <w:snapToGrid/>
              <w:spacing w:line="360" w:lineRule="auto"/>
              <w:jc w:val="left"/>
              <w:textAlignment w:val="auto"/>
              <w:rPr>
                <w:rFonts w:ascii="宋体"/>
                <w:kern w:val="0"/>
                <w:highlight w:val="none"/>
              </w:rPr>
            </w:pPr>
          </w:p>
        </w:tc>
        <w:tc>
          <w:tcPr>
            <w:tcW w:w="4354" w:type="pct"/>
            <w:gridSpan w:val="5"/>
            <w:noWrap w:val="0"/>
            <w:vAlign w:val="center"/>
          </w:tcPr>
          <w:p w14:paraId="26D4EAAD">
            <w:pPr>
              <w:keepNext w:val="0"/>
              <w:keepLines w:val="0"/>
              <w:pageBreakBefore w:val="0"/>
              <w:widowControl/>
              <w:kinsoku/>
              <w:wordWrap/>
              <w:overflowPunct/>
              <w:topLinePunct w:val="0"/>
              <w:autoSpaceDE/>
              <w:autoSpaceDN/>
              <w:bidi w:val="0"/>
              <w:adjustRightInd/>
              <w:snapToGrid/>
              <w:spacing w:line="360" w:lineRule="auto"/>
              <w:ind w:firstLine="96"/>
              <w:jc w:val="left"/>
              <w:textAlignment w:val="auto"/>
              <w:rPr>
                <w:rFonts w:hint="eastAsia" w:ascii="宋体" w:hAnsi="宋体" w:cs="宋体"/>
                <w:kern w:val="0"/>
                <w:highlight w:val="none"/>
              </w:rPr>
            </w:pPr>
            <w:r>
              <w:rPr>
                <w:rFonts w:hint="eastAsia" w:ascii="宋体" w:hAnsi="宋体" w:cs="宋体"/>
                <w:kern w:val="0"/>
                <w:highlight w:val="none"/>
              </w:rPr>
              <w:t>有异议的意见和说明理由：</w:t>
            </w:r>
          </w:p>
          <w:p w14:paraId="431FE2D1">
            <w:pPr>
              <w:pStyle w:val="29"/>
              <w:keepNext w:val="0"/>
              <w:keepLines w:val="0"/>
              <w:pageBreakBefore w:val="0"/>
              <w:tabs>
                <w:tab w:val="left" w:pos="8640"/>
              </w:tabs>
              <w:kinsoku/>
              <w:wordWrap/>
              <w:overflowPunct/>
              <w:topLinePunct w:val="0"/>
              <w:autoSpaceDE/>
              <w:autoSpaceDN/>
              <w:bidi w:val="0"/>
              <w:adjustRightInd/>
              <w:snapToGrid/>
              <w:spacing w:line="360" w:lineRule="auto"/>
              <w:textAlignment w:val="auto"/>
              <w:rPr>
                <w:highlight w:val="none"/>
              </w:rPr>
            </w:pPr>
          </w:p>
          <w:p w14:paraId="0D888A26">
            <w:pPr>
              <w:keepNext w:val="0"/>
              <w:keepLines w:val="0"/>
              <w:pageBreakBefore w:val="0"/>
              <w:widowControl/>
              <w:kinsoku/>
              <w:wordWrap/>
              <w:overflowPunct/>
              <w:topLinePunct w:val="0"/>
              <w:autoSpaceDE/>
              <w:autoSpaceDN/>
              <w:bidi w:val="0"/>
              <w:adjustRightInd/>
              <w:snapToGrid/>
              <w:spacing w:line="360" w:lineRule="auto"/>
              <w:jc w:val="left"/>
              <w:textAlignment w:val="auto"/>
              <w:rPr>
                <w:rFonts w:ascii="宋体"/>
                <w:kern w:val="0"/>
                <w:highlight w:val="none"/>
              </w:rPr>
            </w:pPr>
            <w:r>
              <w:rPr>
                <w:rFonts w:ascii="宋体"/>
                <w:kern w:val="0"/>
                <w:highlight w:val="none"/>
              </w:rPr>
              <w:t>        </w:t>
            </w:r>
            <w:r>
              <w:rPr>
                <w:rFonts w:ascii="宋体" w:hAnsi="宋体" w:cs="宋体"/>
                <w:kern w:val="0"/>
                <w:highlight w:val="none"/>
              </w:rPr>
              <w:t xml:space="preserve">              </w:t>
            </w:r>
            <w:r>
              <w:rPr>
                <w:rFonts w:hint="eastAsia" w:ascii="宋体" w:hAnsi="宋体" w:cs="宋体"/>
                <w:kern w:val="0"/>
                <w:highlight w:val="none"/>
                <w:lang w:val="en-US" w:eastAsia="zh-CN"/>
              </w:rPr>
              <w:t xml:space="preserve">                       </w:t>
            </w:r>
            <w:r>
              <w:rPr>
                <w:rFonts w:hint="eastAsia" w:ascii="宋体" w:hAnsi="宋体" w:cs="宋体"/>
                <w:kern w:val="0"/>
                <w:highlight w:val="none"/>
              </w:rPr>
              <w:t>签字：</w:t>
            </w:r>
          </w:p>
        </w:tc>
      </w:tr>
      <w:tr w14:paraId="7685D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7" w:hRule="atLeast"/>
          <w:jc w:val="center"/>
        </w:trPr>
        <w:tc>
          <w:tcPr>
            <w:tcW w:w="5000" w:type="pct"/>
            <w:gridSpan w:val="6"/>
            <w:noWrap w:val="0"/>
            <w:tcMar>
              <w:top w:w="0" w:type="dxa"/>
              <w:left w:w="108" w:type="dxa"/>
              <w:bottom w:w="0" w:type="dxa"/>
              <w:right w:w="108" w:type="dxa"/>
            </w:tcMar>
            <w:vAlign w:val="center"/>
          </w:tcPr>
          <w:p w14:paraId="230C6FCC">
            <w:pPr>
              <w:keepNext w:val="0"/>
              <w:keepLines w:val="0"/>
              <w:pageBreakBefore w:val="0"/>
              <w:widowControl/>
              <w:kinsoku/>
              <w:wordWrap/>
              <w:overflowPunct/>
              <w:topLinePunct w:val="0"/>
              <w:autoSpaceDE/>
              <w:autoSpaceDN/>
              <w:bidi w:val="0"/>
              <w:adjustRightInd/>
              <w:snapToGrid/>
              <w:spacing w:line="360" w:lineRule="auto"/>
              <w:jc w:val="left"/>
              <w:textAlignment w:val="auto"/>
              <w:rPr>
                <w:rFonts w:ascii="宋体"/>
                <w:kern w:val="0"/>
                <w:highlight w:val="none"/>
              </w:rPr>
            </w:pPr>
            <w:r>
              <w:rPr>
                <w:rFonts w:hint="eastAsia" w:ascii="宋体" w:hAnsi="宋体" w:cs="宋体"/>
                <w:kern w:val="0"/>
                <w:highlight w:val="none"/>
              </w:rPr>
              <w:t>验收小组成员签字：</w:t>
            </w:r>
          </w:p>
        </w:tc>
      </w:tr>
      <w:tr w14:paraId="77A56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36" w:hRule="atLeast"/>
          <w:jc w:val="center"/>
        </w:trPr>
        <w:tc>
          <w:tcPr>
            <w:tcW w:w="5000" w:type="pct"/>
            <w:gridSpan w:val="6"/>
            <w:noWrap w:val="0"/>
            <w:tcMar>
              <w:top w:w="0" w:type="dxa"/>
              <w:left w:w="108" w:type="dxa"/>
              <w:bottom w:w="0" w:type="dxa"/>
              <w:right w:w="108" w:type="dxa"/>
            </w:tcMar>
            <w:vAlign w:val="center"/>
          </w:tcPr>
          <w:p w14:paraId="7173D429">
            <w:pPr>
              <w:keepNext w:val="0"/>
              <w:keepLines w:val="0"/>
              <w:pageBreakBefore w:val="0"/>
              <w:widowControl/>
              <w:kinsoku/>
              <w:wordWrap/>
              <w:overflowPunct/>
              <w:topLinePunct w:val="0"/>
              <w:autoSpaceDE/>
              <w:autoSpaceDN/>
              <w:bidi w:val="0"/>
              <w:adjustRightInd/>
              <w:snapToGrid/>
              <w:spacing w:line="360" w:lineRule="auto"/>
              <w:jc w:val="left"/>
              <w:textAlignment w:val="auto"/>
              <w:rPr>
                <w:rFonts w:ascii="宋体"/>
                <w:kern w:val="0"/>
                <w:highlight w:val="none"/>
              </w:rPr>
            </w:pPr>
            <w:r>
              <w:rPr>
                <w:rFonts w:hint="eastAsia" w:ascii="宋体" w:hAnsi="宋体" w:cs="宋体"/>
                <w:kern w:val="0"/>
                <w:highlight w:val="none"/>
              </w:rPr>
              <w:t>监督人员或其他相关人员签字：</w:t>
            </w:r>
          </w:p>
          <w:p w14:paraId="6083B249">
            <w:pPr>
              <w:keepNext w:val="0"/>
              <w:keepLines w:val="0"/>
              <w:pageBreakBefore w:val="0"/>
              <w:widowControl/>
              <w:kinsoku/>
              <w:wordWrap/>
              <w:overflowPunct/>
              <w:topLinePunct w:val="0"/>
              <w:autoSpaceDE/>
              <w:autoSpaceDN/>
              <w:bidi w:val="0"/>
              <w:adjustRightInd/>
              <w:snapToGrid/>
              <w:spacing w:line="360" w:lineRule="auto"/>
              <w:jc w:val="left"/>
              <w:textAlignment w:val="auto"/>
              <w:rPr>
                <w:rFonts w:ascii="宋体"/>
                <w:kern w:val="0"/>
                <w:highlight w:val="none"/>
              </w:rPr>
            </w:pPr>
            <w:r>
              <w:rPr>
                <w:rFonts w:hint="eastAsia" w:ascii="宋体" w:hAnsi="宋体" w:cs="宋体"/>
                <w:kern w:val="0"/>
                <w:highlight w:val="none"/>
              </w:rPr>
              <w:t>或受邀机构的意见（盖章）：</w:t>
            </w:r>
          </w:p>
        </w:tc>
      </w:tr>
      <w:tr w14:paraId="490CA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60" w:hRule="atLeast"/>
          <w:jc w:val="center"/>
        </w:trPr>
        <w:tc>
          <w:tcPr>
            <w:tcW w:w="2468" w:type="pct"/>
            <w:gridSpan w:val="3"/>
            <w:noWrap w:val="0"/>
            <w:tcMar>
              <w:top w:w="0" w:type="dxa"/>
              <w:left w:w="108" w:type="dxa"/>
              <w:bottom w:w="0" w:type="dxa"/>
              <w:right w:w="108" w:type="dxa"/>
            </w:tcMar>
            <w:vAlign w:val="center"/>
          </w:tcPr>
          <w:p w14:paraId="789B3327">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cs="宋体"/>
                <w:kern w:val="0"/>
                <w:highlight w:val="none"/>
              </w:rPr>
            </w:pPr>
            <w:r>
              <w:rPr>
                <w:rFonts w:hint="eastAsia" w:ascii="宋体" w:hAnsi="宋体" w:cs="宋体"/>
                <w:kern w:val="0"/>
                <w:highlight w:val="none"/>
              </w:rPr>
              <w:t>成交供应商负责人签字或盖章：</w:t>
            </w:r>
          </w:p>
          <w:p w14:paraId="61563A6D">
            <w:pPr>
              <w:pStyle w:val="29"/>
              <w:keepNext w:val="0"/>
              <w:keepLines w:val="0"/>
              <w:pageBreakBefore w:val="0"/>
              <w:tabs>
                <w:tab w:val="left" w:pos="8640"/>
              </w:tabs>
              <w:kinsoku/>
              <w:wordWrap/>
              <w:overflowPunct/>
              <w:topLinePunct w:val="0"/>
              <w:autoSpaceDE/>
              <w:autoSpaceDN/>
              <w:bidi w:val="0"/>
              <w:adjustRightInd/>
              <w:snapToGrid/>
              <w:spacing w:line="360" w:lineRule="auto"/>
              <w:textAlignment w:val="auto"/>
              <w:rPr>
                <w:highlight w:val="none"/>
              </w:rPr>
            </w:pPr>
          </w:p>
          <w:p w14:paraId="71A660EB">
            <w:pPr>
              <w:keepNext w:val="0"/>
              <w:keepLines w:val="0"/>
              <w:pageBreakBefore w:val="0"/>
              <w:widowControl/>
              <w:kinsoku/>
              <w:wordWrap/>
              <w:overflowPunct/>
              <w:topLinePunct w:val="0"/>
              <w:autoSpaceDE/>
              <w:autoSpaceDN/>
              <w:bidi w:val="0"/>
              <w:adjustRightInd/>
              <w:snapToGrid/>
              <w:spacing w:line="360" w:lineRule="auto"/>
              <w:jc w:val="left"/>
              <w:textAlignment w:val="auto"/>
              <w:rPr>
                <w:rFonts w:ascii="宋体"/>
                <w:kern w:val="0"/>
                <w:highlight w:val="none"/>
              </w:rPr>
            </w:pPr>
            <w:r>
              <w:rPr>
                <w:rFonts w:hint="eastAsia" w:ascii="宋体"/>
                <w:kern w:val="0"/>
                <w:highlight w:val="none"/>
                <w:lang w:val="en-US" w:eastAsia="zh-CN"/>
              </w:rPr>
              <w:t xml:space="preserve">联系电话：                </w:t>
            </w:r>
            <w:r>
              <w:rPr>
                <w:rFonts w:ascii="宋体"/>
                <w:kern w:val="0"/>
                <w:highlight w:val="none"/>
              </w:rPr>
              <w:t>     </w:t>
            </w:r>
            <w:r>
              <w:rPr>
                <w:rFonts w:hint="eastAsia" w:ascii="宋体" w:hAnsi="宋体" w:cs="宋体"/>
                <w:kern w:val="0"/>
                <w:highlight w:val="none"/>
              </w:rPr>
              <w:t>年</w:t>
            </w:r>
            <w:r>
              <w:rPr>
                <w:rFonts w:hint="eastAsia" w:ascii="宋体" w:hAnsi="宋体" w:cs="宋体"/>
                <w:kern w:val="0"/>
                <w:highlight w:val="none"/>
                <w:lang w:val="en-US" w:eastAsia="zh-CN"/>
              </w:rPr>
              <w:t xml:space="preserve"> </w:t>
            </w:r>
            <w:r>
              <w:rPr>
                <w:rFonts w:ascii="宋体"/>
                <w:kern w:val="0"/>
                <w:highlight w:val="none"/>
              </w:rPr>
              <w:t> </w:t>
            </w:r>
            <w:r>
              <w:rPr>
                <w:rFonts w:hint="eastAsia" w:ascii="宋体" w:hAnsi="宋体" w:cs="宋体"/>
                <w:kern w:val="0"/>
                <w:highlight w:val="none"/>
              </w:rPr>
              <w:t>月</w:t>
            </w:r>
            <w:r>
              <w:rPr>
                <w:rFonts w:ascii="宋体"/>
                <w:kern w:val="0"/>
                <w:highlight w:val="none"/>
              </w:rPr>
              <w:t> </w:t>
            </w:r>
            <w:r>
              <w:rPr>
                <w:rFonts w:hint="eastAsia" w:ascii="宋体"/>
                <w:kern w:val="0"/>
                <w:highlight w:val="none"/>
                <w:lang w:val="en-US" w:eastAsia="zh-CN"/>
              </w:rPr>
              <w:t xml:space="preserve"> </w:t>
            </w:r>
            <w:r>
              <w:rPr>
                <w:rFonts w:hint="eastAsia" w:ascii="宋体" w:hAnsi="宋体" w:cs="宋体"/>
                <w:kern w:val="0"/>
                <w:highlight w:val="none"/>
              </w:rPr>
              <w:t>日</w:t>
            </w:r>
          </w:p>
        </w:tc>
        <w:tc>
          <w:tcPr>
            <w:tcW w:w="2531" w:type="pct"/>
            <w:gridSpan w:val="3"/>
            <w:noWrap w:val="0"/>
            <w:vAlign w:val="center"/>
          </w:tcPr>
          <w:p w14:paraId="5320B15F">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cs="宋体"/>
                <w:kern w:val="0"/>
                <w:highlight w:val="none"/>
              </w:rPr>
            </w:pPr>
            <w:r>
              <w:rPr>
                <w:rFonts w:ascii="宋体"/>
                <w:kern w:val="0"/>
                <w:highlight w:val="none"/>
              </w:rPr>
              <w:t> </w:t>
            </w:r>
            <w:r>
              <w:rPr>
                <w:rFonts w:hint="eastAsia" w:ascii="宋体" w:hAnsi="宋体" w:cs="宋体"/>
                <w:kern w:val="0"/>
                <w:highlight w:val="none"/>
              </w:rPr>
              <w:t>采购人或受托机构的意见（盖章）：</w:t>
            </w:r>
          </w:p>
          <w:p w14:paraId="29C0B670">
            <w:pPr>
              <w:pStyle w:val="29"/>
              <w:keepNext w:val="0"/>
              <w:keepLines w:val="0"/>
              <w:pageBreakBefore w:val="0"/>
              <w:tabs>
                <w:tab w:val="left" w:pos="8640"/>
              </w:tabs>
              <w:kinsoku/>
              <w:wordWrap/>
              <w:overflowPunct/>
              <w:topLinePunct w:val="0"/>
              <w:autoSpaceDE/>
              <w:autoSpaceDN/>
              <w:bidi w:val="0"/>
              <w:adjustRightInd/>
              <w:snapToGrid/>
              <w:spacing w:line="360" w:lineRule="auto"/>
              <w:textAlignment w:val="auto"/>
              <w:rPr>
                <w:highlight w:val="none"/>
              </w:rPr>
            </w:pPr>
          </w:p>
          <w:p w14:paraId="47972A48">
            <w:pPr>
              <w:keepNext w:val="0"/>
              <w:keepLines w:val="0"/>
              <w:pageBreakBefore w:val="0"/>
              <w:widowControl/>
              <w:kinsoku/>
              <w:wordWrap/>
              <w:overflowPunct/>
              <w:topLinePunct w:val="0"/>
              <w:autoSpaceDE/>
              <w:autoSpaceDN/>
              <w:bidi w:val="0"/>
              <w:adjustRightInd/>
              <w:snapToGrid/>
              <w:spacing w:line="360" w:lineRule="auto"/>
              <w:ind w:firstLine="210" w:firstLineChars="100"/>
              <w:jc w:val="left"/>
              <w:textAlignment w:val="auto"/>
              <w:rPr>
                <w:rFonts w:ascii="宋体"/>
                <w:kern w:val="0"/>
                <w:highlight w:val="none"/>
              </w:rPr>
            </w:pPr>
            <w:r>
              <w:rPr>
                <w:rFonts w:hint="eastAsia" w:ascii="宋体"/>
                <w:kern w:val="0"/>
                <w:highlight w:val="none"/>
                <w:lang w:eastAsia="zh-CN"/>
              </w:rPr>
              <w:t>联系电话：</w:t>
            </w:r>
            <w:r>
              <w:rPr>
                <w:rFonts w:ascii="宋体"/>
                <w:kern w:val="0"/>
                <w:highlight w:val="none"/>
              </w:rPr>
              <w:t>      </w:t>
            </w:r>
            <w:r>
              <w:rPr>
                <w:rFonts w:hint="eastAsia" w:ascii="宋体"/>
                <w:kern w:val="0"/>
                <w:highlight w:val="none"/>
                <w:lang w:val="en-US" w:eastAsia="zh-CN"/>
              </w:rPr>
              <w:t xml:space="preserve">                </w:t>
            </w:r>
            <w:r>
              <w:rPr>
                <w:rFonts w:ascii="宋体"/>
                <w:kern w:val="0"/>
                <w:highlight w:val="none"/>
              </w:rPr>
              <w:t>   </w:t>
            </w:r>
            <w:r>
              <w:rPr>
                <w:rFonts w:hint="eastAsia" w:ascii="宋体" w:hAnsi="宋体" w:cs="宋体"/>
                <w:kern w:val="0"/>
                <w:highlight w:val="none"/>
              </w:rPr>
              <w:t>年</w:t>
            </w:r>
            <w:r>
              <w:rPr>
                <w:rFonts w:ascii="宋体"/>
                <w:kern w:val="0"/>
                <w:highlight w:val="none"/>
              </w:rPr>
              <w:t>   </w:t>
            </w:r>
            <w:r>
              <w:rPr>
                <w:rFonts w:hint="eastAsia" w:ascii="宋体" w:hAnsi="宋体" w:cs="宋体"/>
                <w:kern w:val="0"/>
                <w:highlight w:val="none"/>
              </w:rPr>
              <w:t>月</w:t>
            </w:r>
            <w:r>
              <w:rPr>
                <w:rFonts w:ascii="宋体"/>
                <w:kern w:val="0"/>
                <w:highlight w:val="none"/>
              </w:rPr>
              <w:t>   </w:t>
            </w:r>
            <w:r>
              <w:rPr>
                <w:rFonts w:hint="eastAsia" w:ascii="宋体" w:hAnsi="宋体" w:cs="宋体"/>
                <w:kern w:val="0"/>
                <w:highlight w:val="none"/>
              </w:rPr>
              <w:t>日</w:t>
            </w:r>
          </w:p>
        </w:tc>
      </w:tr>
    </w:tbl>
    <w:p w14:paraId="10916A62">
      <w:pPr>
        <w:spacing w:line="360" w:lineRule="auto"/>
        <w:jc w:val="both"/>
        <w:rPr>
          <w:rFonts w:hint="eastAsia"/>
          <w:highlight w:val="none"/>
          <w:lang w:val="en-US" w:eastAsia="zh-CN"/>
        </w:rPr>
      </w:pPr>
    </w:p>
    <w:p w14:paraId="088CFFE9">
      <w:pPr>
        <w:keepNext w:val="0"/>
        <w:keepLines w:val="0"/>
        <w:pageBreakBefore w:val="0"/>
        <w:kinsoku/>
        <w:overflowPunct/>
        <w:topLinePunct w:val="0"/>
        <w:bidi w:val="0"/>
        <w:adjustRightInd w:val="0"/>
        <w:snapToGrid w:val="0"/>
        <w:spacing w:line="360" w:lineRule="auto"/>
        <w:ind w:right="120"/>
        <w:jc w:val="center"/>
        <w:textAlignment w:val="auto"/>
        <w:rPr>
          <w:rFonts w:hint="eastAsia" w:ascii="宋体" w:hAnsi="宋体" w:eastAsia="宋体" w:cs="宋体"/>
          <w:sz w:val="21"/>
          <w:szCs w:val="21"/>
          <w:highlight w:val="none"/>
        </w:rPr>
      </w:pPr>
    </w:p>
    <w:p w14:paraId="08FCFBC0">
      <w:pPr>
        <w:spacing w:line="360" w:lineRule="auto"/>
        <w:rPr>
          <w:rFonts w:hint="eastAsia" w:ascii="宋体" w:hAnsi="宋体"/>
          <w:b/>
          <w:color w:val="000000"/>
          <w:sz w:val="24"/>
          <w:highlight w:val="none"/>
          <w:lang w:val="en-US" w:eastAsia="zh-CN"/>
        </w:rPr>
      </w:pPr>
      <w:r>
        <w:rPr>
          <w:rFonts w:hint="eastAsia" w:ascii="宋体" w:hAnsi="宋体"/>
          <w:b/>
          <w:color w:val="000000"/>
          <w:sz w:val="24"/>
          <w:highlight w:val="none"/>
          <w:lang w:val="en-US" w:eastAsia="zh-CN"/>
        </w:rPr>
        <w:br w:type="page"/>
      </w:r>
    </w:p>
    <w:bookmarkEnd w:id="5"/>
    <w:p w14:paraId="6E7EE74F">
      <w:pPr>
        <w:pStyle w:val="17"/>
        <w:pageBreakBefore w:val="0"/>
        <w:tabs>
          <w:tab w:val="left" w:leader="middleDot" w:pos="9240"/>
        </w:tabs>
        <w:kinsoku/>
        <w:wordWrap/>
        <w:overflowPunct/>
        <w:topLinePunct w:val="0"/>
        <w:bidi w:val="0"/>
        <w:spacing w:line="840" w:lineRule="exact"/>
        <w:jc w:val="center"/>
        <w:rPr>
          <w:rFonts w:hint="eastAsia" w:hAnsi="宋体"/>
          <w:b/>
          <w:bCs/>
          <w:sz w:val="72"/>
        </w:rPr>
      </w:pPr>
    </w:p>
    <w:p w14:paraId="58963BD7">
      <w:pPr>
        <w:pStyle w:val="17"/>
        <w:pageBreakBefore w:val="0"/>
        <w:tabs>
          <w:tab w:val="left" w:leader="middleDot" w:pos="9240"/>
        </w:tabs>
        <w:kinsoku/>
        <w:wordWrap/>
        <w:overflowPunct/>
        <w:topLinePunct w:val="0"/>
        <w:bidi w:val="0"/>
        <w:spacing w:line="840" w:lineRule="exact"/>
        <w:jc w:val="center"/>
        <w:rPr>
          <w:rFonts w:hint="eastAsia" w:hAnsi="宋体"/>
          <w:b/>
          <w:bCs/>
          <w:sz w:val="72"/>
        </w:rPr>
      </w:pPr>
      <w:r>
        <w:rPr>
          <w:rFonts w:hint="eastAsia" w:hAnsi="宋体"/>
          <w:b/>
          <w:bCs/>
          <w:sz w:val="72"/>
        </w:rPr>
        <w:t>采购合同书</w:t>
      </w:r>
    </w:p>
    <w:p w14:paraId="4347CB88">
      <w:pPr>
        <w:spacing w:line="560" w:lineRule="exact"/>
        <w:ind w:firstLine="640" w:firstLineChars="200"/>
        <w:jc w:val="center"/>
        <w:rPr>
          <w:rFonts w:hint="eastAsia" w:ascii="方正仿宋_GB2312" w:hAnsi="方正仿宋_GB2312" w:eastAsia="方正仿宋_GB2312" w:cs="方正仿宋_GB2312"/>
          <w:i/>
          <w:sz w:val="32"/>
          <w:szCs w:val="32"/>
          <w:highlight w:val="yellow"/>
          <w:u w:val="single"/>
          <w:lang w:eastAsia="zh-CN"/>
        </w:rPr>
      </w:pPr>
      <w:r>
        <w:rPr>
          <w:rFonts w:hint="eastAsia" w:ascii="方正仿宋_GB2312" w:hAnsi="方正仿宋_GB2312" w:eastAsia="方正仿宋_GB2312" w:cs="方正仿宋_GB2312"/>
          <w:i/>
          <w:sz w:val="32"/>
          <w:szCs w:val="32"/>
          <w:highlight w:val="yellow"/>
          <w:u w:val="single"/>
          <w:lang w:eastAsia="zh-CN"/>
        </w:rPr>
        <w:t>（</w:t>
      </w:r>
      <w:r>
        <w:rPr>
          <w:rFonts w:hint="eastAsia" w:ascii="方正仿宋_GB2312" w:hAnsi="方正仿宋_GB2312" w:eastAsia="方正仿宋_GB2312" w:cs="方正仿宋_GB2312"/>
          <w:i/>
          <w:sz w:val="32"/>
          <w:szCs w:val="32"/>
          <w:highlight w:val="yellow"/>
          <w:u w:val="single"/>
          <w:lang w:val="en-US" w:eastAsia="zh-CN"/>
        </w:rPr>
        <w:t>试剂耗材类</w:t>
      </w:r>
      <w:r>
        <w:rPr>
          <w:rFonts w:hint="eastAsia" w:ascii="方正仿宋_GB2312" w:hAnsi="方正仿宋_GB2312" w:eastAsia="方正仿宋_GB2312" w:cs="方正仿宋_GB2312"/>
          <w:i/>
          <w:sz w:val="32"/>
          <w:szCs w:val="32"/>
          <w:highlight w:val="yellow"/>
          <w:u w:val="single"/>
          <w:lang w:eastAsia="zh-CN"/>
        </w:rPr>
        <w:t>）</w:t>
      </w:r>
    </w:p>
    <w:p w14:paraId="13301225">
      <w:pPr>
        <w:pStyle w:val="17"/>
        <w:pageBreakBefore w:val="0"/>
        <w:tabs>
          <w:tab w:val="left" w:leader="middleDot" w:pos="9240"/>
        </w:tabs>
        <w:kinsoku/>
        <w:wordWrap/>
        <w:overflowPunct/>
        <w:topLinePunct w:val="0"/>
        <w:bidi w:val="0"/>
        <w:spacing w:line="340" w:lineRule="exact"/>
        <w:jc w:val="center"/>
        <w:rPr>
          <w:rFonts w:hint="eastAsia" w:hAnsi="宋体"/>
        </w:rPr>
      </w:pPr>
    </w:p>
    <w:p w14:paraId="5A71DB56">
      <w:pPr>
        <w:pageBreakBefore w:val="0"/>
        <w:tabs>
          <w:tab w:val="left" w:leader="middleDot" w:pos="9240"/>
        </w:tabs>
        <w:kinsoku/>
        <w:wordWrap/>
        <w:overflowPunct/>
        <w:topLinePunct w:val="0"/>
        <w:bidi w:val="0"/>
        <w:rPr>
          <w:rFonts w:hint="eastAsia" w:hAnsi="宋体"/>
        </w:rPr>
      </w:pPr>
    </w:p>
    <w:p w14:paraId="0890F00A">
      <w:pPr>
        <w:pStyle w:val="19"/>
        <w:pageBreakBefore w:val="0"/>
        <w:tabs>
          <w:tab w:val="left" w:leader="middleDot" w:pos="9240"/>
        </w:tabs>
        <w:kinsoku/>
        <w:wordWrap/>
        <w:overflowPunct/>
        <w:topLinePunct w:val="0"/>
        <w:bidi w:val="0"/>
        <w:rPr>
          <w:rFonts w:hint="eastAsia" w:hAnsi="宋体"/>
        </w:rPr>
      </w:pPr>
    </w:p>
    <w:p w14:paraId="0838540B">
      <w:pPr>
        <w:pStyle w:val="19"/>
        <w:pageBreakBefore w:val="0"/>
        <w:tabs>
          <w:tab w:val="left" w:leader="middleDot" w:pos="9240"/>
        </w:tabs>
        <w:kinsoku/>
        <w:wordWrap/>
        <w:overflowPunct/>
        <w:topLinePunct w:val="0"/>
        <w:bidi w:val="0"/>
        <w:rPr>
          <w:rFonts w:hint="eastAsia" w:hAnsi="宋体"/>
        </w:rPr>
      </w:pPr>
    </w:p>
    <w:p w14:paraId="5A303CE6">
      <w:pPr>
        <w:pStyle w:val="19"/>
        <w:pageBreakBefore w:val="0"/>
        <w:tabs>
          <w:tab w:val="left" w:leader="middleDot" w:pos="9240"/>
        </w:tabs>
        <w:kinsoku/>
        <w:wordWrap/>
        <w:overflowPunct/>
        <w:topLinePunct w:val="0"/>
        <w:bidi w:val="0"/>
        <w:rPr>
          <w:rFonts w:hint="eastAsia" w:hAnsi="宋体"/>
        </w:rPr>
      </w:pPr>
    </w:p>
    <w:p w14:paraId="71502BB0">
      <w:pPr>
        <w:pStyle w:val="17"/>
        <w:pageBreakBefore w:val="0"/>
        <w:tabs>
          <w:tab w:val="left" w:leader="middleDot" w:pos="9240"/>
        </w:tabs>
        <w:kinsoku/>
        <w:wordWrap/>
        <w:overflowPunct/>
        <w:topLinePunct w:val="0"/>
        <w:bidi w:val="0"/>
        <w:spacing w:line="340" w:lineRule="exact"/>
        <w:jc w:val="center"/>
        <w:rPr>
          <w:rFonts w:hint="eastAsia" w:hAnsi="宋体"/>
        </w:rPr>
      </w:pPr>
    </w:p>
    <w:p w14:paraId="6F32C672">
      <w:pPr>
        <w:pStyle w:val="17"/>
        <w:pageBreakBefore w:val="0"/>
        <w:tabs>
          <w:tab w:val="left" w:leader="middleDot" w:pos="9240"/>
        </w:tabs>
        <w:kinsoku/>
        <w:wordWrap/>
        <w:overflowPunct/>
        <w:topLinePunct w:val="0"/>
        <w:bidi w:val="0"/>
        <w:spacing w:line="360" w:lineRule="auto"/>
        <w:ind w:left="1789" w:leftChars="852"/>
        <w:jc w:val="left"/>
        <w:rPr>
          <w:rFonts w:hint="eastAsia" w:hAnsi="宋体"/>
          <w:sz w:val="30"/>
          <w:szCs w:val="30"/>
        </w:rPr>
      </w:pPr>
      <w:r>
        <w:rPr>
          <w:rFonts w:hint="eastAsia" w:hAnsi="宋体"/>
          <w:sz w:val="30"/>
          <w:szCs w:val="30"/>
        </w:rPr>
        <w:t>合同名称：</w:t>
      </w:r>
    </w:p>
    <w:p w14:paraId="56B4D8A6">
      <w:pPr>
        <w:rPr>
          <w:rFonts w:hint="eastAsia"/>
        </w:rPr>
      </w:pPr>
    </w:p>
    <w:p w14:paraId="57B3B221">
      <w:pPr>
        <w:pStyle w:val="17"/>
        <w:pageBreakBefore w:val="0"/>
        <w:tabs>
          <w:tab w:val="left" w:leader="middleDot" w:pos="9240"/>
        </w:tabs>
        <w:kinsoku/>
        <w:wordWrap/>
        <w:overflowPunct/>
        <w:topLinePunct w:val="0"/>
        <w:bidi w:val="0"/>
        <w:spacing w:line="360" w:lineRule="auto"/>
        <w:ind w:firstLine="1800" w:firstLineChars="600"/>
        <w:jc w:val="left"/>
        <w:rPr>
          <w:rFonts w:hint="eastAsia" w:hAnsi="宋体"/>
          <w:sz w:val="30"/>
          <w:szCs w:val="30"/>
        </w:rPr>
      </w:pPr>
      <w:r>
        <w:rPr>
          <w:rFonts w:hint="eastAsia" w:hAnsi="宋体"/>
          <w:sz w:val="30"/>
          <w:szCs w:val="30"/>
        </w:rPr>
        <w:t>合同编号：</w:t>
      </w:r>
    </w:p>
    <w:p w14:paraId="473C2048">
      <w:pPr>
        <w:rPr>
          <w:rFonts w:hint="eastAsia"/>
        </w:rPr>
      </w:pPr>
    </w:p>
    <w:p w14:paraId="6E05EB8B">
      <w:pPr>
        <w:pStyle w:val="17"/>
        <w:pageBreakBefore w:val="0"/>
        <w:tabs>
          <w:tab w:val="left" w:leader="middleDot" w:pos="9240"/>
        </w:tabs>
        <w:kinsoku/>
        <w:wordWrap/>
        <w:overflowPunct/>
        <w:topLinePunct w:val="0"/>
        <w:bidi w:val="0"/>
        <w:spacing w:line="360" w:lineRule="auto"/>
        <w:ind w:firstLine="1800" w:firstLineChars="600"/>
        <w:jc w:val="left"/>
        <w:rPr>
          <w:rFonts w:hint="eastAsia" w:hAnsi="宋体"/>
          <w:sz w:val="30"/>
          <w:szCs w:val="30"/>
        </w:rPr>
      </w:pPr>
      <w:r>
        <w:rPr>
          <w:rFonts w:hint="eastAsia" w:hAnsi="宋体"/>
          <w:sz w:val="30"/>
          <w:szCs w:val="30"/>
        </w:rPr>
        <w:t>甲    方：</w:t>
      </w:r>
    </w:p>
    <w:p w14:paraId="65AAE7E6">
      <w:pPr>
        <w:rPr>
          <w:rFonts w:hint="eastAsia"/>
        </w:rPr>
      </w:pPr>
    </w:p>
    <w:p w14:paraId="1008690E">
      <w:pPr>
        <w:pageBreakBefore w:val="0"/>
        <w:tabs>
          <w:tab w:val="left" w:leader="middleDot" w:pos="9240"/>
        </w:tabs>
        <w:kinsoku/>
        <w:wordWrap/>
        <w:overflowPunct/>
        <w:topLinePunct w:val="0"/>
        <w:autoSpaceDE w:val="0"/>
        <w:autoSpaceDN w:val="0"/>
        <w:bidi w:val="0"/>
        <w:spacing w:line="300" w:lineRule="auto"/>
        <w:ind w:left="752" w:leftChars="358" w:firstLine="1119" w:firstLineChars="373"/>
        <w:rPr>
          <w:rFonts w:hint="eastAsia" w:ascii="宋体" w:hAnsi="宋体"/>
          <w:sz w:val="30"/>
          <w:szCs w:val="30"/>
        </w:rPr>
      </w:pPr>
      <w:r>
        <w:rPr>
          <w:rFonts w:hint="eastAsia" w:hAnsi="宋体"/>
          <w:sz w:val="30"/>
          <w:szCs w:val="30"/>
        </w:rPr>
        <w:t>乙    方：</w:t>
      </w:r>
    </w:p>
    <w:p w14:paraId="6589B26B">
      <w:pPr>
        <w:pageBreakBefore w:val="0"/>
        <w:tabs>
          <w:tab w:val="left" w:leader="middleDot" w:pos="9240"/>
        </w:tabs>
        <w:kinsoku/>
        <w:wordWrap/>
        <w:overflowPunct/>
        <w:topLinePunct w:val="0"/>
        <w:autoSpaceDE w:val="0"/>
        <w:autoSpaceDN w:val="0"/>
        <w:bidi w:val="0"/>
        <w:spacing w:line="300" w:lineRule="auto"/>
        <w:ind w:left="480" w:hanging="480"/>
        <w:rPr>
          <w:rFonts w:hint="eastAsia" w:ascii="宋体" w:hAnsi="宋体"/>
          <w:szCs w:val="21"/>
        </w:rPr>
      </w:pPr>
    </w:p>
    <w:p w14:paraId="4867C4FC">
      <w:pPr>
        <w:pageBreakBefore w:val="0"/>
        <w:tabs>
          <w:tab w:val="left" w:leader="middleDot" w:pos="9240"/>
        </w:tabs>
        <w:kinsoku/>
        <w:wordWrap/>
        <w:overflowPunct/>
        <w:topLinePunct w:val="0"/>
        <w:autoSpaceDE w:val="0"/>
        <w:autoSpaceDN w:val="0"/>
        <w:bidi w:val="0"/>
        <w:spacing w:line="300" w:lineRule="auto"/>
        <w:ind w:left="480" w:hanging="480"/>
        <w:rPr>
          <w:rFonts w:hint="eastAsia" w:ascii="宋体" w:hAnsi="宋体"/>
          <w:szCs w:val="21"/>
        </w:rPr>
      </w:pPr>
    </w:p>
    <w:p w14:paraId="6A94F64B">
      <w:pPr>
        <w:pageBreakBefore w:val="0"/>
        <w:tabs>
          <w:tab w:val="left" w:leader="middleDot" w:pos="9240"/>
        </w:tabs>
        <w:kinsoku/>
        <w:wordWrap/>
        <w:overflowPunct/>
        <w:topLinePunct w:val="0"/>
        <w:autoSpaceDE w:val="0"/>
        <w:autoSpaceDN w:val="0"/>
        <w:bidi w:val="0"/>
        <w:spacing w:line="300" w:lineRule="auto"/>
        <w:ind w:left="480" w:hanging="480"/>
        <w:rPr>
          <w:rFonts w:hint="eastAsia" w:ascii="宋体" w:hAnsi="宋体"/>
          <w:szCs w:val="21"/>
        </w:rPr>
      </w:pPr>
    </w:p>
    <w:p w14:paraId="083D9CB5">
      <w:pPr>
        <w:pageBreakBefore w:val="0"/>
        <w:tabs>
          <w:tab w:val="left" w:leader="middleDot" w:pos="9240"/>
        </w:tabs>
        <w:kinsoku/>
        <w:wordWrap/>
        <w:overflowPunct/>
        <w:topLinePunct w:val="0"/>
        <w:bidi w:val="0"/>
        <w:rPr>
          <w:rFonts w:hint="eastAsia"/>
        </w:rPr>
      </w:pPr>
    </w:p>
    <w:p w14:paraId="43540DBE">
      <w:pPr>
        <w:pStyle w:val="53"/>
        <w:pageBreakBefore w:val="0"/>
        <w:tabs>
          <w:tab w:val="left" w:leader="middleDot" w:pos="9240"/>
        </w:tabs>
        <w:kinsoku/>
        <w:wordWrap/>
        <w:overflowPunct/>
        <w:topLinePunct w:val="0"/>
        <w:bidi w:val="0"/>
        <w:ind w:firstLine="480"/>
        <w:rPr>
          <w:rFonts w:hint="eastAsia"/>
        </w:rPr>
      </w:pPr>
    </w:p>
    <w:p w14:paraId="1CFB35A7">
      <w:pPr>
        <w:pStyle w:val="53"/>
        <w:pageBreakBefore w:val="0"/>
        <w:tabs>
          <w:tab w:val="left" w:leader="middleDot" w:pos="9240"/>
        </w:tabs>
        <w:kinsoku/>
        <w:wordWrap/>
        <w:overflowPunct/>
        <w:topLinePunct w:val="0"/>
        <w:bidi w:val="0"/>
        <w:ind w:firstLine="480"/>
        <w:rPr>
          <w:rFonts w:hint="eastAsia"/>
        </w:rPr>
      </w:pPr>
    </w:p>
    <w:p w14:paraId="14E1C488">
      <w:pPr>
        <w:pStyle w:val="53"/>
        <w:pageBreakBefore w:val="0"/>
        <w:tabs>
          <w:tab w:val="left" w:leader="middleDot" w:pos="9240"/>
        </w:tabs>
        <w:kinsoku/>
        <w:wordWrap/>
        <w:overflowPunct/>
        <w:topLinePunct w:val="0"/>
        <w:bidi w:val="0"/>
        <w:ind w:left="0" w:leftChars="0" w:firstLine="0" w:firstLineChars="0"/>
        <w:rPr>
          <w:rFonts w:hint="eastAsia"/>
        </w:rPr>
      </w:pPr>
      <w:r>
        <w:rPr>
          <w:rFonts w:hint="eastAsia"/>
        </w:rPr>
        <w:br w:type="page"/>
      </w:r>
    </w:p>
    <w:p w14:paraId="42940A0E">
      <w:pPr>
        <w:pStyle w:val="26"/>
        <w:keepNext w:val="0"/>
        <w:keepLines w:val="0"/>
        <w:pageBreakBefore w:val="0"/>
        <w:widowControl/>
        <w:numPr>
          <w:ilvl w:val="0"/>
          <w:numId w:val="0"/>
        </w:numPr>
        <w:suppressLineNumbers w:val="0"/>
        <w:tabs>
          <w:tab w:val="left" w:leader="middleDot" w:pos="9240"/>
        </w:tabs>
        <w:kinsoku/>
        <w:wordWrap/>
        <w:overflowPunct/>
        <w:topLinePunct w:val="0"/>
        <w:autoSpaceDE/>
        <w:autoSpaceDN/>
        <w:bidi w:val="0"/>
        <w:adjustRightInd/>
        <w:snapToGrid/>
        <w:spacing w:before="0" w:beforeAutospacing="0" w:after="0" w:afterAutospacing="0" w:line="800" w:lineRule="exact"/>
        <w:ind w:left="0" w:leftChars="0" w:right="0" w:rightChars="0" w:firstLine="0" w:firstLineChars="0"/>
        <w:jc w:val="center"/>
        <w:textAlignment w:val="auto"/>
        <w:rPr>
          <w:rFonts w:hint="eastAsia" w:ascii="宋体" w:hAnsi="宋体" w:eastAsia="宋体" w:cs="宋体"/>
          <w:i w:val="0"/>
          <w:iCs w:val="0"/>
          <w:caps w:val="0"/>
          <w:color w:val="000000"/>
          <w:spacing w:val="0"/>
          <w:kern w:val="0"/>
          <w:sz w:val="48"/>
          <w:szCs w:val="48"/>
          <w:lang w:val="en-US" w:eastAsia="zh-CN" w:bidi="ar"/>
        </w:rPr>
      </w:pPr>
      <w:r>
        <w:rPr>
          <w:rFonts w:hint="eastAsia" w:ascii="宋体" w:hAnsi="宋体" w:eastAsia="宋体" w:cs="宋体"/>
          <w:i w:val="0"/>
          <w:iCs w:val="0"/>
          <w:caps w:val="0"/>
          <w:color w:val="000000"/>
          <w:spacing w:val="0"/>
          <w:kern w:val="0"/>
          <w:sz w:val="48"/>
          <w:szCs w:val="48"/>
          <w:lang w:val="en-US" w:eastAsia="zh-CN" w:bidi="ar"/>
        </w:rPr>
        <w:t>合同目录</w:t>
      </w:r>
    </w:p>
    <w:p w14:paraId="30276205">
      <w:pPr>
        <w:pStyle w:val="26"/>
        <w:keepNext w:val="0"/>
        <w:keepLines w:val="0"/>
        <w:pageBreakBefore w:val="0"/>
        <w:widowControl/>
        <w:numPr>
          <w:ilvl w:val="0"/>
          <w:numId w:val="0"/>
        </w:numPr>
        <w:suppressLineNumbers w:val="0"/>
        <w:tabs>
          <w:tab w:val="left" w:leader="middleDot" w:pos="9240"/>
        </w:tabs>
        <w:kinsoku/>
        <w:wordWrap/>
        <w:overflowPunct/>
        <w:topLinePunct w:val="0"/>
        <w:autoSpaceDE/>
        <w:autoSpaceDN/>
        <w:bidi w:val="0"/>
        <w:adjustRightInd/>
        <w:snapToGrid/>
        <w:spacing w:before="0" w:beforeAutospacing="0" w:after="0" w:afterAutospacing="0" w:line="800" w:lineRule="exact"/>
        <w:ind w:left="0" w:leftChars="0" w:right="0" w:rightChars="0" w:firstLine="0" w:firstLineChars="0"/>
        <w:jc w:val="center"/>
        <w:textAlignment w:val="auto"/>
        <w:rPr>
          <w:rFonts w:hint="eastAsia" w:ascii="宋体" w:hAnsi="宋体" w:eastAsia="宋体" w:cs="宋体"/>
          <w:i w:val="0"/>
          <w:iCs w:val="0"/>
          <w:caps w:val="0"/>
          <w:color w:val="000000"/>
          <w:spacing w:val="0"/>
          <w:kern w:val="0"/>
          <w:sz w:val="48"/>
          <w:szCs w:val="48"/>
          <w:lang w:val="en-US" w:eastAsia="zh-CN" w:bidi="ar"/>
        </w:rPr>
      </w:pPr>
    </w:p>
    <w:p w14:paraId="4E213922">
      <w:pPr>
        <w:pStyle w:val="26"/>
        <w:keepNext w:val="0"/>
        <w:keepLines w:val="0"/>
        <w:pageBreakBefore w:val="0"/>
        <w:widowControl/>
        <w:numPr>
          <w:ilvl w:val="0"/>
          <w:numId w:val="0"/>
        </w:numPr>
        <w:suppressLineNumbers w:val="0"/>
        <w:tabs>
          <w:tab w:val="left" w:leader="middleDot" w:pos="8400"/>
          <w:tab w:val="left" w:leader="middleDot" w:pos="8820"/>
          <w:tab w:val="left" w:leader="middleDot" w:pos="9240"/>
          <w:tab w:val="left" w:leader="middleDot" w:pos="9660"/>
        </w:tabs>
        <w:kinsoku/>
        <w:wordWrap/>
        <w:overflowPunct/>
        <w:topLinePunct w:val="0"/>
        <w:autoSpaceDE/>
        <w:autoSpaceDN/>
        <w:bidi w:val="0"/>
        <w:adjustRightInd/>
        <w:snapToGrid/>
        <w:spacing w:before="0" w:beforeAutospacing="0" w:after="0" w:afterAutospacing="0" w:line="720" w:lineRule="auto"/>
        <w:ind w:left="0" w:leftChars="0" w:right="0" w:rightChars="0" w:firstLine="280" w:firstLineChars="100"/>
        <w:textAlignment w:val="auto"/>
        <w:rPr>
          <w:rFonts w:hint="eastAsia" w:ascii="宋体" w:hAnsi="宋体" w:eastAsia="宋体" w:cs="宋体"/>
          <w:i w:val="0"/>
          <w:iCs w:val="0"/>
          <w:caps w:val="0"/>
          <w:color w:val="000000"/>
          <w:spacing w:val="0"/>
          <w:sz w:val="28"/>
          <w:szCs w:val="28"/>
          <w:lang w:val="en-US" w:eastAsia="zh-CN"/>
        </w:rPr>
      </w:pPr>
      <w:r>
        <w:rPr>
          <w:rFonts w:hint="eastAsia" w:ascii="宋体" w:hAnsi="宋体" w:eastAsia="宋体" w:cs="宋体"/>
          <w:i w:val="0"/>
          <w:iCs w:val="0"/>
          <w:caps w:val="0"/>
          <w:color w:val="000000"/>
          <w:spacing w:val="0"/>
          <w:sz w:val="28"/>
          <w:szCs w:val="28"/>
          <w:lang w:eastAsia="zh-CN"/>
        </w:rPr>
        <w:t>一、</w:t>
      </w:r>
      <w:r>
        <w:rPr>
          <w:rFonts w:hint="eastAsia" w:ascii="宋体" w:hAnsi="宋体" w:eastAsia="宋体" w:cs="宋体"/>
          <w:i w:val="0"/>
          <w:iCs w:val="0"/>
          <w:caps w:val="0"/>
          <w:color w:val="000000"/>
          <w:spacing w:val="0"/>
          <w:sz w:val="28"/>
          <w:szCs w:val="28"/>
        </w:rPr>
        <w:t>合同文本主体</w:t>
      </w:r>
      <w:r>
        <w:rPr>
          <w:rFonts w:hint="eastAsia" w:ascii="宋体" w:hAnsi="宋体" w:eastAsia="宋体" w:cs="宋体"/>
          <w:i w:val="0"/>
          <w:iCs w:val="0"/>
          <w:caps w:val="0"/>
          <w:color w:val="000000"/>
          <w:spacing w:val="0"/>
          <w:sz w:val="28"/>
          <w:szCs w:val="28"/>
          <w:lang w:val="en-US" w:eastAsia="zh-CN"/>
        </w:rPr>
        <w:tab/>
      </w:r>
      <w:r>
        <w:rPr>
          <w:rFonts w:hint="eastAsia" w:ascii="宋体" w:hAnsi="宋体" w:eastAsia="宋体" w:cs="宋体"/>
          <w:i w:val="0"/>
          <w:iCs w:val="0"/>
          <w:caps w:val="0"/>
          <w:color w:val="000000"/>
          <w:spacing w:val="0"/>
          <w:sz w:val="28"/>
          <w:szCs w:val="28"/>
          <w:lang w:val="en-US" w:eastAsia="zh-CN"/>
        </w:rPr>
        <w:t xml:space="preserve">3 </w:t>
      </w:r>
    </w:p>
    <w:p w14:paraId="6E33A691">
      <w:pPr>
        <w:pStyle w:val="26"/>
        <w:keepNext w:val="0"/>
        <w:keepLines w:val="0"/>
        <w:pageBreakBefore w:val="0"/>
        <w:widowControl/>
        <w:numPr>
          <w:ilvl w:val="0"/>
          <w:numId w:val="0"/>
        </w:numPr>
        <w:suppressLineNumbers w:val="0"/>
        <w:tabs>
          <w:tab w:val="left" w:leader="middleDot" w:pos="8400"/>
          <w:tab w:val="left" w:leader="middleDot" w:pos="8610"/>
        </w:tabs>
        <w:kinsoku/>
        <w:wordWrap/>
        <w:overflowPunct/>
        <w:topLinePunct w:val="0"/>
        <w:autoSpaceDE/>
        <w:autoSpaceDN/>
        <w:bidi w:val="0"/>
        <w:adjustRightInd/>
        <w:snapToGrid/>
        <w:spacing w:before="0" w:beforeAutospacing="0" w:after="0" w:afterAutospacing="0" w:line="800" w:lineRule="exact"/>
        <w:ind w:left="0" w:leftChars="0" w:right="0" w:rightChars="0" w:firstLine="280" w:firstLineChars="100"/>
        <w:textAlignment w:val="auto"/>
        <w:rPr>
          <w:rFonts w:hint="eastAsia" w:ascii="宋体" w:hAnsi="宋体" w:eastAsia="宋体" w:cs="宋体"/>
          <w:i w:val="0"/>
          <w:iCs w:val="0"/>
          <w:caps w:val="0"/>
          <w:color w:val="000000"/>
          <w:spacing w:val="0"/>
          <w:sz w:val="28"/>
          <w:szCs w:val="28"/>
          <w:lang w:val="en-US" w:eastAsia="zh-CN"/>
        </w:rPr>
      </w:pPr>
      <w:r>
        <w:rPr>
          <w:rFonts w:hint="eastAsia" w:ascii="宋体" w:hAnsi="宋体" w:cs="宋体"/>
          <w:i w:val="0"/>
          <w:iCs w:val="0"/>
          <w:caps w:val="0"/>
          <w:color w:val="000000"/>
          <w:spacing w:val="0"/>
          <w:sz w:val="28"/>
          <w:szCs w:val="28"/>
          <w:lang w:eastAsia="zh-CN"/>
        </w:rPr>
        <w:t>二、合同附件：</w:t>
      </w:r>
    </w:p>
    <w:p w14:paraId="4CC747D3">
      <w:pPr>
        <w:pStyle w:val="26"/>
        <w:keepNext w:val="0"/>
        <w:keepLines w:val="0"/>
        <w:pageBreakBefore w:val="0"/>
        <w:widowControl/>
        <w:numPr>
          <w:ilvl w:val="0"/>
          <w:numId w:val="0"/>
        </w:numPr>
        <w:suppressLineNumbers w:val="0"/>
        <w:tabs>
          <w:tab w:val="left" w:leader="middleDot" w:pos="8400"/>
          <w:tab w:val="left" w:leader="middleDot" w:pos="8820"/>
          <w:tab w:val="left" w:leader="middleDot" w:pos="9240"/>
          <w:tab w:val="left" w:leader="middleDot" w:pos="9660"/>
        </w:tabs>
        <w:kinsoku/>
        <w:wordWrap/>
        <w:overflowPunct/>
        <w:topLinePunct w:val="0"/>
        <w:autoSpaceDE/>
        <w:autoSpaceDN/>
        <w:bidi w:val="0"/>
        <w:adjustRightInd/>
        <w:snapToGrid/>
        <w:spacing w:before="0" w:beforeAutospacing="0" w:after="0" w:afterAutospacing="0" w:line="720" w:lineRule="auto"/>
        <w:ind w:left="0" w:leftChars="0" w:right="0" w:rightChars="0" w:firstLine="0" w:firstLineChars="0"/>
        <w:textAlignment w:val="auto"/>
        <w:rPr>
          <w:rFonts w:hint="eastAsia" w:ascii="宋体" w:hAnsi="宋体" w:eastAsia="宋体" w:cs="宋体"/>
          <w:i w:val="0"/>
          <w:iCs w:val="0"/>
          <w:caps w:val="0"/>
          <w:color w:val="000000"/>
          <w:spacing w:val="0"/>
          <w:sz w:val="28"/>
          <w:szCs w:val="28"/>
        </w:rPr>
      </w:pPr>
      <w:r>
        <w:rPr>
          <w:rFonts w:hint="eastAsia" w:ascii="宋体" w:hAnsi="宋体" w:eastAsia="宋体" w:cs="宋体"/>
          <w:i w:val="0"/>
          <w:iCs w:val="0"/>
          <w:caps w:val="0"/>
          <w:color w:val="000000"/>
          <w:spacing w:val="0"/>
          <w:kern w:val="0"/>
          <w:sz w:val="28"/>
          <w:szCs w:val="28"/>
          <w:lang w:val="en-US" w:eastAsia="zh-CN" w:bidi="ar"/>
        </w:rPr>
        <w:t>（1）</w:t>
      </w:r>
      <w:r>
        <w:rPr>
          <w:rFonts w:hint="eastAsia" w:ascii="宋体" w:hAnsi="宋体" w:eastAsia="宋体" w:cs="宋体"/>
          <w:i w:val="0"/>
          <w:iCs w:val="0"/>
          <w:caps w:val="0"/>
          <w:color w:val="000000"/>
          <w:spacing w:val="0"/>
          <w:sz w:val="28"/>
          <w:szCs w:val="28"/>
          <w:lang w:eastAsia="zh-CN"/>
        </w:rPr>
        <w:t>采购需求</w:t>
      </w:r>
      <w:r>
        <w:rPr>
          <w:rFonts w:hint="eastAsia" w:ascii="宋体" w:hAnsi="宋体" w:eastAsia="宋体" w:cs="宋体"/>
          <w:i w:val="0"/>
          <w:iCs w:val="0"/>
          <w:caps w:val="0"/>
          <w:color w:val="000000"/>
          <w:spacing w:val="0"/>
          <w:sz w:val="28"/>
          <w:szCs w:val="28"/>
          <w:lang w:val="en-US" w:eastAsia="zh-CN"/>
        </w:rPr>
        <w:tab/>
      </w:r>
      <w:r>
        <w:rPr>
          <w:rFonts w:hint="eastAsia" w:ascii="宋体" w:hAnsi="宋体" w:eastAsia="宋体" w:cs="宋体"/>
          <w:i w:val="0"/>
          <w:iCs w:val="0"/>
          <w:caps w:val="0"/>
          <w:color w:val="000000"/>
          <w:spacing w:val="0"/>
          <w:sz w:val="28"/>
          <w:szCs w:val="28"/>
          <w:lang w:val="en-US" w:eastAsia="zh-CN"/>
        </w:rPr>
        <w:t xml:space="preserve">9 </w:t>
      </w:r>
      <w:r>
        <w:rPr>
          <w:rFonts w:hint="eastAsia" w:ascii="宋体" w:hAnsi="宋体" w:eastAsia="宋体" w:cs="宋体"/>
          <w:i w:val="0"/>
          <w:iCs w:val="0"/>
          <w:caps w:val="0"/>
          <w:color w:val="000000"/>
          <w:spacing w:val="0"/>
          <w:sz w:val="28"/>
          <w:szCs w:val="28"/>
        </w:rPr>
        <w:br w:type="textWrapping"/>
      </w:r>
      <w:r>
        <w:rPr>
          <w:rFonts w:hint="eastAsia" w:ascii="宋体" w:hAnsi="宋体" w:eastAsia="宋体" w:cs="宋体"/>
          <w:i w:val="0"/>
          <w:iCs w:val="0"/>
          <w:caps w:val="0"/>
          <w:color w:val="000000"/>
          <w:spacing w:val="0"/>
          <w:sz w:val="28"/>
          <w:szCs w:val="28"/>
        </w:rPr>
        <w:t>（</w:t>
      </w:r>
      <w:r>
        <w:rPr>
          <w:rFonts w:hint="eastAsia" w:ascii="宋体" w:hAnsi="宋体" w:eastAsia="宋体" w:cs="宋体"/>
          <w:i w:val="0"/>
          <w:iCs w:val="0"/>
          <w:caps w:val="0"/>
          <w:color w:val="000000"/>
          <w:spacing w:val="0"/>
          <w:sz w:val="28"/>
          <w:szCs w:val="28"/>
          <w:lang w:val="en-US" w:eastAsia="zh-CN"/>
        </w:rPr>
        <w:t>2</w:t>
      </w:r>
      <w:r>
        <w:rPr>
          <w:rFonts w:hint="eastAsia" w:ascii="宋体" w:hAnsi="宋体" w:eastAsia="宋体" w:cs="宋体"/>
          <w:i w:val="0"/>
          <w:iCs w:val="0"/>
          <w:caps w:val="0"/>
          <w:color w:val="000000"/>
          <w:spacing w:val="0"/>
          <w:sz w:val="28"/>
          <w:szCs w:val="28"/>
        </w:rPr>
        <w:t>）最终报价明细清单</w:t>
      </w:r>
      <w:r>
        <w:rPr>
          <w:rFonts w:hint="eastAsia" w:ascii="宋体" w:hAnsi="宋体" w:eastAsia="宋体" w:cs="宋体"/>
          <w:i w:val="0"/>
          <w:iCs w:val="0"/>
          <w:caps w:val="0"/>
          <w:color w:val="000000"/>
          <w:spacing w:val="0"/>
          <w:sz w:val="28"/>
          <w:szCs w:val="28"/>
          <w:lang w:val="en-US" w:eastAsia="zh-CN"/>
        </w:rPr>
        <w:tab/>
      </w:r>
      <w:r>
        <w:rPr>
          <w:rFonts w:hint="eastAsia" w:ascii="宋体" w:hAnsi="宋体" w:eastAsia="宋体" w:cs="宋体"/>
          <w:i w:val="0"/>
          <w:iCs w:val="0"/>
          <w:caps w:val="0"/>
          <w:color w:val="000000"/>
          <w:spacing w:val="0"/>
          <w:sz w:val="28"/>
          <w:szCs w:val="28"/>
          <w:lang w:val="en-US" w:eastAsia="zh-CN"/>
        </w:rPr>
        <w:t xml:space="preserve"> </w:t>
      </w:r>
      <w:r>
        <w:rPr>
          <w:rFonts w:hint="eastAsia" w:ascii="宋体" w:hAnsi="宋体" w:eastAsia="宋体" w:cs="宋体"/>
          <w:i w:val="0"/>
          <w:iCs w:val="0"/>
          <w:caps w:val="0"/>
          <w:color w:val="000000"/>
          <w:spacing w:val="0"/>
          <w:sz w:val="28"/>
          <w:szCs w:val="28"/>
        </w:rPr>
        <w:br w:type="textWrapping"/>
      </w:r>
      <w:r>
        <w:rPr>
          <w:rFonts w:hint="eastAsia" w:ascii="宋体" w:hAnsi="宋体" w:eastAsia="宋体" w:cs="宋体"/>
          <w:i w:val="0"/>
          <w:iCs w:val="0"/>
          <w:caps w:val="0"/>
          <w:color w:val="000000"/>
          <w:spacing w:val="0"/>
          <w:sz w:val="28"/>
          <w:szCs w:val="28"/>
        </w:rPr>
        <w:t>（</w:t>
      </w:r>
      <w:r>
        <w:rPr>
          <w:rFonts w:hint="eastAsia" w:ascii="宋体" w:hAnsi="宋体" w:eastAsia="宋体" w:cs="宋体"/>
          <w:i w:val="0"/>
          <w:iCs w:val="0"/>
          <w:caps w:val="0"/>
          <w:color w:val="000000"/>
          <w:spacing w:val="0"/>
          <w:sz w:val="28"/>
          <w:szCs w:val="28"/>
          <w:lang w:val="en-US" w:eastAsia="zh-CN"/>
        </w:rPr>
        <w:t>3</w:t>
      </w:r>
      <w:r>
        <w:rPr>
          <w:rFonts w:hint="eastAsia" w:ascii="宋体" w:hAnsi="宋体" w:eastAsia="宋体" w:cs="宋体"/>
          <w:i w:val="0"/>
          <w:iCs w:val="0"/>
          <w:caps w:val="0"/>
          <w:color w:val="000000"/>
          <w:spacing w:val="0"/>
          <w:sz w:val="28"/>
          <w:szCs w:val="28"/>
        </w:rPr>
        <w:t>）技术和商务响应、偏离情况说明表</w:t>
      </w:r>
      <w:r>
        <w:rPr>
          <w:rFonts w:hint="eastAsia" w:ascii="宋体" w:hAnsi="宋体" w:eastAsia="宋体" w:cs="宋体"/>
          <w:i w:val="0"/>
          <w:iCs w:val="0"/>
          <w:caps w:val="0"/>
          <w:color w:val="000000"/>
          <w:spacing w:val="0"/>
          <w:sz w:val="28"/>
          <w:szCs w:val="28"/>
          <w:lang w:val="en-US" w:eastAsia="zh-CN"/>
        </w:rPr>
        <w:tab/>
      </w:r>
      <w:r>
        <w:rPr>
          <w:rFonts w:hint="eastAsia" w:ascii="宋体" w:hAnsi="宋体" w:eastAsia="宋体" w:cs="宋体"/>
          <w:i w:val="0"/>
          <w:iCs w:val="0"/>
          <w:caps w:val="0"/>
          <w:color w:val="000000"/>
          <w:spacing w:val="0"/>
          <w:sz w:val="28"/>
          <w:szCs w:val="28"/>
          <w:lang w:val="en-US" w:eastAsia="zh-CN"/>
        </w:rPr>
        <w:t xml:space="preserve"> </w:t>
      </w:r>
    </w:p>
    <w:p w14:paraId="21D67DFF">
      <w:pPr>
        <w:pStyle w:val="26"/>
        <w:keepNext w:val="0"/>
        <w:keepLines w:val="0"/>
        <w:pageBreakBefore w:val="0"/>
        <w:widowControl/>
        <w:numPr>
          <w:ilvl w:val="0"/>
          <w:numId w:val="0"/>
        </w:numPr>
        <w:suppressLineNumbers w:val="0"/>
        <w:tabs>
          <w:tab w:val="left" w:leader="middleDot" w:pos="8400"/>
          <w:tab w:val="left" w:leader="middleDot" w:pos="8820"/>
          <w:tab w:val="left" w:leader="middleDot" w:pos="9240"/>
          <w:tab w:val="left" w:leader="middleDot" w:pos="9660"/>
        </w:tabs>
        <w:kinsoku/>
        <w:wordWrap/>
        <w:overflowPunct/>
        <w:topLinePunct w:val="0"/>
        <w:autoSpaceDE/>
        <w:autoSpaceDN/>
        <w:bidi w:val="0"/>
        <w:adjustRightInd/>
        <w:snapToGrid/>
        <w:spacing w:before="0" w:beforeAutospacing="0" w:after="0" w:afterAutospacing="0" w:line="720" w:lineRule="auto"/>
        <w:ind w:leftChars="0" w:right="0" w:rightChars="0"/>
        <w:textAlignment w:val="auto"/>
        <w:rPr>
          <w:rFonts w:hint="eastAsia" w:ascii="宋体" w:hAnsi="宋体" w:eastAsia="宋体" w:cs="宋体"/>
          <w:i w:val="0"/>
          <w:iCs w:val="0"/>
          <w:caps w:val="0"/>
          <w:color w:val="000000"/>
          <w:spacing w:val="0"/>
          <w:sz w:val="28"/>
          <w:szCs w:val="28"/>
        </w:rPr>
      </w:pPr>
      <w:r>
        <w:rPr>
          <w:rFonts w:hint="eastAsia" w:ascii="宋体" w:hAnsi="宋体" w:eastAsia="宋体" w:cs="宋体"/>
          <w:i w:val="0"/>
          <w:iCs w:val="0"/>
          <w:caps w:val="0"/>
          <w:color w:val="000000"/>
          <w:spacing w:val="0"/>
          <w:sz w:val="28"/>
          <w:szCs w:val="28"/>
        </w:rPr>
        <w:t>（</w:t>
      </w:r>
      <w:r>
        <w:rPr>
          <w:rFonts w:hint="eastAsia" w:ascii="宋体" w:hAnsi="宋体" w:eastAsia="宋体" w:cs="宋体"/>
          <w:i w:val="0"/>
          <w:iCs w:val="0"/>
          <w:caps w:val="0"/>
          <w:color w:val="000000"/>
          <w:spacing w:val="0"/>
          <w:sz w:val="28"/>
          <w:szCs w:val="28"/>
          <w:lang w:val="en-US" w:eastAsia="zh-CN"/>
        </w:rPr>
        <w:t>4</w:t>
      </w:r>
      <w:r>
        <w:rPr>
          <w:rFonts w:hint="eastAsia" w:ascii="宋体" w:hAnsi="宋体" w:eastAsia="宋体" w:cs="宋体"/>
          <w:i w:val="0"/>
          <w:iCs w:val="0"/>
          <w:caps w:val="0"/>
          <w:color w:val="000000"/>
          <w:spacing w:val="0"/>
          <w:sz w:val="28"/>
          <w:szCs w:val="28"/>
        </w:rPr>
        <w:t>）</w:t>
      </w:r>
      <w:r>
        <w:rPr>
          <w:rFonts w:hint="eastAsia" w:ascii="宋体" w:hAnsi="宋体" w:eastAsia="宋体" w:cs="宋体"/>
          <w:i w:val="0"/>
          <w:iCs w:val="0"/>
          <w:caps w:val="0"/>
          <w:color w:val="000000"/>
          <w:spacing w:val="0"/>
          <w:sz w:val="28"/>
          <w:szCs w:val="28"/>
          <w:lang w:eastAsia="zh-CN"/>
        </w:rPr>
        <w:t>售后</w:t>
      </w:r>
      <w:r>
        <w:rPr>
          <w:rFonts w:hint="eastAsia" w:ascii="宋体" w:hAnsi="宋体" w:eastAsia="宋体" w:cs="宋体"/>
          <w:i w:val="0"/>
          <w:iCs w:val="0"/>
          <w:caps w:val="0"/>
          <w:color w:val="000000"/>
          <w:spacing w:val="0"/>
          <w:sz w:val="28"/>
          <w:szCs w:val="28"/>
        </w:rPr>
        <w:t>承诺书</w:t>
      </w:r>
      <w:r>
        <w:rPr>
          <w:rFonts w:hint="eastAsia" w:ascii="宋体" w:hAnsi="宋体" w:eastAsia="宋体" w:cs="宋体"/>
          <w:i w:val="0"/>
          <w:iCs w:val="0"/>
          <w:caps w:val="0"/>
          <w:color w:val="000000"/>
          <w:spacing w:val="0"/>
          <w:sz w:val="28"/>
          <w:szCs w:val="28"/>
          <w:lang w:val="en-US" w:eastAsia="zh-CN"/>
        </w:rPr>
        <w:tab/>
      </w:r>
      <w:r>
        <w:rPr>
          <w:rFonts w:hint="eastAsia" w:ascii="宋体" w:hAnsi="宋体" w:eastAsia="宋体" w:cs="宋体"/>
          <w:i w:val="0"/>
          <w:iCs w:val="0"/>
          <w:caps w:val="0"/>
          <w:color w:val="000000"/>
          <w:spacing w:val="0"/>
          <w:sz w:val="28"/>
          <w:szCs w:val="28"/>
          <w:lang w:val="en-US" w:eastAsia="zh-CN"/>
        </w:rPr>
        <w:t xml:space="preserve"> </w:t>
      </w:r>
    </w:p>
    <w:p w14:paraId="622994AA">
      <w:pPr>
        <w:pStyle w:val="26"/>
        <w:keepNext w:val="0"/>
        <w:keepLines w:val="0"/>
        <w:pageBreakBefore w:val="0"/>
        <w:widowControl/>
        <w:numPr>
          <w:ilvl w:val="0"/>
          <w:numId w:val="0"/>
        </w:numPr>
        <w:suppressLineNumbers w:val="0"/>
        <w:tabs>
          <w:tab w:val="left" w:leader="middleDot" w:pos="8400"/>
          <w:tab w:val="left" w:leader="middleDot" w:pos="8820"/>
          <w:tab w:val="left" w:leader="middleDot" w:pos="9240"/>
          <w:tab w:val="left" w:leader="middleDot" w:pos="9660"/>
        </w:tabs>
        <w:kinsoku/>
        <w:wordWrap/>
        <w:overflowPunct/>
        <w:topLinePunct w:val="0"/>
        <w:autoSpaceDE/>
        <w:autoSpaceDN/>
        <w:bidi w:val="0"/>
        <w:adjustRightInd/>
        <w:snapToGrid/>
        <w:spacing w:before="0" w:beforeAutospacing="0" w:after="0" w:afterAutospacing="0" w:line="720" w:lineRule="auto"/>
        <w:ind w:leftChars="0" w:right="0" w:rightChars="0"/>
        <w:textAlignment w:val="auto"/>
        <w:rPr>
          <w:rFonts w:hint="eastAsia" w:ascii="宋体" w:hAnsi="宋体" w:eastAsia="宋体" w:cs="宋体"/>
          <w:i w:val="0"/>
          <w:iCs w:val="0"/>
          <w:caps w:val="0"/>
          <w:color w:val="000000"/>
          <w:spacing w:val="0"/>
          <w:sz w:val="28"/>
          <w:szCs w:val="28"/>
        </w:rPr>
      </w:pPr>
      <w:r>
        <w:rPr>
          <w:rFonts w:hint="eastAsia" w:ascii="宋体" w:hAnsi="宋体" w:eastAsia="宋体" w:cs="宋体"/>
          <w:i w:val="0"/>
          <w:iCs w:val="0"/>
          <w:caps w:val="0"/>
          <w:color w:val="000000"/>
          <w:spacing w:val="0"/>
          <w:sz w:val="28"/>
          <w:szCs w:val="28"/>
        </w:rPr>
        <w:t>（</w:t>
      </w:r>
      <w:r>
        <w:rPr>
          <w:rFonts w:hint="eastAsia" w:ascii="宋体" w:hAnsi="宋体" w:eastAsia="宋体" w:cs="宋体"/>
          <w:i w:val="0"/>
          <w:iCs w:val="0"/>
          <w:caps w:val="0"/>
          <w:color w:val="000000"/>
          <w:spacing w:val="0"/>
          <w:sz w:val="28"/>
          <w:szCs w:val="28"/>
          <w:lang w:val="en-US" w:eastAsia="zh-CN"/>
        </w:rPr>
        <w:t>5</w:t>
      </w:r>
      <w:r>
        <w:rPr>
          <w:rFonts w:hint="eastAsia" w:ascii="宋体" w:hAnsi="宋体" w:eastAsia="宋体" w:cs="宋体"/>
          <w:i w:val="0"/>
          <w:iCs w:val="0"/>
          <w:caps w:val="0"/>
          <w:color w:val="000000"/>
          <w:spacing w:val="0"/>
          <w:sz w:val="28"/>
          <w:szCs w:val="28"/>
        </w:rPr>
        <w:t>）成交通知书</w:t>
      </w:r>
      <w:r>
        <w:rPr>
          <w:rFonts w:hint="eastAsia" w:ascii="宋体" w:hAnsi="宋体" w:eastAsia="宋体" w:cs="宋体"/>
          <w:i w:val="0"/>
          <w:iCs w:val="0"/>
          <w:caps w:val="0"/>
          <w:color w:val="000000"/>
          <w:spacing w:val="0"/>
          <w:sz w:val="28"/>
          <w:szCs w:val="28"/>
          <w:lang w:val="en-US" w:eastAsia="zh-CN"/>
        </w:rPr>
        <w:tab/>
      </w:r>
      <w:r>
        <w:rPr>
          <w:rFonts w:hint="eastAsia" w:ascii="宋体" w:hAnsi="宋体" w:eastAsia="宋体" w:cs="宋体"/>
          <w:i w:val="0"/>
          <w:iCs w:val="0"/>
          <w:caps w:val="0"/>
          <w:color w:val="000000"/>
          <w:spacing w:val="0"/>
          <w:sz w:val="28"/>
          <w:szCs w:val="28"/>
          <w:lang w:val="en-US" w:eastAsia="zh-CN"/>
        </w:rPr>
        <w:t xml:space="preserve"> </w:t>
      </w:r>
      <w:r>
        <w:rPr>
          <w:rFonts w:hint="eastAsia" w:ascii="宋体" w:hAnsi="宋体" w:eastAsia="宋体" w:cs="宋体"/>
          <w:i w:val="0"/>
          <w:iCs w:val="0"/>
          <w:caps w:val="0"/>
          <w:color w:val="000000"/>
          <w:spacing w:val="0"/>
          <w:sz w:val="28"/>
          <w:szCs w:val="28"/>
        </w:rPr>
        <w:br w:type="textWrapping"/>
      </w:r>
      <w:r>
        <w:rPr>
          <w:rFonts w:hint="eastAsia" w:ascii="宋体" w:hAnsi="宋体" w:eastAsia="宋体" w:cs="宋体"/>
          <w:i w:val="0"/>
          <w:iCs w:val="0"/>
          <w:caps w:val="0"/>
          <w:color w:val="000000"/>
          <w:spacing w:val="0"/>
          <w:sz w:val="28"/>
          <w:szCs w:val="28"/>
        </w:rPr>
        <w:t>（</w:t>
      </w:r>
      <w:r>
        <w:rPr>
          <w:rFonts w:hint="eastAsia" w:ascii="宋体" w:hAnsi="宋体" w:eastAsia="宋体" w:cs="宋体"/>
          <w:i w:val="0"/>
          <w:iCs w:val="0"/>
          <w:caps w:val="0"/>
          <w:color w:val="000000"/>
          <w:spacing w:val="0"/>
          <w:sz w:val="28"/>
          <w:szCs w:val="28"/>
          <w:lang w:val="en-US" w:eastAsia="zh-CN"/>
        </w:rPr>
        <w:t>6</w:t>
      </w:r>
      <w:r>
        <w:rPr>
          <w:rFonts w:hint="eastAsia" w:ascii="宋体" w:hAnsi="宋体" w:eastAsia="宋体" w:cs="宋体"/>
          <w:i w:val="0"/>
          <w:iCs w:val="0"/>
          <w:caps w:val="0"/>
          <w:color w:val="000000"/>
          <w:spacing w:val="0"/>
          <w:sz w:val="28"/>
          <w:szCs w:val="28"/>
        </w:rPr>
        <w:t>）廉洁协议书</w:t>
      </w:r>
      <w:r>
        <w:rPr>
          <w:rFonts w:hint="eastAsia" w:ascii="宋体" w:hAnsi="宋体" w:eastAsia="宋体" w:cs="宋体"/>
          <w:i w:val="0"/>
          <w:iCs w:val="0"/>
          <w:caps w:val="0"/>
          <w:color w:val="000000"/>
          <w:spacing w:val="0"/>
          <w:sz w:val="28"/>
          <w:szCs w:val="28"/>
          <w:lang w:val="en-US" w:eastAsia="zh-CN"/>
        </w:rPr>
        <w:tab/>
      </w:r>
      <w:r>
        <w:rPr>
          <w:rFonts w:hint="eastAsia" w:ascii="宋体" w:hAnsi="宋体" w:eastAsia="宋体" w:cs="宋体"/>
          <w:i w:val="0"/>
          <w:iCs w:val="0"/>
          <w:caps w:val="0"/>
          <w:color w:val="000000"/>
          <w:spacing w:val="0"/>
          <w:sz w:val="28"/>
          <w:szCs w:val="28"/>
          <w:lang w:val="en-US" w:eastAsia="zh-CN"/>
        </w:rPr>
        <w:t xml:space="preserve"> </w:t>
      </w:r>
    </w:p>
    <w:p w14:paraId="5E1CAE97">
      <w:pPr>
        <w:keepNext w:val="0"/>
        <w:keepLines w:val="0"/>
        <w:pageBreakBefore w:val="0"/>
        <w:widowControl/>
        <w:suppressLineNumbers w:val="0"/>
        <w:tabs>
          <w:tab w:val="left" w:leader="middleDot" w:pos="8400"/>
          <w:tab w:val="left" w:leader="middleDot" w:pos="8820"/>
          <w:tab w:val="left" w:leader="middleDot" w:pos="9240"/>
          <w:tab w:val="left" w:leader="middleDot" w:pos="9660"/>
        </w:tabs>
        <w:kinsoku/>
        <w:wordWrap/>
        <w:overflowPunct/>
        <w:topLinePunct w:val="0"/>
        <w:autoSpaceDE/>
        <w:autoSpaceDN/>
        <w:bidi w:val="0"/>
        <w:adjustRightInd/>
        <w:snapToGrid/>
        <w:spacing w:line="720" w:lineRule="auto"/>
        <w:ind w:left="0" w:firstLine="0"/>
        <w:jc w:val="left"/>
        <w:textAlignment w:val="auto"/>
        <w:rPr>
          <w:rFonts w:hint="eastAsia" w:ascii="宋体" w:hAnsi="宋体" w:eastAsia="宋体" w:cs="宋体"/>
          <w:i w:val="0"/>
          <w:iCs w:val="0"/>
          <w:caps w:val="0"/>
          <w:color w:val="000000"/>
          <w:spacing w:val="0"/>
          <w:kern w:val="0"/>
          <w:sz w:val="28"/>
          <w:szCs w:val="28"/>
          <w:lang w:val="en-US" w:eastAsia="zh-CN" w:bidi="ar"/>
        </w:rPr>
      </w:pPr>
      <w:r>
        <w:rPr>
          <w:rFonts w:hint="eastAsia" w:ascii="宋体" w:hAnsi="宋体" w:eastAsia="宋体" w:cs="宋体"/>
          <w:i w:val="0"/>
          <w:iCs w:val="0"/>
          <w:caps w:val="0"/>
          <w:color w:val="000000"/>
          <w:spacing w:val="0"/>
          <w:kern w:val="0"/>
          <w:sz w:val="28"/>
          <w:szCs w:val="28"/>
          <w:lang w:val="en-US" w:eastAsia="zh-CN" w:bidi="ar"/>
        </w:rPr>
        <w:t>（7）经办人身份证复印件及联系方式</w:t>
      </w:r>
      <w:r>
        <w:rPr>
          <w:rFonts w:hint="eastAsia" w:ascii="宋体" w:hAnsi="宋体" w:eastAsia="宋体" w:cs="宋体"/>
          <w:i w:val="0"/>
          <w:iCs w:val="0"/>
          <w:caps w:val="0"/>
          <w:color w:val="000000"/>
          <w:spacing w:val="0"/>
          <w:sz w:val="28"/>
          <w:szCs w:val="28"/>
          <w:lang w:val="en-US" w:eastAsia="zh-CN"/>
        </w:rPr>
        <w:tab/>
      </w:r>
      <w:r>
        <w:rPr>
          <w:rFonts w:hint="eastAsia" w:ascii="宋体" w:hAnsi="宋体" w:eastAsia="宋体" w:cs="宋体"/>
          <w:i w:val="0"/>
          <w:iCs w:val="0"/>
          <w:caps w:val="0"/>
          <w:color w:val="000000"/>
          <w:spacing w:val="0"/>
          <w:sz w:val="28"/>
          <w:szCs w:val="28"/>
          <w:lang w:val="en-US" w:eastAsia="zh-CN"/>
        </w:rPr>
        <w:t xml:space="preserve"> </w:t>
      </w:r>
    </w:p>
    <w:p w14:paraId="4D3CEB8B">
      <w:pPr>
        <w:pStyle w:val="17"/>
        <w:pageBreakBefore w:val="0"/>
        <w:tabs>
          <w:tab w:val="left" w:leader="middleDot" w:pos="9240"/>
        </w:tabs>
        <w:kinsoku/>
        <w:wordWrap/>
        <w:overflowPunct/>
        <w:topLinePunct w:val="0"/>
        <w:bidi w:val="0"/>
        <w:spacing w:line="360" w:lineRule="exact"/>
        <w:rPr>
          <w:rFonts w:hint="eastAsia" w:ascii="宋体" w:hAnsi="宋体" w:eastAsia="宋体" w:cs="宋体"/>
          <w:color w:val="000000"/>
          <w:sz w:val="24"/>
          <w:szCs w:val="24"/>
        </w:rPr>
      </w:pPr>
      <w:r>
        <w:rPr>
          <w:rFonts w:hint="eastAsia" w:ascii="宋体" w:hAnsi="宋体" w:eastAsia="宋体" w:cs="宋体"/>
          <w:color w:val="000000"/>
          <w:sz w:val="24"/>
          <w:szCs w:val="24"/>
        </w:rPr>
        <w:br w:type="page"/>
      </w:r>
    </w:p>
    <w:p w14:paraId="6E5345D2">
      <w:pPr>
        <w:pStyle w:val="4"/>
        <w:keepNext/>
        <w:keepLines/>
        <w:pageBreakBefore w:val="0"/>
        <w:widowControl w:val="0"/>
        <w:kinsoku/>
        <w:wordWrap/>
        <w:overflowPunct/>
        <w:topLinePunct w:val="0"/>
        <w:autoSpaceDE/>
        <w:autoSpaceDN/>
        <w:bidi w:val="0"/>
        <w:adjustRightInd/>
        <w:snapToGrid/>
        <w:spacing w:before="0" w:after="0" w:line="240" w:lineRule="atLeast"/>
        <w:jc w:val="center"/>
        <w:textAlignment w:val="auto"/>
        <w:outlineLvl w:val="1"/>
        <w:rPr>
          <w:rFonts w:hint="eastAsia"/>
        </w:rPr>
      </w:pPr>
      <w:r>
        <w:rPr>
          <w:rFonts w:hint="eastAsia"/>
        </w:rPr>
        <w:t>合</w:t>
      </w:r>
      <w:r>
        <w:rPr>
          <w:rFonts w:hint="eastAsia"/>
          <w:lang w:val="en-US" w:eastAsia="zh-CN"/>
        </w:rPr>
        <w:t xml:space="preserve"> </w:t>
      </w:r>
      <w:r>
        <w:rPr>
          <w:rFonts w:hint="eastAsia"/>
        </w:rPr>
        <w:t>同</w:t>
      </w:r>
      <w:r>
        <w:rPr>
          <w:rFonts w:hint="eastAsia"/>
          <w:lang w:val="en-US" w:eastAsia="zh-CN"/>
        </w:rPr>
        <w:t xml:space="preserve"> 书</w:t>
      </w:r>
    </w:p>
    <w:p w14:paraId="22F82E3F">
      <w:pPr>
        <w:keepNext w:val="0"/>
        <w:keepLines w:val="0"/>
        <w:pageBreakBefore w:val="0"/>
        <w:kinsoku/>
        <w:wordWrap/>
        <w:overflowPunct/>
        <w:topLinePunct w:val="0"/>
        <w:autoSpaceDE/>
        <w:autoSpaceDN/>
        <w:bidi w:val="0"/>
        <w:adjustRightInd/>
        <w:snapToGrid w:val="0"/>
        <w:spacing w:line="380" w:lineRule="exact"/>
        <w:ind w:right="480"/>
        <w:jc w:val="left"/>
        <w:rPr>
          <w:rFonts w:hint="eastAsia" w:ascii="宋体" w:hAnsi="宋体" w:eastAsia="宋体" w:cs="宋体"/>
          <w:bCs/>
          <w:color w:val="auto"/>
          <w:sz w:val="24"/>
          <w:szCs w:val="24"/>
          <w:highlight w:val="none"/>
          <w:u w:val="none"/>
        </w:rPr>
      </w:pPr>
      <w:r>
        <w:rPr>
          <w:rFonts w:hint="eastAsia" w:ascii="宋体" w:hAnsi="宋体" w:eastAsia="宋体" w:cs="宋体"/>
          <w:bCs/>
          <w:color w:val="auto"/>
          <w:sz w:val="24"/>
          <w:szCs w:val="24"/>
          <w:highlight w:val="none"/>
          <w:u w:val="none"/>
        </w:rPr>
        <w:t>合同</w:t>
      </w:r>
      <w:r>
        <w:rPr>
          <w:rFonts w:hint="eastAsia" w:ascii="宋体" w:hAnsi="宋体" w:eastAsia="宋体" w:cs="宋体"/>
          <w:bCs/>
          <w:color w:val="auto"/>
          <w:sz w:val="24"/>
          <w:szCs w:val="24"/>
          <w:highlight w:val="none"/>
          <w:u w:val="none"/>
          <w:lang w:eastAsia="zh-CN"/>
        </w:rPr>
        <w:t>名称</w:t>
      </w:r>
      <w:r>
        <w:rPr>
          <w:rFonts w:hint="eastAsia" w:ascii="宋体" w:hAnsi="宋体" w:eastAsia="宋体" w:cs="宋体"/>
          <w:bCs/>
          <w:color w:val="auto"/>
          <w:sz w:val="24"/>
          <w:szCs w:val="24"/>
          <w:highlight w:val="none"/>
          <w:u w:val="none"/>
        </w:rPr>
        <w:t>：</w:t>
      </w:r>
    </w:p>
    <w:p w14:paraId="24E6F4B6">
      <w:pPr>
        <w:keepNext w:val="0"/>
        <w:keepLines w:val="0"/>
        <w:pageBreakBefore w:val="0"/>
        <w:kinsoku/>
        <w:wordWrap/>
        <w:overflowPunct/>
        <w:topLinePunct w:val="0"/>
        <w:autoSpaceDE/>
        <w:autoSpaceDN/>
        <w:bidi w:val="0"/>
        <w:adjustRightInd/>
        <w:snapToGrid w:val="0"/>
        <w:spacing w:line="380" w:lineRule="exact"/>
        <w:ind w:right="480"/>
        <w:jc w:val="left"/>
        <w:rPr>
          <w:rFonts w:hint="eastAsia" w:ascii="宋体" w:hAnsi="宋体" w:eastAsia="宋体" w:cs="宋体"/>
          <w:bCs/>
          <w:color w:val="auto"/>
          <w:sz w:val="24"/>
          <w:szCs w:val="24"/>
          <w:highlight w:val="none"/>
          <w:u w:val="none"/>
          <w:lang w:val="en-US" w:eastAsia="zh-CN"/>
        </w:rPr>
      </w:pPr>
      <w:r>
        <w:rPr>
          <w:rFonts w:hint="eastAsia" w:ascii="宋体" w:hAnsi="宋体" w:eastAsia="宋体" w:cs="宋体"/>
          <w:bCs/>
          <w:color w:val="auto"/>
          <w:sz w:val="24"/>
          <w:szCs w:val="24"/>
          <w:highlight w:val="none"/>
          <w:u w:val="none"/>
          <w:lang w:val="en-US" w:eastAsia="zh-CN"/>
        </w:rPr>
        <w:t>合同编号：</w:t>
      </w:r>
    </w:p>
    <w:p w14:paraId="5F8AA88F">
      <w:pPr>
        <w:keepNext w:val="0"/>
        <w:keepLines w:val="0"/>
        <w:pageBreakBefore w:val="0"/>
        <w:kinsoku/>
        <w:wordWrap/>
        <w:overflowPunct/>
        <w:topLinePunct w:val="0"/>
        <w:autoSpaceDE/>
        <w:autoSpaceDN/>
        <w:bidi w:val="0"/>
        <w:adjustRightInd/>
        <w:snapToGrid w:val="0"/>
        <w:spacing w:line="380" w:lineRule="exact"/>
        <w:ind w:right="480"/>
        <w:jc w:val="left"/>
        <w:rPr>
          <w:rFonts w:hint="default" w:ascii="宋体" w:hAnsi="宋体" w:eastAsia="宋体" w:cs="宋体"/>
          <w:bCs/>
          <w:color w:val="auto"/>
          <w:sz w:val="24"/>
          <w:szCs w:val="24"/>
          <w:highlight w:val="none"/>
          <w:u w:val="single"/>
          <w:lang w:val="en-US" w:eastAsia="zh-CN"/>
        </w:rPr>
      </w:pPr>
      <w:r>
        <w:rPr>
          <w:rFonts w:hint="eastAsia" w:ascii="宋体" w:hAnsi="宋体" w:eastAsia="宋体" w:cs="宋体"/>
          <w:color w:val="auto"/>
          <w:sz w:val="24"/>
          <w:szCs w:val="24"/>
          <w:highlight w:val="none"/>
          <w:u w:val="none"/>
          <w:lang w:eastAsia="zh-CN"/>
        </w:rPr>
        <w:t>项目编号：</w:t>
      </w:r>
    </w:p>
    <w:p w14:paraId="68E2065F">
      <w:pPr>
        <w:keepNext w:val="0"/>
        <w:keepLines w:val="0"/>
        <w:pageBreakBefore w:val="0"/>
        <w:kinsoku/>
        <w:wordWrap/>
        <w:overflowPunct/>
        <w:topLinePunct w:val="0"/>
        <w:autoSpaceDE/>
        <w:autoSpaceDN/>
        <w:bidi w:val="0"/>
        <w:adjustRightInd/>
        <w:snapToGrid w:val="0"/>
        <w:spacing w:line="380" w:lineRule="exact"/>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none"/>
        </w:rPr>
        <w:t>采购单位（甲方）</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single"/>
        </w:rPr>
        <w:t xml:space="preserve">                        </w:t>
      </w:r>
    </w:p>
    <w:p w14:paraId="074FE780">
      <w:pPr>
        <w:keepNext w:val="0"/>
        <w:keepLines w:val="0"/>
        <w:pageBreakBefore w:val="0"/>
        <w:kinsoku/>
        <w:wordWrap/>
        <w:overflowPunct/>
        <w:topLinePunct w:val="0"/>
        <w:autoSpaceDE/>
        <w:autoSpaceDN/>
        <w:bidi w:val="0"/>
        <w:adjustRightInd/>
        <w:snapToGrid w:val="0"/>
        <w:spacing w:line="380" w:lineRule="exact"/>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none"/>
        </w:rPr>
        <w:t>供 应 商（乙方）</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single"/>
        </w:rPr>
        <w:t xml:space="preserve">                        </w:t>
      </w:r>
    </w:p>
    <w:p w14:paraId="3F4336BE">
      <w:pPr>
        <w:pStyle w:val="17"/>
        <w:keepNext w:val="0"/>
        <w:keepLines w:val="0"/>
        <w:pageBreakBefore w:val="0"/>
        <w:tabs>
          <w:tab w:val="left" w:leader="middleDot" w:pos="9240"/>
        </w:tabs>
        <w:kinsoku/>
        <w:wordWrap/>
        <w:overflowPunct/>
        <w:topLinePunct w:val="0"/>
        <w:autoSpaceDE/>
        <w:autoSpaceDN/>
        <w:bidi w:val="0"/>
        <w:adjustRightInd/>
        <w:spacing w:line="380" w:lineRule="exact"/>
        <w:ind w:firstLine="480" w:firstLineChars="200"/>
        <w:rPr>
          <w:rFonts w:hint="eastAsia" w:ascii="宋体" w:hAnsi="宋体" w:eastAsia="宋体" w:cs="宋体"/>
          <w:color w:val="auto"/>
          <w:sz w:val="24"/>
          <w:szCs w:val="24"/>
          <w:highlight w:val="none"/>
        </w:rPr>
      </w:pPr>
    </w:p>
    <w:p w14:paraId="7FBBFCC7">
      <w:pPr>
        <w:pStyle w:val="17"/>
        <w:keepNext w:val="0"/>
        <w:keepLines w:val="0"/>
        <w:pageBreakBefore w:val="0"/>
        <w:tabs>
          <w:tab w:val="left" w:leader="middleDot" w:pos="9240"/>
        </w:tabs>
        <w:kinsoku/>
        <w:wordWrap/>
        <w:overflowPunct/>
        <w:topLinePunct w:val="0"/>
        <w:autoSpaceDE/>
        <w:autoSpaceDN/>
        <w:bidi w:val="0"/>
        <w:adjustRightInd/>
        <w:spacing w:line="3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根据《中华人民共和国政府采购法》、《中华人民共和国民法典》等法律、法规规定，按照</w:t>
      </w:r>
      <w:r>
        <w:rPr>
          <w:rFonts w:hint="eastAsia" w:ascii="宋体" w:hAnsi="宋体" w:eastAsia="宋体" w:cs="宋体"/>
          <w:color w:val="auto"/>
          <w:sz w:val="24"/>
          <w:szCs w:val="24"/>
          <w:highlight w:val="none"/>
          <w:lang w:eastAsia="zh-CN"/>
        </w:rPr>
        <w:t>采购</w:t>
      </w:r>
      <w:r>
        <w:rPr>
          <w:rFonts w:hint="eastAsia" w:ascii="宋体" w:hAnsi="宋体" w:eastAsia="宋体" w:cs="宋体"/>
          <w:color w:val="auto"/>
          <w:sz w:val="24"/>
          <w:szCs w:val="24"/>
          <w:highlight w:val="none"/>
        </w:rPr>
        <w:t>文件规定条款和成交供应商响应文件（以下简称“响应文件”）及其承诺，甲乙双方签订本合同。</w:t>
      </w:r>
    </w:p>
    <w:p w14:paraId="158DE686">
      <w:pPr>
        <w:pStyle w:val="17"/>
        <w:keepNext w:val="0"/>
        <w:keepLines w:val="0"/>
        <w:pageBreakBefore w:val="0"/>
        <w:tabs>
          <w:tab w:val="left" w:leader="middleDot" w:pos="9240"/>
        </w:tabs>
        <w:kinsoku/>
        <w:wordWrap/>
        <w:overflowPunct/>
        <w:topLinePunct w:val="0"/>
        <w:autoSpaceDE/>
        <w:autoSpaceDN/>
        <w:bidi w:val="0"/>
        <w:adjustRightInd/>
        <w:spacing w:line="380" w:lineRule="exact"/>
        <w:ind w:firstLine="482" w:firstLineChars="200"/>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1、合同文件</w:t>
      </w:r>
    </w:p>
    <w:p w14:paraId="68E7CFF6">
      <w:pPr>
        <w:pStyle w:val="17"/>
        <w:keepNext w:val="0"/>
        <w:keepLines w:val="0"/>
        <w:pageBreakBefore w:val="0"/>
        <w:tabs>
          <w:tab w:val="left" w:leader="middleDot" w:pos="9240"/>
        </w:tabs>
        <w:kinsoku/>
        <w:wordWrap/>
        <w:overflowPunct/>
        <w:topLinePunct w:val="0"/>
        <w:autoSpaceDE/>
        <w:autoSpaceDN/>
        <w:bidi w:val="0"/>
        <w:adjustRightInd/>
        <w:spacing w:line="38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本合同所附下列文件是构成本合同不可分割的部分：</w:t>
      </w:r>
    </w:p>
    <w:p w14:paraId="01362A55">
      <w:pPr>
        <w:pStyle w:val="17"/>
        <w:keepNext w:val="0"/>
        <w:keepLines w:val="0"/>
        <w:pageBreakBefore w:val="0"/>
        <w:tabs>
          <w:tab w:val="left" w:leader="middleDot" w:pos="9240"/>
        </w:tabs>
        <w:kinsoku/>
        <w:wordWrap/>
        <w:overflowPunct/>
        <w:topLinePunct w:val="0"/>
        <w:autoSpaceDE/>
        <w:autoSpaceDN/>
        <w:bidi w:val="0"/>
        <w:adjustRightInd/>
        <w:spacing w:line="38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（1）合同基本条款</w:t>
      </w:r>
    </w:p>
    <w:p w14:paraId="13F6D3CA">
      <w:pPr>
        <w:pStyle w:val="17"/>
        <w:keepNext w:val="0"/>
        <w:keepLines w:val="0"/>
        <w:pageBreakBefore w:val="0"/>
        <w:tabs>
          <w:tab w:val="left" w:leader="middleDot" w:pos="9240"/>
        </w:tabs>
        <w:kinsoku/>
        <w:wordWrap/>
        <w:overflowPunct/>
        <w:topLinePunct w:val="0"/>
        <w:autoSpaceDE/>
        <w:autoSpaceDN/>
        <w:bidi w:val="0"/>
        <w:adjustRightInd/>
        <w:spacing w:line="380" w:lineRule="exact"/>
        <w:rPr>
          <w:rFonts w:hint="eastAsia" w:ascii="宋体" w:hAnsi="宋体" w:eastAsia="宋体" w:cs="宋体"/>
          <w:b/>
          <w:bCs/>
          <w:color w:val="000000"/>
          <w:sz w:val="24"/>
          <w:szCs w:val="24"/>
        </w:rPr>
      </w:pPr>
      <w:r>
        <w:rPr>
          <w:rFonts w:hint="eastAsia" w:ascii="宋体" w:hAnsi="宋体" w:eastAsia="宋体" w:cs="宋体"/>
          <w:b/>
          <w:bCs/>
          <w:color w:val="000000"/>
          <w:sz w:val="24"/>
          <w:szCs w:val="24"/>
        </w:rPr>
        <w:t>2、合同范围和条件</w:t>
      </w:r>
    </w:p>
    <w:p w14:paraId="2787251E">
      <w:pPr>
        <w:pStyle w:val="17"/>
        <w:keepNext w:val="0"/>
        <w:keepLines w:val="0"/>
        <w:pageBreakBefore w:val="0"/>
        <w:tabs>
          <w:tab w:val="left" w:leader="middleDot" w:pos="9240"/>
        </w:tabs>
        <w:kinsoku/>
        <w:wordWrap/>
        <w:overflowPunct/>
        <w:topLinePunct w:val="0"/>
        <w:autoSpaceDE/>
        <w:autoSpaceDN/>
        <w:bidi w:val="0"/>
        <w:adjustRightInd/>
        <w:spacing w:line="38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本合同的范围和条件应与上述合同文件的规定相一致。</w:t>
      </w:r>
    </w:p>
    <w:p w14:paraId="2DAC2138">
      <w:pPr>
        <w:pStyle w:val="17"/>
        <w:keepNext w:val="0"/>
        <w:keepLines w:val="0"/>
        <w:pageBreakBefore w:val="0"/>
        <w:tabs>
          <w:tab w:val="left" w:leader="middleDot" w:pos="9240"/>
        </w:tabs>
        <w:kinsoku/>
        <w:wordWrap/>
        <w:overflowPunct/>
        <w:topLinePunct w:val="0"/>
        <w:autoSpaceDE/>
        <w:autoSpaceDN/>
        <w:bidi w:val="0"/>
        <w:adjustRightInd/>
        <w:spacing w:line="380" w:lineRule="exact"/>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3、货物采购金额和服务内容</w:t>
      </w:r>
    </w:p>
    <w:p w14:paraId="304E5CBF">
      <w:pPr>
        <w:pStyle w:val="17"/>
        <w:keepNext w:val="0"/>
        <w:keepLines w:val="0"/>
        <w:pageBreakBefore w:val="0"/>
        <w:tabs>
          <w:tab w:val="left" w:leader="middleDot" w:pos="9240"/>
        </w:tabs>
        <w:kinsoku/>
        <w:wordWrap/>
        <w:overflowPunct/>
        <w:topLinePunct w:val="0"/>
        <w:autoSpaceDE/>
        <w:autoSpaceDN/>
        <w:bidi w:val="0"/>
        <w:adjustRightInd/>
        <w:spacing w:line="38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本合同所涉及的乙方应提供的货物报价明细如下：</w:t>
      </w:r>
    </w:p>
    <w:tbl>
      <w:tblPr>
        <w:tblStyle w:val="30"/>
        <w:tblpPr w:leftFromText="180" w:rightFromText="180" w:vertAnchor="text" w:horzAnchor="page" w:tblpXSpec="center" w:tblpY="184"/>
        <w:tblOverlap w:val="never"/>
        <w:tblW w:w="542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9"/>
        <w:gridCol w:w="740"/>
        <w:gridCol w:w="1007"/>
        <w:gridCol w:w="1045"/>
        <w:gridCol w:w="1014"/>
        <w:gridCol w:w="718"/>
        <w:gridCol w:w="609"/>
        <w:gridCol w:w="594"/>
        <w:gridCol w:w="687"/>
        <w:gridCol w:w="860"/>
        <w:gridCol w:w="1056"/>
        <w:gridCol w:w="1056"/>
      </w:tblGrid>
      <w:tr w14:paraId="0ED5B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0" w:hRule="atLeast"/>
          <w:jc w:val="center"/>
        </w:trPr>
        <w:tc>
          <w:tcPr>
            <w:tcW w:w="194" w:type="pct"/>
            <w:tcBorders>
              <w:top w:val="single" w:color="auto" w:sz="4" w:space="0"/>
              <w:left w:val="single" w:color="auto" w:sz="4" w:space="0"/>
              <w:bottom w:val="single" w:color="auto" w:sz="4" w:space="0"/>
              <w:right w:val="single" w:color="auto" w:sz="4" w:space="0"/>
            </w:tcBorders>
            <w:noWrap w:val="0"/>
            <w:vAlign w:val="center"/>
          </w:tcPr>
          <w:p w14:paraId="1A83354D">
            <w:pPr>
              <w:keepNext w:val="0"/>
              <w:keepLines w:val="0"/>
              <w:pageBreakBefore w:val="0"/>
              <w:tabs>
                <w:tab w:val="left" w:leader="middleDot" w:pos="9240"/>
              </w:tabs>
              <w:kinsoku/>
              <w:wordWrap/>
              <w:overflowPunct/>
              <w:topLinePunct w:val="0"/>
              <w:autoSpaceDE/>
              <w:autoSpaceDN/>
              <w:bidi w:val="0"/>
              <w:adjustRightInd/>
              <w:spacing w:line="380" w:lineRule="exact"/>
              <w:jc w:val="center"/>
              <w:rPr>
                <w:rFonts w:hint="eastAsia" w:ascii="宋体" w:hAnsi="宋体" w:eastAsia="宋体" w:cs="宋体"/>
                <w:color w:val="000000"/>
                <w:sz w:val="21"/>
                <w:szCs w:val="21"/>
                <w:highlight w:val="yellow"/>
              </w:rPr>
            </w:pPr>
            <w:r>
              <w:rPr>
                <w:rFonts w:hint="eastAsia" w:ascii="宋体" w:hAnsi="宋体" w:eastAsia="宋体" w:cs="宋体"/>
                <w:sz w:val="21"/>
                <w:szCs w:val="21"/>
                <w:highlight w:val="yellow"/>
              </w:rPr>
              <w:t>序号</w:t>
            </w:r>
          </w:p>
        </w:tc>
        <w:tc>
          <w:tcPr>
            <w:tcW w:w="378" w:type="pct"/>
            <w:tcBorders>
              <w:top w:val="single" w:color="auto" w:sz="4" w:space="0"/>
              <w:left w:val="single" w:color="auto" w:sz="4" w:space="0"/>
              <w:bottom w:val="single" w:color="auto" w:sz="4" w:space="0"/>
              <w:right w:val="single" w:color="auto" w:sz="4" w:space="0"/>
            </w:tcBorders>
            <w:noWrap w:val="0"/>
            <w:vAlign w:val="center"/>
          </w:tcPr>
          <w:p w14:paraId="0F119F42">
            <w:pPr>
              <w:keepNext w:val="0"/>
              <w:keepLines w:val="0"/>
              <w:pageBreakBefore w:val="0"/>
              <w:tabs>
                <w:tab w:val="left" w:leader="middleDot" w:pos="9240"/>
              </w:tabs>
              <w:kinsoku/>
              <w:wordWrap/>
              <w:overflowPunct/>
              <w:topLinePunct w:val="0"/>
              <w:autoSpaceDE/>
              <w:autoSpaceDN/>
              <w:bidi w:val="0"/>
              <w:adjustRightInd/>
              <w:spacing w:line="380" w:lineRule="exact"/>
              <w:jc w:val="center"/>
              <w:rPr>
                <w:rFonts w:hint="eastAsia" w:ascii="宋体" w:hAnsi="宋体" w:eastAsia="宋体" w:cs="宋体"/>
                <w:color w:val="000000"/>
                <w:sz w:val="21"/>
                <w:szCs w:val="21"/>
                <w:highlight w:val="yellow"/>
              </w:rPr>
            </w:pPr>
            <w:r>
              <w:rPr>
                <w:rFonts w:hint="eastAsia" w:ascii="宋体" w:hAnsi="宋体" w:eastAsia="宋体" w:cs="宋体"/>
                <w:sz w:val="21"/>
                <w:szCs w:val="21"/>
                <w:highlight w:val="yellow"/>
              </w:rPr>
              <w:t>医保编码</w:t>
            </w:r>
          </w:p>
        </w:tc>
        <w:tc>
          <w:tcPr>
            <w:tcW w:w="515" w:type="pct"/>
            <w:tcBorders>
              <w:top w:val="single" w:color="auto" w:sz="4" w:space="0"/>
              <w:left w:val="single" w:color="auto" w:sz="4" w:space="0"/>
              <w:bottom w:val="single" w:color="auto" w:sz="4" w:space="0"/>
              <w:right w:val="single" w:color="auto" w:sz="4" w:space="0"/>
            </w:tcBorders>
            <w:noWrap w:val="0"/>
            <w:vAlign w:val="center"/>
          </w:tcPr>
          <w:p w14:paraId="4EF98666">
            <w:pPr>
              <w:keepNext w:val="0"/>
              <w:keepLines w:val="0"/>
              <w:pageBreakBefore w:val="0"/>
              <w:tabs>
                <w:tab w:val="left" w:leader="middleDot" w:pos="9240"/>
              </w:tabs>
              <w:kinsoku/>
              <w:wordWrap/>
              <w:overflowPunct/>
              <w:topLinePunct w:val="0"/>
              <w:autoSpaceDE/>
              <w:autoSpaceDN/>
              <w:bidi w:val="0"/>
              <w:adjustRightInd/>
              <w:spacing w:line="380" w:lineRule="exact"/>
              <w:jc w:val="center"/>
              <w:rPr>
                <w:rFonts w:hint="eastAsia" w:ascii="宋体" w:hAnsi="宋体" w:eastAsia="宋体" w:cs="宋体"/>
                <w:sz w:val="21"/>
                <w:szCs w:val="21"/>
                <w:highlight w:val="yellow"/>
                <w:lang w:eastAsia="zh-CN"/>
              </w:rPr>
            </w:pPr>
            <w:r>
              <w:rPr>
                <w:rFonts w:hint="eastAsia" w:ascii="宋体" w:hAnsi="宋体" w:eastAsia="宋体" w:cs="宋体"/>
                <w:sz w:val="21"/>
                <w:szCs w:val="21"/>
                <w:highlight w:val="yellow"/>
                <w:lang w:eastAsia="zh-CN"/>
              </w:rPr>
              <w:t>货物名称</w:t>
            </w:r>
          </w:p>
        </w:tc>
        <w:tc>
          <w:tcPr>
            <w:tcW w:w="535" w:type="pct"/>
            <w:tcBorders>
              <w:top w:val="single" w:color="auto" w:sz="4" w:space="0"/>
              <w:left w:val="single" w:color="auto" w:sz="4" w:space="0"/>
              <w:bottom w:val="single" w:color="auto" w:sz="4" w:space="0"/>
              <w:right w:val="single" w:color="auto" w:sz="4" w:space="0"/>
            </w:tcBorders>
            <w:noWrap w:val="0"/>
            <w:vAlign w:val="center"/>
          </w:tcPr>
          <w:p w14:paraId="1CD704B7">
            <w:pPr>
              <w:keepNext w:val="0"/>
              <w:keepLines w:val="0"/>
              <w:pageBreakBefore w:val="0"/>
              <w:tabs>
                <w:tab w:val="left" w:leader="middleDot" w:pos="9240"/>
              </w:tabs>
              <w:kinsoku/>
              <w:wordWrap/>
              <w:overflowPunct/>
              <w:topLinePunct w:val="0"/>
              <w:autoSpaceDE/>
              <w:autoSpaceDN/>
              <w:bidi w:val="0"/>
              <w:adjustRightInd/>
              <w:spacing w:line="380" w:lineRule="exact"/>
              <w:jc w:val="center"/>
              <w:rPr>
                <w:rFonts w:hint="eastAsia" w:ascii="宋体" w:hAnsi="宋体" w:eastAsia="宋体" w:cs="宋体"/>
                <w:sz w:val="21"/>
                <w:szCs w:val="21"/>
                <w:highlight w:val="yellow"/>
                <w:lang w:eastAsia="zh-CN"/>
              </w:rPr>
            </w:pPr>
            <w:r>
              <w:rPr>
                <w:rFonts w:hint="eastAsia" w:ascii="宋体" w:hAnsi="宋体" w:cs="宋体"/>
                <w:sz w:val="21"/>
                <w:szCs w:val="21"/>
                <w:highlight w:val="yellow"/>
                <w:lang w:eastAsia="zh-CN"/>
              </w:rPr>
              <w:t>注册证</w:t>
            </w:r>
            <w:r>
              <w:rPr>
                <w:rFonts w:hint="eastAsia" w:ascii="宋体" w:hAnsi="宋体" w:cs="宋体"/>
                <w:sz w:val="21"/>
                <w:szCs w:val="21"/>
                <w:highlight w:val="yellow"/>
                <w:lang w:val="en-US" w:eastAsia="zh-CN"/>
              </w:rPr>
              <w:t>/外包装</w:t>
            </w:r>
            <w:r>
              <w:rPr>
                <w:rFonts w:hint="eastAsia" w:ascii="宋体" w:hAnsi="宋体" w:cs="宋体"/>
                <w:sz w:val="21"/>
                <w:szCs w:val="21"/>
                <w:highlight w:val="yellow"/>
                <w:lang w:eastAsia="zh-CN"/>
              </w:rPr>
              <w:t>名称</w:t>
            </w:r>
          </w:p>
        </w:tc>
        <w:tc>
          <w:tcPr>
            <w:tcW w:w="519" w:type="pct"/>
            <w:tcBorders>
              <w:top w:val="single" w:color="auto" w:sz="4" w:space="0"/>
              <w:left w:val="single" w:color="auto" w:sz="4" w:space="0"/>
              <w:bottom w:val="single" w:color="auto" w:sz="4" w:space="0"/>
              <w:right w:val="single" w:color="auto" w:sz="4" w:space="0"/>
            </w:tcBorders>
            <w:noWrap w:val="0"/>
            <w:vAlign w:val="center"/>
          </w:tcPr>
          <w:p w14:paraId="61FBC41B">
            <w:pPr>
              <w:keepNext w:val="0"/>
              <w:keepLines w:val="0"/>
              <w:pageBreakBefore w:val="0"/>
              <w:tabs>
                <w:tab w:val="left" w:leader="middleDot" w:pos="9240"/>
              </w:tabs>
              <w:kinsoku/>
              <w:wordWrap/>
              <w:overflowPunct/>
              <w:topLinePunct w:val="0"/>
              <w:autoSpaceDE/>
              <w:autoSpaceDN/>
              <w:bidi w:val="0"/>
              <w:adjustRightInd/>
              <w:spacing w:line="380" w:lineRule="exact"/>
              <w:jc w:val="center"/>
              <w:rPr>
                <w:rFonts w:hint="eastAsia" w:ascii="宋体" w:hAnsi="宋体" w:eastAsia="宋体" w:cs="宋体"/>
                <w:color w:val="000000"/>
                <w:sz w:val="21"/>
                <w:szCs w:val="21"/>
                <w:highlight w:val="yellow"/>
              </w:rPr>
            </w:pPr>
            <w:r>
              <w:rPr>
                <w:rFonts w:hint="eastAsia" w:ascii="宋体" w:hAnsi="宋体" w:cs="宋体"/>
                <w:sz w:val="21"/>
                <w:szCs w:val="21"/>
                <w:highlight w:val="yellow"/>
              </w:rPr>
              <w:t>厂家</w:t>
            </w:r>
          </w:p>
        </w:tc>
        <w:tc>
          <w:tcPr>
            <w:tcW w:w="367" w:type="pct"/>
            <w:tcBorders>
              <w:top w:val="single" w:color="auto" w:sz="4" w:space="0"/>
              <w:left w:val="single" w:color="auto" w:sz="4" w:space="0"/>
              <w:bottom w:val="single" w:color="auto" w:sz="4" w:space="0"/>
              <w:right w:val="single" w:color="auto" w:sz="4" w:space="0"/>
            </w:tcBorders>
            <w:noWrap w:val="0"/>
            <w:vAlign w:val="center"/>
          </w:tcPr>
          <w:p w14:paraId="28966398">
            <w:pPr>
              <w:keepNext w:val="0"/>
              <w:keepLines w:val="0"/>
              <w:pageBreakBefore w:val="0"/>
              <w:tabs>
                <w:tab w:val="left" w:leader="middleDot" w:pos="9240"/>
              </w:tabs>
              <w:kinsoku/>
              <w:wordWrap/>
              <w:overflowPunct/>
              <w:topLinePunct w:val="0"/>
              <w:autoSpaceDE/>
              <w:autoSpaceDN/>
              <w:bidi w:val="0"/>
              <w:adjustRightInd/>
              <w:spacing w:line="380" w:lineRule="exact"/>
              <w:jc w:val="center"/>
              <w:rPr>
                <w:rFonts w:hint="eastAsia" w:ascii="宋体" w:hAnsi="宋体" w:eastAsia="宋体" w:cs="宋体"/>
                <w:color w:val="000000"/>
                <w:sz w:val="21"/>
                <w:szCs w:val="21"/>
                <w:highlight w:val="yellow"/>
              </w:rPr>
            </w:pPr>
            <w:r>
              <w:rPr>
                <w:rFonts w:hint="eastAsia" w:ascii="宋体" w:hAnsi="宋体" w:cs="宋体"/>
                <w:sz w:val="21"/>
                <w:szCs w:val="21"/>
                <w:highlight w:val="yellow"/>
              </w:rPr>
              <w:t>规格型号</w:t>
            </w:r>
          </w:p>
        </w:tc>
        <w:tc>
          <w:tcPr>
            <w:tcW w:w="311" w:type="pct"/>
            <w:tcBorders>
              <w:top w:val="single" w:color="auto" w:sz="4" w:space="0"/>
              <w:left w:val="single" w:color="auto" w:sz="4" w:space="0"/>
              <w:bottom w:val="single" w:color="auto" w:sz="4" w:space="0"/>
              <w:right w:val="single" w:color="auto" w:sz="4" w:space="0"/>
            </w:tcBorders>
            <w:noWrap w:val="0"/>
            <w:vAlign w:val="center"/>
          </w:tcPr>
          <w:p w14:paraId="306A78D8">
            <w:pPr>
              <w:keepNext w:val="0"/>
              <w:keepLines w:val="0"/>
              <w:pageBreakBefore w:val="0"/>
              <w:tabs>
                <w:tab w:val="left" w:leader="middleDot" w:pos="9240"/>
              </w:tabs>
              <w:kinsoku/>
              <w:wordWrap/>
              <w:overflowPunct/>
              <w:topLinePunct w:val="0"/>
              <w:autoSpaceDE/>
              <w:autoSpaceDN/>
              <w:bidi w:val="0"/>
              <w:adjustRightInd/>
              <w:spacing w:line="380" w:lineRule="exact"/>
              <w:jc w:val="center"/>
              <w:rPr>
                <w:rFonts w:hint="eastAsia" w:ascii="宋体" w:hAnsi="宋体" w:eastAsia="宋体" w:cs="宋体"/>
                <w:color w:val="000000"/>
                <w:sz w:val="21"/>
                <w:szCs w:val="21"/>
                <w:highlight w:val="yellow"/>
              </w:rPr>
            </w:pPr>
            <w:r>
              <w:rPr>
                <w:rFonts w:hint="eastAsia" w:ascii="宋体" w:hAnsi="宋体" w:eastAsia="宋体" w:cs="宋体"/>
                <w:color w:val="000000"/>
                <w:sz w:val="21"/>
                <w:szCs w:val="21"/>
                <w:highlight w:val="yellow"/>
              </w:rPr>
              <w:t>单位</w:t>
            </w:r>
          </w:p>
        </w:tc>
        <w:tc>
          <w:tcPr>
            <w:tcW w:w="304" w:type="pct"/>
            <w:tcBorders>
              <w:top w:val="single" w:color="auto" w:sz="4" w:space="0"/>
              <w:left w:val="single" w:color="auto" w:sz="4" w:space="0"/>
              <w:bottom w:val="single" w:color="auto" w:sz="4" w:space="0"/>
              <w:right w:val="single" w:color="auto" w:sz="4" w:space="0"/>
            </w:tcBorders>
            <w:noWrap w:val="0"/>
            <w:vAlign w:val="center"/>
          </w:tcPr>
          <w:p w14:paraId="13DC06D4">
            <w:pPr>
              <w:keepNext w:val="0"/>
              <w:keepLines w:val="0"/>
              <w:pageBreakBefore w:val="0"/>
              <w:tabs>
                <w:tab w:val="left" w:leader="middleDot" w:pos="9240"/>
              </w:tabs>
              <w:kinsoku/>
              <w:wordWrap/>
              <w:overflowPunct/>
              <w:topLinePunct w:val="0"/>
              <w:autoSpaceDE/>
              <w:autoSpaceDN/>
              <w:bidi w:val="0"/>
              <w:adjustRightInd/>
              <w:spacing w:line="380" w:lineRule="exact"/>
              <w:jc w:val="center"/>
              <w:rPr>
                <w:rFonts w:hint="eastAsia" w:ascii="宋体" w:hAnsi="宋体" w:eastAsia="宋体" w:cs="宋体"/>
                <w:sz w:val="21"/>
                <w:szCs w:val="21"/>
                <w:highlight w:val="yellow"/>
                <w:lang w:eastAsia="zh-CN"/>
              </w:rPr>
            </w:pPr>
            <w:r>
              <w:rPr>
                <w:rFonts w:hint="eastAsia" w:ascii="宋体" w:hAnsi="宋体" w:eastAsia="宋体" w:cs="宋体"/>
                <w:sz w:val="21"/>
                <w:szCs w:val="21"/>
                <w:highlight w:val="yellow"/>
                <w:lang w:eastAsia="zh-CN"/>
              </w:rPr>
              <w:t>数量</w:t>
            </w:r>
          </w:p>
        </w:tc>
        <w:tc>
          <w:tcPr>
            <w:tcW w:w="351" w:type="pct"/>
            <w:tcBorders>
              <w:top w:val="single" w:color="auto" w:sz="4" w:space="0"/>
              <w:left w:val="single" w:color="auto" w:sz="4" w:space="0"/>
              <w:bottom w:val="single" w:color="auto" w:sz="4" w:space="0"/>
              <w:right w:val="single" w:color="auto" w:sz="4" w:space="0"/>
            </w:tcBorders>
            <w:noWrap w:val="0"/>
            <w:vAlign w:val="center"/>
          </w:tcPr>
          <w:p w14:paraId="24CD633F">
            <w:pPr>
              <w:keepNext w:val="0"/>
              <w:keepLines w:val="0"/>
              <w:pageBreakBefore w:val="0"/>
              <w:tabs>
                <w:tab w:val="left" w:leader="middleDot" w:pos="9240"/>
              </w:tabs>
              <w:kinsoku/>
              <w:wordWrap/>
              <w:overflowPunct/>
              <w:topLinePunct w:val="0"/>
              <w:autoSpaceDE/>
              <w:autoSpaceDN/>
              <w:bidi w:val="0"/>
              <w:adjustRightInd/>
              <w:spacing w:line="380" w:lineRule="exact"/>
              <w:jc w:val="center"/>
              <w:rPr>
                <w:rFonts w:hint="eastAsia" w:ascii="宋体" w:hAnsi="宋体" w:eastAsia="宋体" w:cs="宋体"/>
                <w:color w:val="000000"/>
                <w:sz w:val="21"/>
                <w:szCs w:val="21"/>
                <w:highlight w:val="yellow"/>
              </w:rPr>
            </w:pPr>
            <w:r>
              <w:rPr>
                <w:rFonts w:hint="eastAsia" w:ascii="宋体" w:hAnsi="宋体" w:eastAsia="宋体" w:cs="宋体"/>
                <w:sz w:val="21"/>
                <w:szCs w:val="21"/>
                <w:highlight w:val="yellow"/>
              </w:rPr>
              <w:t>单价（元）</w:t>
            </w:r>
          </w:p>
        </w:tc>
        <w:tc>
          <w:tcPr>
            <w:tcW w:w="440" w:type="pct"/>
            <w:tcBorders>
              <w:top w:val="single" w:color="auto" w:sz="4" w:space="0"/>
              <w:left w:val="single" w:color="auto" w:sz="4" w:space="0"/>
              <w:bottom w:val="single" w:color="auto" w:sz="4" w:space="0"/>
              <w:right w:val="single" w:color="auto" w:sz="4" w:space="0"/>
            </w:tcBorders>
            <w:noWrap w:val="0"/>
            <w:vAlign w:val="center"/>
          </w:tcPr>
          <w:p w14:paraId="2DEAA1DD">
            <w:pPr>
              <w:spacing w:line="300" w:lineRule="exact"/>
              <w:jc w:val="center"/>
              <w:rPr>
                <w:rFonts w:ascii="宋体" w:hAnsi="宋体"/>
                <w:b w:val="0"/>
                <w:bCs w:val="0"/>
                <w:color w:val="auto"/>
                <w:sz w:val="21"/>
                <w:szCs w:val="21"/>
                <w:highlight w:val="yellow"/>
              </w:rPr>
            </w:pPr>
            <w:r>
              <w:rPr>
                <w:rFonts w:hint="eastAsia" w:ascii="宋体" w:hAnsi="宋体"/>
                <w:b w:val="0"/>
                <w:bCs w:val="0"/>
                <w:color w:val="auto"/>
                <w:sz w:val="21"/>
                <w:szCs w:val="21"/>
                <w:highlight w:val="yellow"/>
                <w:lang w:eastAsia="zh-CN"/>
              </w:rPr>
              <w:t>单项合计</w:t>
            </w:r>
          </w:p>
          <w:p w14:paraId="38A533B3">
            <w:pPr>
              <w:keepNext w:val="0"/>
              <w:keepLines w:val="0"/>
              <w:pageBreakBefore w:val="0"/>
              <w:tabs>
                <w:tab w:val="left" w:pos="353"/>
                <w:tab w:val="left" w:leader="middleDot" w:pos="9240"/>
              </w:tabs>
              <w:kinsoku/>
              <w:wordWrap/>
              <w:overflowPunct/>
              <w:topLinePunct w:val="0"/>
              <w:autoSpaceDE/>
              <w:autoSpaceDN/>
              <w:bidi w:val="0"/>
              <w:adjustRightInd/>
              <w:spacing w:line="380" w:lineRule="exact"/>
              <w:jc w:val="left"/>
              <w:rPr>
                <w:rFonts w:hint="eastAsia" w:ascii="宋体" w:hAnsi="宋体" w:eastAsia="宋体" w:cs="宋体"/>
                <w:sz w:val="21"/>
                <w:szCs w:val="21"/>
                <w:highlight w:val="yellow"/>
                <w:lang w:eastAsia="zh-CN"/>
              </w:rPr>
            </w:pPr>
            <w:r>
              <w:rPr>
                <w:rFonts w:hint="eastAsia" w:ascii="宋体" w:hAnsi="宋体"/>
                <w:b w:val="0"/>
                <w:bCs w:val="0"/>
                <w:color w:val="auto"/>
                <w:sz w:val="21"/>
                <w:szCs w:val="21"/>
                <w:highlight w:val="yellow"/>
              </w:rPr>
              <w:t>（</w:t>
            </w:r>
            <w:r>
              <w:rPr>
                <w:rFonts w:hint="eastAsia" w:ascii="宋体" w:hAnsi="宋体"/>
                <w:b w:val="0"/>
                <w:bCs w:val="0"/>
                <w:color w:val="auto"/>
                <w:sz w:val="21"/>
                <w:szCs w:val="21"/>
                <w:highlight w:val="yellow"/>
                <w:lang w:eastAsia="zh-CN"/>
              </w:rPr>
              <w:t>元</w:t>
            </w:r>
            <w:r>
              <w:rPr>
                <w:rFonts w:hint="eastAsia" w:ascii="宋体" w:hAnsi="宋体"/>
                <w:b w:val="0"/>
                <w:bCs w:val="0"/>
                <w:color w:val="auto"/>
                <w:sz w:val="21"/>
                <w:szCs w:val="21"/>
                <w:highlight w:val="yellow"/>
              </w:rPr>
              <w:t>）</w:t>
            </w:r>
          </w:p>
        </w:tc>
        <w:tc>
          <w:tcPr>
            <w:tcW w:w="540" w:type="pct"/>
            <w:tcBorders>
              <w:top w:val="single" w:color="auto" w:sz="4" w:space="0"/>
              <w:left w:val="single" w:color="auto" w:sz="4" w:space="0"/>
              <w:bottom w:val="single" w:color="auto" w:sz="4" w:space="0"/>
              <w:right w:val="single" w:color="auto" w:sz="4" w:space="0"/>
            </w:tcBorders>
            <w:noWrap w:val="0"/>
            <w:vAlign w:val="center"/>
          </w:tcPr>
          <w:p w14:paraId="6389AF0F">
            <w:pPr>
              <w:keepNext w:val="0"/>
              <w:keepLines w:val="0"/>
              <w:pageBreakBefore w:val="0"/>
              <w:tabs>
                <w:tab w:val="left" w:leader="middleDot" w:pos="9240"/>
              </w:tabs>
              <w:kinsoku/>
              <w:wordWrap/>
              <w:overflowPunct/>
              <w:topLinePunct w:val="0"/>
              <w:autoSpaceDE/>
              <w:autoSpaceDN/>
              <w:bidi w:val="0"/>
              <w:adjustRightInd/>
              <w:spacing w:line="380" w:lineRule="exact"/>
              <w:jc w:val="center"/>
              <w:rPr>
                <w:rFonts w:hint="eastAsia" w:ascii="宋体" w:hAnsi="宋体" w:eastAsia="宋体" w:cs="宋体"/>
                <w:sz w:val="21"/>
                <w:szCs w:val="21"/>
                <w:highlight w:val="yellow"/>
              </w:rPr>
            </w:pPr>
            <w:r>
              <w:rPr>
                <w:rFonts w:hint="eastAsia" w:ascii="宋体" w:hAnsi="宋体" w:eastAsia="宋体" w:cs="宋体"/>
                <w:sz w:val="21"/>
                <w:szCs w:val="21"/>
                <w:highlight w:val="yellow"/>
              </w:rPr>
              <w:t>质保期</w:t>
            </w:r>
          </w:p>
        </w:tc>
        <w:tc>
          <w:tcPr>
            <w:tcW w:w="540" w:type="pct"/>
            <w:tcBorders>
              <w:top w:val="single" w:color="auto" w:sz="4" w:space="0"/>
              <w:left w:val="single" w:color="auto" w:sz="4" w:space="0"/>
              <w:bottom w:val="single" w:color="auto" w:sz="4" w:space="0"/>
              <w:right w:val="single" w:color="auto" w:sz="4" w:space="0"/>
            </w:tcBorders>
            <w:noWrap w:val="0"/>
            <w:vAlign w:val="center"/>
          </w:tcPr>
          <w:p w14:paraId="72F0DDFA">
            <w:pPr>
              <w:keepNext w:val="0"/>
              <w:keepLines w:val="0"/>
              <w:pageBreakBefore w:val="0"/>
              <w:tabs>
                <w:tab w:val="left" w:leader="middleDot" w:pos="9240"/>
              </w:tabs>
              <w:kinsoku/>
              <w:wordWrap/>
              <w:overflowPunct/>
              <w:topLinePunct w:val="0"/>
              <w:autoSpaceDE/>
              <w:autoSpaceDN/>
              <w:bidi w:val="0"/>
              <w:adjustRightInd/>
              <w:spacing w:line="380" w:lineRule="exact"/>
              <w:jc w:val="center"/>
              <w:rPr>
                <w:rFonts w:hint="eastAsia" w:ascii="宋体" w:hAnsi="宋体" w:eastAsia="宋体" w:cs="宋体"/>
                <w:sz w:val="21"/>
                <w:szCs w:val="21"/>
                <w:highlight w:val="yellow"/>
              </w:rPr>
            </w:pPr>
            <w:r>
              <w:rPr>
                <w:rFonts w:hint="eastAsia" w:ascii="宋体" w:hAnsi="宋体" w:eastAsia="宋体" w:cs="宋体"/>
                <w:sz w:val="21"/>
                <w:szCs w:val="21"/>
                <w:highlight w:val="yellow"/>
              </w:rPr>
              <w:t>注册</w:t>
            </w:r>
          </w:p>
          <w:p w14:paraId="1A3D9B4F">
            <w:pPr>
              <w:keepNext w:val="0"/>
              <w:keepLines w:val="0"/>
              <w:pageBreakBefore w:val="0"/>
              <w:tabs>
                <w:tab w:val="left" w:leader="middleDot" w:pos="9240"/>
              </w:tabs>
              <w:kinsoku/>
              <w:wordWrap/>
              <w:overflowPunct/>
              <w:topLinePunct w:val="0"/>
              <w:autoSpaceDE/>
              <w:autoSpaceDN/>
              <w:bidi w:val="0"/>
              <w:adjustRightInd/>
              <w:spacing w:line="380" w:lineRule="exact"/>
              <w:jc w:val="center"/>
              <w:rPr>
                <w:rFonts w:hint="eastAsia" w:ascii="宋体" w:hAnsi="宋体" w:eastAsia="宋体" w:cs="宋体"/>
                <w:sz w:val="21"/>
                <w:szCs w:val="21"/>
                <w:highlight w:val="yellow"/>
              </w:rPr>
            </w:pPr>
            <w:r>
              <w:rPr>
                <w:rFonts w:hint="eastAsia" w:ascii="宋体" w:hAnsi="宋体" w:eastAsia="宋体" w:cs="宋体"/>
                <w:sz w:val="21"/>
                <w:szCs w:val="21"/>
                <w:highlight w:val="yellow"/>
              </w:rPr>
              <w:t>证号</w:t>
            </w:r>
          </w:p>
        </w:tc>
      </w:tr>
      <w:tr w14:paraId="1C880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jc w:val="center"/>
        </w:trPr>
        <w:tc>
          <w:tcPr>
            <w:tcW w:w="194" w:type="pct"/>
            <w:tcBorders>
              <w:top w:val="single" w:color="auto" w:sz="4" w:space="0"/>
              <w:left w:val="single" w:color="auto" w:sz="4" w:space="0"/>
              <w:bottom w:val="single" w:color="auto" w:sz="4" w:space="0"/>
              <w:right w:val="single" w:color="auto" w:sz="4" w:space="0"/>
            </w:tcBorders>
            <w:noWrap w:val="0"/>
            <w:vAlign w:val="center"/>
          </w:tcPr>
          <w:p w14:paraId="056F6E6E">
            <w:pPr>
              <w:keepNext w:val="0"/>
              <w:keepLines w:val="0"/>
              <w:pageBreakBefore w:val="0"/>
              <w:tabs>
                <w:tab w:val="left" w:leader="middleDot" w:pos="9240"/>
              </w:tabs>
              <w:kinsoku/>
              <w:wordWrap/>
              <w:overflowPunct/>
              <w:topLinePunct w:val="0"/>
              <w:autoSpaceDE/>
              <w:autoSpaceDN/>
              <w:bidi w:val="0"/>
              <w:adjustRightInd/>
              <w:spacing w:line="380" w:lineRule="exact"/>
              <w:jc w:val="center"/>
              <w:rPr>
                <w:rFonts w:hint="eastAsia" w:ascii="宋体" w:hAnsi="宋体" w:eastAsia="宋体" w:cs="宋体"/>
                <w:color w:val="000000"/>
                <w:sz w:val="24"/>
                <w:szCs w:val="24"/>
              </w:rPr>
            </w:pPr>
          </w:p>
        </w:tc>
        <w:tc>
          <w:tcPr>
            <w:tcW w:w="378" w:type="pct"/>
            <w:tcBorders>
              <w:top w:val="single" w:color="auto" w:sz="4" w:space="0"/>
              <w:left w:val="single" w:color="auto" w:sz="4" w:space="0"/>
              <w:bottom w:val="single" w:color="auto" w:sz="4" w:space="0"/>
              <w:right w:val="single" w:color="auto" w:sz="4" w:space="0"/>
            </w:tcBorders>
            <w:noWrap w:val="0"/>
            <w:vAlign w:val="center"/>
          </w:tcPr>
          <w:p w14:paraId="3206F7C1">
            <w:pPr>
              <w:keepNext w:val="0"/>
              <w:keepLines w:val="0"/>
              <w:pageBreakBefore w:val="0"/>
              <w:widowControl/>
              <w:tabs>
                <w:tab w:val="left" w:leader="middleDot" w:pos="9240"/>
              </w:tabs>
              <w:kinsoku/>
              <w:wordWrap/>
              <w:overflowPunct/>
              <w:topLinePunct w:val="0"/>
              <w:autoSpaceDE/>
              <w:autoSpaceDN/>
              <w:bidi w:val="0"/>
              <w:adjustRightInd/>
              <w:spacing w:line="380" w:lineRule="exact"/>
              <w:jc w:val="left"/>
              <w:textAlignment w:val="center"/>
              <w:rPr>
                <w:rFonts w:hint="eastAsia" w:ascii="宋体" w:hAnsi="宋体" w:eastAsia="宋体" w:cs="宋体"/>
                <w:color w:val="000000"/>
                <w:sz w:val="24"/>
                <w:szCs w:val="24"/>
              </w:rPr>
            </w:pPr>
          </w:p>
        </w:tc>
        <w:tc>
          <w:tcPr>
            <w:tcW w:w="515" w:type="pct"/>
            <w:tcBorders>
              <w:top w:val="single" w:color="auto" w:sz="4" w:space="0"/>
              <w:left w:val="single" w:color="auto" w:sz="4" w:space="0"/>
              <w:bottom w:val="single" w:color="auto" w:sz="4" w:space="0"/>
              <w:right w:val="single" w:color="auto" w:sz="4" w:space="0"/>
            </w:tcBorders>
            <w:noWrap w:val="0"/>
            <w:vAlign w:val="center"/>
          </w:tcPr>
          <w:p w14:paraId="15A7F697">
            <w:pPr>
              <w:keepNext w:val="0"/>
              <w:keepLines w:val="0"/>
              <w:pageBreakBefore w:val="0"/>
              <w:widowControl/>
              <w:tabs>
                <w:tab w:val="left" w:leader="middleDot" w:pos="9240"/>
              </w:tabs>
              <w:kinsoku/>
              <w:wordWrap/>
              <w:overflowPunct/>
              <w:topLinePunct w:val="0"/>
              <w:autoSpaceDE/>
              <w:autoSpaceDN/>
              <w:bidi w:val="0"/>
              <w:adjustRightInd/>
              <w:spacing w:line="380" w:lineRule="exact"/>
              <w:jc w:val="center"/>
              <w:textAlignment w:val="center"/>
              <w:rPr>
                <w:rFonts w:hint="eastAsia" w:ascii="宋体" w:hAnsi="宋体" w:eastAsia="宋体" w:cs="宋体"/>
                <w:color w:val="000000"/>
                <w:sz w:val="24"/>
                <w:szCs w:val="24"/>
              </w:rPr>
            </w:pPr>
          </w:p>
        </w:tc>
        <w:tc>
          <w:tcPr>
            <w:tcW w:w="535" w:type="pct"/>
            <w:tcBorders>
              <w:top w:val="single" w:color="auto" w:sz="4" w:space="0"/>
              <w:left w:val="single" w:color="auto" w:sz="4" w:space="0"/>
              <w:bottom w:val="single" w:color="auto" w:sz="4" w:space="0"/>
              <w:right w:val="single" w:color="auto" w:sz="4" w:space="0"/>
            </w:tcBorders>
            <w:noWrap w:val="0"/>
            <w:vAlign w:val="center"/>
          </w:tcPr>
          <w:p w14:paraId="590537CD">
            <w:pPr>
              <w:keepNext w:val="0"/>
              <w:keepLines w:val="0"/>
              <w:pageBreakBefore w:val="0"/>
              <w:widowControl/>
              <w:tabs>
                <w:tab w:val="left" w:leader="middleDot" w:pos="9240"/>
              </w:tabs>
              <w:kinsoku/>
              <w:wordWrap/>
              <w:overflowPunct/>
              <w:topLinePunct w:val="0"/>
              <w:autoSpaceDE/>
              <w:autoSpaceDN/>
              <w:bidi w:val="0"/>
              <w:adjustRightInd/>
              <w:spacing w:line="380" w:lineRule="exact"/>
              <w:jc w:val="center"/>
              <w:textAlignment w:val="center"/>
              <w:rPr>
                <w:rFonts w:hint="eastAsia" w:ascii="宋体" w:hAnsi="宋体" w:eastAsia="宋体" w:cs="宋体"/>
                <w:color w:val="000000"/>
                <w:sz w:val="24"/>
                <w:szCs w:val="24"/>
              </w:rPr>
            </w:pPr>
          </w:p>
        </w:tc>
        <w:tc>
          <w:tcPr>
            <w:tcW w:w="519" w:type="pct"/>
            <w:tcBorders>
              <w:top w:val="single" w:color="auto" w:sz="4" w:space="0"/>
              <w:left w:val="single" w:color="auto" w:sz="4" w:space="0"/>
              <w:bottom w:val="single" w:color="auto" w:sz="4" w:space="0"/>
              <w:right w:val="single" w:color="auto" w:sz="4" w:space="0"/>
            </w:tcBorders>
            <w:noWrap w:val="0"/>
            <w:vAlign w:val="center"/>
          </w:tcPr>
          <w:p w14:paraId="1D91179C">
            <w:pPr>
              <w:keepNext w:val="0"/>
              <w:keepLines w:val="0"/>
              <w:pageBreakBefore w:val="0"/>
              <w:widowControl/>
              <w:tabs>
                <w:tab w:val="left" w:leader="middleDot" w:pos="9240"/>
              </w:tabs>
              <w:kinsoku/>
              <w:wordWrap/>
              <w:overflowPunct/>
              <w:topLinePunct w:val="0"/>
              <w:autoSpaceDE/>
              <w:autoSpaceDN/>
              <w:bidi w:val="0"/>
              <w:adjustRightInd/>
              <w:spacing w:line="380" w:lineRule="exact"/>
              <w:jc w:val="center"/>
              <w:textAlignment w:val="center"/>
              <w:rPr>
                <w:rFonts w:hint="eastAsia" w:ascii="宋体" w:hAnsi="宋体" w:eastAsia="宋体" w:cs="宋体"/>
                <w:color w:val="000000"/>
                <w:sz w:val="24"/>
                <w:szCs w:val="24"/>
              </w:rPr>
            </w:pPr>
          </w:p>
        </w:tc>
        <w:tc>
          <w:tcPr>
            <w:tcW w:w="367" w:type="pct"/>
            <w:tcBorders>
              <w:top w:val="single" w:color="auto" w:sz="4" w:space="0"/>
              <w:left w:val="single" w:color="auto" w:sz="4" w:space="0"/>
              <w:bottom w:val="single" w:color="auto" w:sz="4" w:space="0"/>
              <w:right w:val="single" w:color="auto" w:sz="4" w:space="0"/>
            </w:tcBorders>
            <w:noWrap w:val="0"/>
            <w:vAlign w:val="center"/>
          </w:tcPr>
          <w:p w14:paraId="073ADCB7">
            <w:pPr>
              <w:keepNext w:val="0"/>
              <w:keepLines w:val="0"/>
              <w:pageBreakBefore w:val="0"/>
              <w:widowControl/>
              <w:tabs>
                <w:tab w:val="left" w:leader="middleDot" w:pos="9240"/>
              </w:tabs>
              <w:kinsoku/>
              <w:wordWrap/>
              <w:overflowPunct/>
              <w:topLinePunct w:val="0"/>
              <w:autoSpaceDE/>
              <w:autoSpaceDN/>
              <w:bidi w:val="0"/>
              <w:adjustRightInd/>
              <w:spacing w:line="380" w:lineRule="exact"/>
              <w:jc w:val="center"/>
              <w:textAlignment w:val="center"/>
              <w:rPr>
                <w:rFonts w:hint="eastAsia" w:ascii="宋体" w:hAnsi="宋体" w:eastAsia="宋体" w:cs="宋体"/>
                <w:color w:val="000000"/>
                <w:sz w:val="24"/>
                <w:szCs w:val="24"/>
              </w:rPr>
            </w:pPr>
          </w:p>
        </w:tc>
        <w:tc>
          <w:tcPr>
            <w:tcW w:w="311" w:type="pct"/>
            <w:tcBorders>
              <w:top w:val="single" w:color="auto" w:sz="4" w:space="0"/>
              <w:left w:val="single" w:color="auto" w:sz="4" w:space="0"/>
              <w:right w:val="single" w:color="auto" w:sz="4" w:space="0"/>
            </w:tcBorders>
            <w:noWrap w:val="0"/>
            <w:vAlign w:val="center"/>
          </w:tcPr>
          <w:p w14:paraId="489803E5">
            <w:pPr>
              <w:keepNext w:val="0"/>
              <w:keepLines w:val="0"/>
              <w:pageBreakBefore w:val="0"/>
              <w:widowControl/>
              <w:tabs>
                <w:tab w:val="left" w:leader="middleDot" w:pos="9240"/>
              </w:tabs>
              <w:kinsoku/>
              <w:wordWrap/>
              <w:overflowPunct/>
              <w:topLinePunct w:val="0"/>
              <w:autoSpaceDE/>
              <w:autoSpaceDN/>
              <w:bidi w:val="0"/>
              <w:adjustRightInd/>
              <w:spacing w:line="380" w:lineRule="exact"/>
              <w:jc w:val="center"/>
              <w:textAlignment w:val="center"/>
              <w:rPr>
                <w:rFonts w:hint="eastAsia" w:ascii="宋体" w:hAnsi="宋体" w:eastAsia="宋体" w:cs="宋体"/>
                <w:color w:val="000000"/>
                <w:sz w:val="24"/>
                <w:szCs w:val="24"/>
              </w:rPr>
            </w:pPr>
          </w:p>
        </w:tc>
        <w:tc>
          <w:tcPr>
            <w:tcW w:w="304" w:type="pct"/>
            <w:tcBorders>
              <w:top w:val="single" w:color="auto" w:sz="4" w:space="0"/>
              <w:left w:val="single" w:color="auto" w:sz="4" w:space="0"/>
              <w:right w:val="single" w:color="auto" w:sz="4" w:space="0"/>
            </w:tcBorders>
            <w:noWrap w:val="0"/>
            <w:vAlign w:val="center"/>
          </w:tcPr>
          <w:p w14:paraId="61C1D788">
            <w:pPr>
              <w:keepNext w:val="0"/>
              <w:keepLines w:val="0"/>
              <w:pageBreakBefore w:val="0"/>
              <w:widowControl/>
              <w:tabs>
                <w:tab w:val="left" w:leader="middleDot" w:pos="9240"/>
              </w:tabs>
              <w:kinsoku/>
              <w:wordWrap/>
              <w:overflowPunct/>
              <w:topLinePunct w:val="0"/>
              <w:autoSpaceDE/>
              <w:autoSpaceDN/>
              <w:bidi w:val="0"/>
              <w:adjustRightInd/>
              <w:spacing w:line="380" w:lineRule="exact"/>
              <w:jc w:val="center"/>
              <w:textAlignment w:val="center"/>
              <w:rPr>
                <w:rFonts w:hint="eastAsia" w:ascii="宋体" w:hAnsi="宋体" w:eastAsia="宋体" w:cs="宋体"/>
                <w:color w:val="000000"/>
                <w:sz w:val="24"/>
                <w:szCs w:val="24"/>
              </w:rPr>
            </w:pPr>
          </w:p>
        </w:tc>
        <w:tc>
          <w:tcPr>
            <w:tcW w:w="351" w:type="pct"/>
            <w:tcBorders>
              <w:top w:val="single" w:color="auto" w:sz="4" w:space="0"/>
              <w:left w:val="single" w:color="auto" w:sz="4" w:space="0"/>
              <w:right w:val="single" w:color="auto" w:sz="4" w:space="0"/>
            </w:tcBorders>
            <w:noWrap w:val="0"/>
            <w:vAlign w:val="center"/>
          </w:tcPr>
          <w:p w14:paraId="1363822D">
            <w:pPr>
              <w:keepNext w:val="0"/>
              <w:keepLines w:val="0"/>
              <w:pageBreakBefore w:val="0"/>
              <w:widowControl/>
              <w:tabs>
                <w:tab w:val="left" w:leader="middleDot" w:pos="9240"/>
              </w:tabs>
              <w:kinsoku/>
              <w:wordWrap/>
              <w:overflowPunct/>
              <w:topLinePunct w:val="0"/>
              <w:autoSpaceDE/>
              <w:autoSpaceDN/>
              <w:bidi w:val="0"/>
              <w:adjustRightInd/>
              <w:spacing w:line="380" w:lineRule="exact"/>
              <w:jc w:val="center"/>
              <w:textAlignment w:val="center"/>
              <w:rPr>
                <w:rFonts w:hint="eastAsia" w:ascii="宋体" w:hAnsi="宋体" w:eastAsia="宋体" w:cs="宋体"/>
                <w:color w:val="000000"/>
                <w:sz w:val="24"/>
                <w:szCs w:val="24"/>
              </w:rPr>
            </w:pPr>
          </w:p>
        </w:tc>
        <w:tc>
          <w:tcPr>
            <w:tcW w:w="440" w:type="pct"/>
            <w:tcBorders>
              <w:top w:val="single" w:color="auto" w:sz="4" w:space="0"/>
              <w:left w:val="single" w:color="auto" w:sz="4" w:space="0"/>
              <w:right w:val="single" w:color="auto" w:sz="4" w:space="0"/>
            </w:tcBorders>
            <w:noWrap w:val="0"/>
            <w:vAlign w:val="center"/>
          </w:tcPr>
          <w:p w14:paraId="32C505E8">
            <w:pPr>
              <w:keepNext w:val="0"/>
              <w:keepLines w:val="0"/>
              <w:pageBreakBefore w:val="0"/>
              <w:widowControl/>
              <w:tabs>
                <w:tab w:val="left" w:leader="middleDot" w:pos="9240"/>
              </w:tabs>
              <w:kinsoku/>
              <w:wordWrap/>
              <w:overflowPunct/>
              <w:topLinePunct w:val="0"/>
              <w:autoSpaceDE/>
              <w:autoSpaceDN/>
              <w:bidi w:val="0"/>
              <w:adjustRightInd/>
              <w:spacing w:line="380" w:lineRule="exact"/>
              <w:jc w:val="center"/>
              <w:textAlignment w:val="center"/>
              <w:rPr>
                <w:rFonts w:hint="eastAsia" w:ascii="宋体" w:hAnsi="宋体" w:eastAsia="宋体" w:cs="宋体"/>
                <w:color w:val="000000"/>
                <w:sz w:val="24"/>
                <w:szCs w:val="24"/>
              </w:rPr>
            </w:pPr>
          </w:p>
        </w:tc>
        <w:tc>
          <w:tcPr>
            <w:tcW w:w="540" w:type="pct"/>
            <w:tcBorders>
              <w:top w:val="single" w:color="auto" w:sz="4" w:space="0"/>
              <w:left w:val="single" w:color="auto" w:sz="4" w:space="0"/>
              <w:right w:val="single" w:color="auto" w:sz="4" w:space="0"/>
            </w:tcBorders>
            <w:noWrap w:val="0"/>
            <w:vAlign w:val="center"/>
          </w:tcPr>
          <w:p w14:paraId="1ED6957E">
            <w:pPr>
              <w:keepNext w:val="0"/>
              <w:keepLines w:val="0"/>
              <w:pageBreakBefore w:val="0"/>
              <w:widowControl/>
              <w:tabs>
                <w:tab w:val="left" w:leader="middleDot" w:pos="9240"/>
              </w:tabs>
              <w:kinsoku/>
              <w:wordWrap/>
              <w:overflowPunct/>
              <w:topLinePunct w:val="0"/>
              <w:autoSpaceDE/>
              <w:autoSpaceDN/>
              <w:bidi w:val="0"/>
              <w:adjustRightInd/>
              <w:spacing w:line="380" w:lineRule="exact"/>
              <w:jc w:val="center"/>
              <w:textAlignment w:val="center"/>
              <w:rPr>
                <w:rFonts w:hint="eastAsia" w:ascii="宋体" w:hAnsi="宋体" w:eastAsia="宋体" w:cs="宋体"/>
                <w:color w:val="000000"/>
                <w:sz w:val="24"/>
                <w:szCs w:val="24"/>
              </w:rPr>
            </w:pPr>
          </w:p>
        </w:tc>
        <w:tc>
          <w:tcPr>
            <w:tcW w:w="540" w:type="pct"/>
            <w:tcBorders>
              <w:top w:val="single" w:color="auto" w:sz="4" w:space="0"/>
              <w:left w:val="single" w:color="auto" w:sz="4" w:space="0"/>
              <w:right w:val="single" w:color="auto" w:sz="4" w:space="0"/>
            </w:tcBorders>
            <w:noWrap w:val="0"/>
            <w:vAlign w:val="center"/>
          </w:tcPr>
          <w:p w14:paraId="15B244C8">
            <w:pPr>
              <w:keepNext w:val="0"/>
              <w:keepLines w:val="0"/>
              <w:pageBreakBefore w:val="0"/>
              <w:widowControl/>
              <w:tabs>
                <w:tab w:val="left" w:leader="middleDot" w:pos="9240"/>
              </w:tabs>
              <w:kinsoku/>
              <w:wordWrap/>
              <w:overflowPunct/>
              <w:topLinePunct w:val="0"/>
              <w:autoSpaceDE/>
              <w:autoSpaceDN/>
              <w:bidi w:val="0"/>
              <w:adjustRightInd/>
              <w:spacing w:line="380" w:lineRule="exact"/>
              <w:jc w:val="center"/>
              <w:textAlignment w:val="center"/>
              <w:rPr>
                <w:rFonts w:hint="eastAsia" w:ascii="宋体" w:hAnsi="宋体" w:eastAsia="宋体" w:cs="宋体"/>
                <w:color w:val="000000"/>
                <w:sz w:val="24"/>
                <w:szCs w:val="24"/>
              </w:rPr>
            </w:pPr>
          </w:p>
        </w:tc>
      </w:tr>
      <w:tr w14:paraId="16101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5000" w:type="pct"/>
            <w:gridSpan w:val="12"/>
            <w:tcBorders>
              <w:top w:val="single" w:color="auto" w:sz="4" w:space="0"/>
              <w:left w:val="single" w:color="auto" w:sz="4" w:space="0"/>
              <w:bottom w:val="single" w:color="auto" w:sz="4" w:space="0"/>
              <w:right w:val="single" w:color="auto" w:sz="4" w:space="0"/>
            </w:tcBorders>
            <w:noWrap w:val="0"/>
            <w:vAlign w:val="center"/>
          </w:tcPr>
          <w:p w14:paraId="0F3B23D6">
            <w:pPr>
              <w:keepNext w:val="0"/>
              <w:keepLines w:val="0"/>
              <w:pageBreakBefore w:val="0"/>
              <w:widowControl w:val="0"/>
              <w:tabs>
                <w:tab w:val="left" w:leader="middleDot" w:pos="9240"/>
              </w:tabs>
              <w:kinsoku/>
              <w:wordWrap/>
              <w:overflowPunct/>
              <w:topLinePunct w:val="0"/>
              <w:autoSpaceDE/>
              <w:autoSpaceDN/>
              <w:bidi w:val="0"/>
              <w:adjustRightInd/>
              <w:snapToGrid/>
              <w:spacing w:line="380" w:lineRule="exact"/>
              <w:ind w:firstLine="0" w:firstLineChars="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yellow"/>
              </w:rPr>
              <w:t>合同总</w:t>
            </w:r>
            <w:r>
              <w:rPr>
                <w:rFonts w:hint="eastAsia" w:ascii="宋体" w:hAnsi="宋体" w:eastAsia="宋体" w:cs="宋体"/>
                <w:color w:val="000000"/>
                <w:sz w:val="24"/>
                <w:szCs w:val="24"/>
                <w:highlight w:val="yellow"/>
                <w:lang w:eastAsia="zh-CN"/>
              </w:rPr>
              <w:t>金</w:t>
            </w:r>
            <w:r>
              <w:rPr>
                <w:rFonts w:hint="eastAsia" w:ascii="宋体" w:hAnsi="宋体" w:eastAsia="宋体" w:cs="宋体"/>
                <w:color w:val="000000"/>
                <w:sz w:val="24"/>
                <w:szCs w:val="24"/>
                <w:highlight w:val="yellow"/>
              </w:rPr>
              <w:t>额：人民币（¥）</w:t>
            </w:r>
          </w:p>
        </w:tc>
      </w:tr>
    </w:tbl>
    <w:p w14:paraId="0B681FE6">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textAlignment w:val="auto"/>
        <w:rPr>
          <w:rFonts w:hint="eastAsia" w:ascii="宋体" w:hAnsi="宋体" w:eastAsia="宋体" w:cs="宋体"/>
          <w:sz w:val="24"/>
          <w:szCs w:val="24"/>
        </w:rPr>
      </w:pPr>
    </w:p>
    <w:p w14:paraId="0D2AF2E3">
      <w:pPr>
        <w:pStyle w:val="10"/>
        <w:rPr>
          <w:rFonts w:hint="eastAsia" w:ascii="宋体" w:hAnsi="宋体" w:eastAsia="宋体" w:cs="宋体"/>
          <w:sz w:val="24"/>
          <w:szCs w:val="24"/>
        </w:rPr>
      </w:pPr>
      <w:r>
        <w:rPr>
          <w:rFonts w:hint="eastAsia" w:ascii="宋体" w:hAnsi="宋体" w:eastAsia="宋体" w:cs="宋体"/>
          <w:sz w:val="24"/>
          <w:szCs w:val="24"/>
        </w:rPr>
        <w:t>合同期限：自合同签订之日起</w:t>
      </w:r>
      <w:r>
        <w:rPr>
          <w:rFonts w:hint="eastAsia" w:hAnsi="宋体" w:eastAsia="宋体" w:cs="宋体"/>
          <w:sz w:val="24"/>
          <w:szCs w:val="24"/>
          <w:lang w:eastAsia="zh-CN"/>
        </w:rPr>
        <w:t>二</w:t>
      </w:r>
      <w:r>
        <w:rPr>
          <w:rFonts w:hint="eastAsia" w:hAnsi="宋体" w:eastAsia="宋体" w:cs="宋体"/>
          <w:sz w:val="24"/>
          <w:szCs w:val="24"/>
          <w:lang w:val="en-US" w:eastAsia="zh-CN"/>
        </w:rPr>
        <w:t>年，二</w:t>
      </w:r>
      <w:r>
        <w:rPr>
          <w:rFonts w:hint="eastAsia" w:ascii="宋体" w:hAnsi="宋体" w:eastAsia="宋体" w:cs="宋体"/>
          <w:sz w:val="24"/>
          <w:szCs w:val="24"/>
        </w:rPr>
        <w:t>年内按本合同总额完成送货及结算货款，本合同终止</w:t>
      </w:r>
      <w:r>
        <w:rPr>
          <w:rFonts w:hint="eastAsia" w:hAnsi="宋体" w:eastAsia="宋体" w:cs="宋体"/>
          <w:sz w:val="24"/>
          <w:szCs w:val="24"/>
          <w:lang w:eastAsia="zh-CN"/>
        </w:rPr>
        <w:t>，</w:t>
      </w:r>
      <w:r>
        <w:rPr>
          <w:rFonts w:hint="eastAsia" w:ascii="宋体" w:hAnsi="宋体" w:eastAsia="宋体" w:cs="宋体"/>
          <w:sz w:val="24"/>
          <w:szCs w:val="24"/>
        </w:rPr>
        <w:t>合同期满后，未能按合同总额履行完送货及结算货款的，按实际送货量结算货款，本合同终止。合同期内，如耗材产品使用过程中出现问题，经临床使用科室上报3例及以上医疗器械不良事件，并经核实确为产品本身质量存在问题的，甲方有权单方解除本合同。甲方出具的合同解除书面通知到达乙方之日，本合同解除；院方现有库存可退还供货商，乙方须无条件接收退货</w:t>
      </w:r>
      <w:r>
        <w:rPr>
          <w:rFonts w:hint="eastAsia"/>
        </w:rPr>
        <w:t>，并按合同约定承担由此产生的全部损失</w:t>
      </w:r>
      <w:r>
        <w:rPr>
          <w:rFonts w:hint="eastAsia" w:ascii="宋体" w:hAnsi="宋体" w:eastAsia="宋体" w:cs="宋体"/>
          <w:sz w:val="24"/>
          <w:szCs w:val="24"/>
        </w:rPr>
        <w:t>。</w:t>
      </w:r>
      <w:r>
        <w:rPr>
          <w:rFonts w:ascii="宋体" w:hAnsi="宋体" w:eastAsia="宋体" w:cs="宋体"/>
          <w:sz w:val="24"/>
          <w:szCs w:val="24"/>
        </w:rPr>
        <w:t>如因为供应商的代理授权、被上级部门立案查处、资质失效、经营许可被撤销/吊销等原因，导致该耗材无法继续合法在本院采购使用的，院方有权单方解除本合同，已采购未使用的库存耗材可选择退回供应商，供应商须无条件接收并退还对应货款，由此造成</w:t>
      </w:r>
      <w:r>
        <w:rPr>
          <w:rFonts w:hint="eastAsia" w:ascii="宋体" w:hAnsi="宋体" w:eastAsia="宋体" w:cs="宋体"/>
          <w:sz w:val="24"/>
          <w:szCs w:val="24"/>
          <w:lang w:val="en-US" w:eastAsia="zh-CN"/>
        </w:rPr>
        <w:t>院方</w:t>
      </w:r>
      <w:r>
        <w:rPr>
          <w:rFonts w:ascii="宋体" w:hAnsi="宋体" w:eastAsia="宋体" w:cs="宋体"/>
          <w:sz w:val="24"/>
          <w:szCs w:val="24"/>
        </w:rPr>
        <w:t>的一切损失由供应商自行承担。</w:t>
      </w:r>
    </w:p>
    <w:p w14:paraId="397CF92C">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20"/>
        <w:textAlignment w:val="auto"/>
        <w:rPr>
          <w:rFonts w:hint="eastAsia" w:ascii="宋体" w:hAnsi="宋体" w:eastAsia="宋体" w:cs="宋体"/>
          <w:sz w:val="24"/>
          <w:szCs w:val="24"/>
        </w:rPr>
      </w:pPr>
      <w:r>
        <w:rPr>
          <w:rFonts w:hint="eastAsia" w:ascii="宋体" w:hAnsi="宋体" w:eastAsia="宋体" w:cs="宋体"/>
          <w:sz w:val="24"/>
          <w:szCs w:val="24"/>
        </w:rPr>
        <w:t>（1）合同</w:t>
      </w:r>
      <w:r>
        <w:rPr>
          <w:rFonts w:hint="eastAsia" w:hAnsi="宋体" w:eastAsia="宋体" w:cs="宋体"/>
          <w:sz w:val="24"/>
          <w:szCs w:val="24"/>
          <w:lang w:eastAsia="zh-CN"/>
        </w:rPr>
        <w:t>总金</w:t>
      </w:r>
      <w:r>
        <w:rPr>
          <w:rFonts w:hint="eastAsia" w:ascii="宋体" w:hAnsi="宋体" w:eastAsia="宋体" w:cs="宋体"/>
          <w:sz w:val="24"/>
          <w:szCs w:val="24"/>
        </w:rPr>
        <w:t>额：本合同金额所涵盖的范围包含但不限于以下全部事项及相关风险：采购、货物、运输、劳务、管理、利润、税金、保险、售后服务（含质保等）、产品配送及交付，以及本合同履行过程中所有可预见及不可预见的不确定因素所产生的全部风险。除本合同约定的金额外，</w:t>
      </w:r>
      <w:r>
        <w:rPr>
          <w:rFonts w:hint="eastAsia" w:hAnsi="宋体" w:eastAsia="宋体" w:cs="宋体"/>
          <w:sz w:val="24"/>
          <w:szCs w:val="24"/>
          <w:lang w:eastAsia="zh-CN"/>
        </w:rPr>
        <w:t>甲方</w:t>
      </w:r>
      <w:r>
        <w:rPr>
          <w:rFonts w:hint="eastAsia" w:ascii="宋体" w:hAnsi="宋体" w:eastAsia="宋体" w:cs="宋体"/>
          <w:sz w:val="24"/>
          <w:szCs w:val="24"/>
        </w:rPr>
        <w:t>不再支付任何其他费用。</w:t>
      </w:r>
    </w:p>
    <w:p w14:paraId="36762C49">
      <w:pPr>
        <w:pStyle w:val="17"/>
        <w:keepNext w:val="0"/>
        <w:keepLines w:val="0"/>
        <w:pageBreakBefore w:val="0"/>
        <w:widowControl w:val="0"/>
        <w:numPr>
          <w:ilvl w:val="0"/>
          <w:numId w:val="5"/>
        </w:numPr>
        <w:tabs>
          <w:tab w:val="left" w:leader="middleDot" w:pos="9240"/>
        </w:tabs>
        <w:kinsoku/>
        <w:wordWrap/>
        <w:overflowPunct/>
        <w:topLinePunct w:val="0"/>
        <w:autoSpaceDE/>
        <w:autoSpaceDN/>
        <w:bidi w:val="0"/>
        <w:adjustRightInd/>
        <w:spacing w:line="380" w:lineRule="exact"/>
        <w:ind w:firstLine="42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本合同所涉及的乙方应提供的货物、服务内容详见《项目需求》及应答文件中所列内容和《合同基本条款》。</w:t>
      </w:r>
    </w:p>
    <w:p w14:paraId="5BD705E0">
      <w:pPr>
        <w:pStyle w:val="17"/>
        <w:keepNext w:val="0"/>
        <w:keepLines w:val="0"/>
        <w:pageBreakBefore w:val="0"/>
        <w:widowControl w:val="0"/>
        <w:numPr>
          <w:ilvl w:val="0"/>
          <w:numId w:val="5"/>
        </w:numPr>
        <w:tabs>
          <w:tab w:val="left" w:leader="middleDot" w:pos="9240"/>
        </w:tabs>
        <w:kinsoku/>
        <w:wordWrap/>
        <w:overflowPunct/>
        <w:topLinePunct w:val="0"/>
        <w:autoSpaceDE/>
        <w:autoSpaceDN/>
        <w:bidi w:val="0"/>
        <w:adjustRightInd/>
        <w:spacing w:line="380" w:lineRule="exact"/>
        <w:ind w:firstLine="42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合同期内合同内约定的物货单价不得提价，合同期内价格上调的变动风险由</w:t>
      </w:r>
      <w:r>
        <w:rPr>
          <w:rFonts w:hint="eastAsia" w:hAnsi="宋体" w:eastAsia="宋体" w:cs="宋体"/>
          <w:color w:val="000000"/>
          <w:sz w:val="24"/>
          <w:szCs w:val="24"/>
          <w:lang w:eastAsia="zh-CN"/>
        </w:rPr>
        <w:t>乙方</w:t>
      </w:r>
      <w:r>
        <w:rPr>
          <w:rFonts w:hint="eastAsia" w:ascii="宋体" w:hAnsi="宋体" w:eastAsia="宋体" w:cs="宋体"/>
          <w:color w:val="000000"/>
          <w:sz w:val="24"/>
          <w:szCs w:val="24"/>
        </w:rPr>
        <w:t>自行承担；</w:t>
      </w:r>
    </w:p>
    <w:p w14:paraId="14792027">
      <w:pPr>
        <w:pStyle w:val="17"/>
        <w:keepNext w:val="0"/>
        <w:keepLines w:val="0"/>
        <w:pageBreakBefore w:val="0"/>
        <w:widowControl w:val="0"/>
        <w:numPr>
          <w:ilvl w:val="0"/>
          <w:numId w:val="5"/>
        </w:numPr>
        <w:tabs>
          <w:tab w:val="left" w:leader="middleDot" w:pos="9240"/>
        </w:tabs>
        <w:kinsoku/>
        <w:wordWrap/>
        <w:overflowPunct/>
        <w:topLinePunct w:val="0"/>
        <w:autoSpaceDE/>
        <w:autoSpaceDN/>
        <w:bidi w:val="0"/>
        <w:adjustRightInd/>
        <w:spacing w:line="380" w:lineRule="exact"/>
        <w:ind w:firstLine="420"/>
        <w:textAlignment w:val="auto"/>
        <w:rPr>
          <w:rFonts w:hint="eastAsia" w:ascii="宋体" w:hAnsi="宋体" w:eastAsia="宋体" w:cs="宋体"/>
          <w:b/>
          <w:sz w:val="24"/>
          <w:szCs w:val="24"/>
        </w:rPr>
      </w:pPr>
      <w:r>
        <w:rPr>
          <w:rFonts w:hint="eastAsia" w:ascii="宋体" w:hAnsi="宋体" w:eastAsia="宋体" w:cs="宋体"/>
          <w:sz w:val="24"/>
          <w:szCs w:val="24"/>
          <w:lang w:val="zh-CN"/>
        </w:rPr>
        <w:t>合同期内如遇国家、自治区出台新的政策文件，涉及本品种采购和使用要求则按国家、自治区政策文件要求执行包</w:t>
      </w:r>
      <w:r>
        <w:rPr>
          <w:rFonts w:hint="eastAsia" w:hAnsi="宋体" w:eastAsia="宋体" w:cs="宋体"/>
          <w:sz w:val="24"/>
          <w:szCs w:val="24"/>
          <w:lang w:val="zh-CN"/>
        </w:rPr>
        <w:t>含</w:t>
      </w:r>
      <w:r>
        <w:rPr>
          <w:rFonts w:hint="eastAsia" w:ascii="宋体" w:hAnsi="宋体" w:eastAsia="宋体" w:cs="宋体"/>
          <w:sz w:val="24"/>
          <w:szCs w:val="24"/>
          <w:lang w:val="zh-CN"/>
        </w:rPr>
        <w:t>但不限于停止采购、限价、限量，</w:t>
      </w:r>
      <w:r>
        <w:rPr>
          <w:rFonts w:hint="eastAsia" w:ascii="宋体" w:hAnsi="宋体" w:eastAsia="宋体" w:cs="宋体"/>
          <w:sz w:val="24"/>
          <w:szCs w:val="24"/>
        </w:rPr>
        <w:t>乙方自行承担采购政策变化带来的风险。</w:t>
      </w:r>
    </w:p>
    <w:p w14:paraId="347FFC70">
      <w:pPr>
        <w:keepNext w:val="0"/>
        <w:keepLines w:val="0"/>
        <w:pageBreakBefore w:val="0"/>
        <w:widowControl w:val="0"/>
        <w:numPr>
          <w:ilvl w:val="0"/>
          <w:numId w:val="5"/>
        </w:numPr>
        <w:tabs>
          <w:tab w:val="left" w:leader="middleDot" w:pos="9240"/>
        </w:tabs>
        <w:kinsoku/>
        <w:wordWrap/>
        <w:overflowPunct/>
        <w:topLinePunct w:val="0"/>
        <w:autoSpaceDE/>
        <w:autoSpaceDN/>
        <w:bidi w:val="0"/>
        <w:adjustRightInd/>
        <w:spacing w:line="380" w:lineRule="exact"/>
        <w:ind w:left="0" w:leftChars="0" w:firstLine="420" w:firstLineChars="0"/>
        <w:textAlignment w:val="auto"/>
        <w:rPr>
          <w:rFonts w:hint="eastAsia" w:hAnsi="宋体" w:cs="宋体"/>
          <w:color w:val="000000"/>
          <w:sz w:val="24"/>
          <w:szCs w:val="24"/>
        </w:rPr>
      </w:pPr>
      <w:r>
        <w:rPr>
          <w:rFonts w:hint="eastAsia" w:hAnsi="宋体" w:cs="宋体"/>
          <w:color w:val="000000"/>
          <w:sz w:val="24"/>
          <w:szCs w:val="24"/>
        </w:rPr>
        <w:t>乙方累计供货金额达到合同总金额 70% 时，须主动联系甲方，告知供货情况。若甲方实际耗用耗材对应的货值超出合同总金额，甲方可将未使用耗材办理退库。乙方收到退库申请后 7 个工作日内完成查验，核对无误后办理退库手续。</w:t>
      </w:r>
    </w:p>
    <w:p w14:paraId="77D560DB">
      <w:pPr>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20"/>
        <w:textAlignment w:val="auto"/>
        <w:rPr>
          <w:rFonts w:hint="eastAsia" w:ascii="宋体" w:hAnsi="宋体" w:cs="宋体"/>
          <w:sz w:val="24"/>
        </w:rPr>
      </w:pPr>
      <w:r>
        <w:rPr>
          <w:rFonts w:hint="eastAsia" w:ascii="宋体" w:hAnsi="宋体" w:cs="宋体"/>
          <w:sz w:val="24"/>
        </w:rPr>
        <w:t>（6）乙方保证所供产品的品牌、规格、厂家、质量与采购文件一致，距有效期</w:t>
      </w:r>
      <w:r>
        <w:rPr>
          <w:rFonts w:hint="eastAsia" w:ascii="宋体" w:hAnsi="宋体" w:cs="宋体"/>
          <w:sz w:val="24"/>
          <w:lang w:val="en-US" w:eastAsia="zh-CN"/>
        </w:rPr>
        <w:t>3</w:t>
      </w:r>
      <w:r>
        <w:rPr>
          <w:rFonts w:hint="eastAsia" w:ascii="宋体" w:hAnsi="宋体" w:cs="宋体"/>
          <w:sz w:val="24"/>
        </w:rPr>
        <w:t>个月及以上的近效期产品，乙方需在甲方提出需求后5个工作日内无条件更换，相关费用由乙方承担；若产品不符或效期/批号违规，甲方有权拒收、要求乙方</w:t>
      </w:r>
      <w:r>
        <w:rPr>
          <w:rFonts w:hint="eastAsia" w:ascii="宋体" w:hAnsi="宋体" w:cs="宋体"/>
          <w:sz w:val="24"/>
          <w:lang w:val="en-US" w:eastAsia="zh-CN"/>
        </w:rPr>
        <w:t>2</w:t>
      </w:r>
      <w:r>
        <w:rPr>
          <w:rFonts w:hint="eastAsia" w:ascii="宋体" w:hAnsi="宋体" w:cs="宋体"/>
          <w:sz w:val="24"/>
        </w:rPr>
        <w:t>个工作日内重供，或解除合同并要求乙方承担合同总金额10%违约金及甲方全部损失；特殊情况（政策调整、不可抗力等）情况下双方另行协商。</w:t>
      </w:r>
    </w:p>
    <w:p w14:paraId="330D5A08">
      <w:pPr>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20"/>
        <w:textAlignment w:val="auto"/>
        <w:rPr>
          <w:rFonts w:hint="eastAsia" w:ascii="宋体" w:hAnsi="宋体" w:eastAsia="宋体" w:cs="宋体"/>
          <w:color w:val="000000"/>
          <w:sz w:val="24"/>
          <w:szCs w:val="24"/>
          <w:lang w:eastAsia="zh-CN"/>
        </w:rPr>
      </w:pPr>
      <w:r>
        <w:rPr>
          <w:rFonts w:hint="eastAsia" w:ascii="宋体" w:hAnsi="宋体" w:cs="宋体"/>
          <w:sz w:val="24"/>
        </w:rPr>
        <w:t>（7）本合同项下的货物名称、规格、数量、单价及合同总价以本合同第3条货物采购金额和服务内容的约定为准。任何超出本合同约定范围的货物交付，不构成对本合同的变更，甲方有权不予接受，且无需承担任何付款义务或法律责任</w:t>
      </w:r>
    </w:p>
    <w:p w14:paraId="4652F8A7">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4、 质保期</w:t>
      </w:r>
    </w:p>
    <w:p w14:paraId="31B05F48">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（1）货物质保期：</w:t>
      </w:r>
      <w:r>
        <w:rPr>
          <w:rFonts w:hint="eastAsia" w:ascii="宋体" w:hAnsi="宋体" w:eastAsia="宋体" w:cs="宋体"/>
          <w:sz w:val="24"/>
          <w:szCs w:val="24"/>
          <w:u w:val="single"/>
          <w:lang w:eastAsia="zh-CN"/>
        </w:rPr>
        <w:t>自验收合格之日起</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lang w:eastAsia="zh-CN"/>
        </w:rPr>
        <w:t>。</w:t>
      </w:r>
    </w:p>
    <w:p w14:paraId="66D83485">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5、付款条件</w:t>
      </w:r>
    </w:p>
    <w:p w14:paraId="5539C3EA">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sz w:val="24"/>
          <w:szCs w:val="24"/>
        </w:rPr>
        <w:t>按实际送货量结算货款，每批货验收合格之日起，乙方提供并收集送、验货等材料及发票交给甲方；甲方自收到货物及发票之日起付款时间最长不得超过120日，</w:t>
      </w:r>
      <w:r>
        <w:rPr>
          <w:rFonts w:hint="eastAsia" w:ascii="宋体" w:hAnsi="宋体" w:eastAsia="宋体" w:cs="宋体"/>
          <w:sz w:val="24"/>
          <w:szCs w:val="24"/>
          <w:lang w:val="en-US" w:eastAsia="zh-CN"/>
        </w:rPr>
        <w:t>货款</w:t>
      </w:r>
      <w:r>
        <w:rPr>
          <w:rFonts w:hint="eastAsia" w:ascii="宋体" w:hAnsi="宋体" w:eastAsia="宋体" w:cs="宋体"/>
          <w:sz w:val="24"/>
          <w:szCs w:val="24"/>
        </w:rPr>
        <w:t>不得超过合同总金额。</w:t>
      </w:r>
    </w:p>
    <w:p w14:paraId="418B3B27">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甲方仅对在本合同有效期内，且依据本合同约定的程序和标准接收的合格货物承担付款义务。对于合同终止后或超出合同约定总量的货物，无论是否实际交付，均不产生任何付款责任，且甲方保留要求乙方自行承担费用运回上述货物的权利。</w:t>
      </w:r>
    </w:p>
    <w:p w14:paraId="41DC0FB5">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6、交货时间</w:t>
      </w:r>
    </w:p>
    <w:p w14:paraId="185D9FE3">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按使用计划分批交货，在收到</w:t>
      </w:r>
      <w:r>
        <w:rPr>
          <w:rFonts w:hint="eastAsia" w:ascii="宋体" w:hAnsi="宋体" w:eastAsia="宋体" w:cs="宋体"/>
          <w:sz w:val="24"/>
          <w:szCs w:val="24"/>
          <w:lang w:eastAsia="zh-CN"/>
        </w:rPr>
        <w:t>甲方</w:t>
      </w:r>
      <w:r>
        <w:rPr>
          <w:rFonts w:hint="eastAsia" w:ascii="宋体" w:hAnsi="宋体" w:eastAsia="宋体" w:cs="宋体"/>
          <w:sz w:val="24"/>
          <w:szCs w:val="24"/>
        </w:rPr>
        <w:t>发出的订货清单后</w:t>
      </w:r>
      <w:r>
        <w:rPr>
          <w:rFonts w:hint="eastAsia" w:hAnsi="宋体" w:cs="宋体"/>
          <w:sz w:val="24"/>
          <w:szCs w:val="24"/>
          <w:lang w:val="en-US" w:eastAsia="zh-CN"/>
        </w:rPr>
        <w:t>5</w:t>
      </w:r>
      <w:r>
        <w:rPr>
          <w:rFonts w:hint="eastAsia" w:ascii="宋体" w:hAnsi="宋体" w:eastAsia="宋体" w:cs="宋体"/>
          <w:sz w:val="24"/>
          <w:szCs w:val="24"/>
        </w:rPr>
        <w:t>个工作日内按要求送货至指定地点并负责卸货。</w:t>
      </w:r>
    </w:p>
    <w:p w14:paraId="62D70668">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7、验收办法</w:t>
      </w:r>
    </w:p>
    <w:p w14:paraId="07CF944B">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本合同验收办法在合同的基本条款中有明确规定。</w:t>
      </w:r>
    </w:p>
    <w:p w14:paraId="56C95581">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8、交货地点</w:t>
      </w:r>
    </w:p>
    <w:p w14:paraId="0FEBE62D">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交货地点：甲方指定地点</w:t>
      </w:r>
    </w:p>
    <w:p w14:paraId="58B9928D">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9、售后要求</w:t>
      </w:r>
    </w:p>
    <w:p w14:paraId="1C7C5C18">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1</w:t>
      </w:r>
      <w:r>
        <w:rPr>
          <w:rFonts w:hint="eastAsia" w:ascii="宋体" w:hAnsi="宋体" w:eastAsia="宋体" w:cs="宋体"/>
          <w:sz w:val="24"/>
          <w:szCs w:val="24"/>
        </w:rPr>
        <w:t>）乙方应按照国家有关法律法规和“三包”规定为甲方提供售后服务</w:t>
      </w:r>
      <w:r>
        <w:rPr>
          <w:rFonts w:hint="eastAsia" w:ascii="宋体" w:hAnsi="宋体" w:eastAsia="宋体" w:cs="宋体"/>
          <w:sz w:val="24"/>
          <w:szCs w:val="24"/>
          <w:lang w:eastAsia="zh-CN"/>
        </w:rPr>
        <w:t>；</w:t>
      </w:r>
    </w:p>
    <w:p w14:paraId="388EFF9A">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rPr>
        <w:t>乙方提供的服务承诺和售后服务及质保期责任等其它具体约定事项</w:t>
      </w:r>
      <w:r>
        <w:rPr>
          <w:rFonts w:hint="eastAsia" w:ascii="宋体" w:hAnsi="宋体" w:eastAsia="宋体" w:cs="宋体"/>
          <w:sz w:val="24"/>
          <w:szCs w:val="24"/>
          <w:lang w:eastAsia="zh-CN"/>
        </w:rPr>
        <w:t>；</w:t>
      </w:r>
    </w:p>
    <w:p w14:paraId="56602B99">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3</w:t>
      </w:r>
      <w:r>
        <w:rPr>
          <w:rFonts w:hint="eastAsia" w:ascii="宋体" w:hAnsi="宋体" w:eastAsia="宋体" w:cs="宋体"/>
          <w:sz w:val="24"/>
          <w:szCs w:val="24"/>
        </w:rPr>
        <w:t>）负责</w:t>
      </w:r>
      <w:r>
        <w:rPr>
          <w:rFonts w:hint="eastAsia" w:ascii="宋体" w:hAnsi="宋体" w:eastAsia="宋体" w:cs="宋体"/>
          <w:sz w:val="24"/>
          <w:szCs w:val="24"/>
          <w:lang w:eastAsia="zh-CN"/>
        </w:rPr>
        <w:t>免费</w:t>
      </w:r>
      <w:r>
        <w:rPr>
          <w:rFonts w:hint="eastAsia" w:ascii="宋体" w:hAnsi="宋体" w:eastAsia="宋体" w:cs="宋体"/>
          <w:sz w:val="24"/>
          <w:szCs w:val="24"/>
        </w:rPr>
        <w:t>送货上门，负责培训；</w:t>
      </w:r>
    </w:p>
    <w:p w14:paraId="03B1E234">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（4）如确定有质量问题，按照正常程序退换货</w:t>
      </w:r>
      <w:r>
        <w:rPr>
          <w:rFonts w:hint="eastAsia" w:ascii="宋体" w:hAnsi="宋体" w:eastAsia="宋体" w:cs="宋体"/>
          <w:sz w:val="24"/>
          <w:szCs w:val="24"/>
          <w:lang w:eastAsia="zh-CN"/>
        </w:rPr>
        <w:t>；</w:t>
      </w:r>
    </w:p>
    <w:p w14:paraId="29C9ECCF">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5</w:t>
      </w:r>
      <w:r>
        <w:rPr>
          <w:rFonts w:hint="eastAsia" w:ascii="宋体" w:hAnsi="宋体" w:eastAsia="宋体" w:cs="宋体"/>
          <w:sz w:val="24"/>
          <w:szCs w:val="24"/>
        </w:rPr>
        <w:t>）一旦发生质量问题，</w:t>
      </w:r>
      <w:r>
        <w:rPr>
          <w:rFonts w:hint="eastAsia" w:ascii="宋体" w:hAnsi="宋体" w:eastAsia="宋体" w:cs="宋体"/>
          <w:sz w:val="24"/>
          <w:szCs w:val="24"/>
          <w:lang w:eastAsia="zh-CN"/>
        </w:rPr>
        <w:t>乙方</w:t>
      </w:r>
      <w:r>
        <w:rPr>
          <w:rFonts w:hint="eastAsia" w:ascii="宋体" w:hAnsi="宋体" w:eastAsia="宋体" w:cs="宋体"/>
          <w:sz w:val="24"/>
          <w:szCs w:val="24"/>
        </w:rPr>
        <w:t>保证接到通知后半小时内响应，两小时内赶到现场</w:t>
      </w:r>
      <w:r>
        <w:rPr>
          <w:rFonts w:hint="eastAsia" w:ascii="宋体" w:hAnsi="宋体" w:eastAsia="宋体" w:cs="宋体"/>
          <w:sz w:val="24"/>
          <w:szCs w:val="24"/>
          <w:lang w:eastAsia="zh-CN"/>
        </w:rPr>
        <w:t>；</w:t>
      </w:r>
    </w:p>
    <w:p w14:paraId="6EE5D08D">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6</w:t>
      </w:r>
      <w:r>
        <w:rPr>
          <w:rFonts w:hint="eastAsia" w:ascii="宋体" w:hAnsi="宋体" w:eastAsia="宋体" w:cs="宋体"/>
          <w:sz w:val="24"/>
          <w:szCs w:val="24"/>
        </w:rPr>
        <w:t>）在临床使用中若出现不良医疗反应现象，经国家相关质量监察部门鉴定后，确实属于产品质量问题的，</w:t>
      </w:r>
      <w:r>
        <w:rPr>
          <w:rFonts w:hint="eastAsia" w:ascii="宋体" w:hAnsi="宋体" w:eastAsia="宋体" w:cs="宋体"/>
          <w:sz w:val="24"/>
          <w:szCs w:val="24"/>
          <w:lang w:eastAsia="zh-CN"/>
        </w:rPr>
        <w:t>乙方</w:t>
      </w:r>
      <w:r>
        <w:rPr>
          <w:rFonts w:hint="eastAsia" w:ascii="宋体" w:hAnsi="宋体" w:eastAsia="宋体" w:cs="宋体"/>
          <w:sz w:val="24"/>
          <w:szCs w:val="24"/>
        </w:rPr>
        <w:t>承担全部责任</w:t>
      </w:r>
      <w:r>
        <w:rPr>
          <w:rFonts w:hint="eastAsia" w:ascii="宋体" w:hAnsi="宋体" w:eastAsia="宋体" w:cs="宋体"/>
          <w:sz w:val="24"/>
          <w:szCs w:val="24"/>
          <w:lang w:eastAsia="zh-CN"/>
        </w:rPr>
        <w:t>；</w:t>
      </w:r>
    </w:p>
    <w:p w14:paraId="7D570452">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7</w:t>
      </w:r>
      <w:r>
        <w:rPr>
          <w:rFonts w:hint="eastAsia" w:ascii="宋体" w:hAnsi="宋体" w:eastAsia="宋体" w:cs="宋体"/>
          <w:sz w:val="24"/>
          <w:szCs w:val="24"/>
        </w:rPr>
        <w:t>）若</w:t>
      </w:r>
      <w:r>
        <w:rPr>
          <w:rFonts w:hint="eastAsia" w:ascii="宋体" w:hAnsi="宋体" w:eastAsia="宋体" w:cs="宋体"/>
          <w:sz w:val="24"/>
          <w:szCs w:val="24"/>
          <w:lang w:eastAsia="zh-CN"/>
        </w:rPr>
        <w:t>甲方</w:t>
      </w:r>
      <w:r>
        <w:rPr>
          <w:rFonts w:hint="eastAsia" w:ascii="宋体" w:hAnsi="宋体" w:eastAsia="宋体" w:cs="宋体"/>
          <w:sz w:val="24"/>
          <w:szCs w:val="24"/>
        </w:rPr>
        <w:t>发生与产品相关的事故，不论是否与产品质量有关，</w:t>
      </w:r>
      <w:r>
        <w:rPr>
          <w:rFonts w:hint="eastAsia" w:ascii="宋体" w:hAnsi="宋体" w:eastAsia="宋体" w:cs="宋体"/>
          <w:sz w:val="24"/>
          <w:szCs w:val="24"/>
          <w:lang w:eastAsia="zh-CN"/>
        </w:rPr>
        <w:t>乙方</w:t>
      </w:r>
      <w:r>
        <w:rPr>
          <w:rFonts w:hint="eastAsia" w:ascii="宋体" w:hAnsi="宋体" w:eastAsia="宋体" w:cs="宋体"/>
          <w:sz w:val="24"/>
          <w:szCs w:val="24"/>
        </w:rPr>
        <w:t>必须积极参与</w:t>
      </w:r>
      <w:r>
        <w:rPr>
          <w:rFonts w:hint="eastAsia" w:ascii="宋体" w:hAnsi="宋体" w:eastAsia="宋体" w:cs="宋体"/>
          <w:sz w:val="24"/>
          <w:szCs w:val="24"/>
          <w:lang w:eastAsia="zh-CN"/>
        </w:rPr>
        <w:t>甲方</w:t>
      </w:r>
      <w:r>
        <w:rPr>
          <w:rFonts w:hint="eastAsia" w:ascii="宋体" w:hAnsi="宋体" w:eastAsia="宋体" w:cs="宋体"/>
          <w:sz w:val="24"/>
          <w:szCs w:val="24"/>
        </w:rPr>
        <w:t>事故的处理。</w:t>
      </w:r>
    </w:p>
    <w:p w14:paraId="14E94F36">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8</w:t>
      </w:r>
      <w:r>
        <w:rPr>
          <w:rFonts w:hint="eastAsia" w:ascii="宋体" w:hAnsi="宋体" w:eastAsia="宋体" w:cs="宋体"/>
          <w:sz w:val="24"/>
          <w:szCs w:val="24"/>
        </w:rPr>
        <w:t>）保证合同期限内的相关产品授权，不以授权到期为由申请转配送或逾期不供货</w:t>
      </w:r>
      <w:r>
        <w:rPr>
          <w:rFonts w:hint="eastAsia" w:ascii="宋体" w:hAnsi="宋体" w:eastAsia="宋体" w:cs="宋体"/>
          <w:sz w:val="24"/>
          <w:szCs w:val="24"/>
          <w:lang w:eastAsia="zh-CN"/>
        </w:rPr>
        <w:t>；</w:t>
      </w:r>
    </w:p>
    <w:p w14:paraId="55EBA607">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10、其他</w:t>
      </w:r>
    </w:p>
    <w:p w14:paraId="7DE3C421">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乙方</w:t>
      </w:r>
      <w:r>
        <w:rPr>
          <w:rFonts w:hint="eastAsia" w:ascii="宋体" w:hAnsi="宋体" w:eastAsia="宋体" w:cs="宋体"/>
          <w:sz w:val="24"/>
          <w:szCs w:val="24"/>
        </w:rPr>
        <w:t>保证向</w:t>
      </w:r>
      <w:r>
        <w:rPr>
          <w:rFonts w:hint="eastAsia" w:ascii="宋体" w:hAnsi="宋体" w:eastAsia="宋体" w:cs="宋体"/>
          <w:sz w:val="24"/>
          <w:szCs w:val="24"/>
          <w:lang w:eastAsia="zh-CN"/>
        </w:rPr>
        <w:t>甲方</w:t>
      </w:r>
      <w:r>
        <w:rPr>
          <w:rFonts w:hint="eastAsia" w:ascii="宋体" w:hAnsi="宋体" w:eastAsia="宋体" w:cs="宋体"/>
          <w:sz w:val="24"/>
          <w:szCs w:val="24"/>
        </w:rPr>
        <w:t>提供的货物是全新、完整、未使用过的。</w:t>
      </w:r>
    </w:p>
    <w:p w14:paraId="79C11323">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（2）如国家对竞标产品实行注册证登记管理制度的，则</w:t>
      </w:r>
      <w:r>
        <w:rPr>
          <w:rFonts w:hint="eastAsia" w:ascii="宋体" w:hAnsi="宋体" w:eastAsia="宋体" w:cs="宋体"/>
          <w:sz w:val="24"/>
          <w:szCs w:val="24"/>
          <w:lang w:eastAsia="zh-CN"/>
        </w:rPr>
        <w:t>乙方</w:t>
      </w:r>
      <w:r>
        <w:rPr>
          <w:rFonts w:hint="eastAsia" w:ascii="宋体" w:hAnsi="宋体" w:eastAsia="宋体" w:cs="宋体"/>
          <w:sz w:val="24"/>
          <w:szCs w:val="24"/>
        </w:rPr>
        <w:t>必须在响应文件中提供竞标产品的注册证复印件等证明文件，并提供相关的经营许可证复印件。</w:t>
      </w:r>
    </w:p>
    <w:p w14:paraId="0CBA70D3">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eastAsia="zh-CN"/>
        </w:rPr>
        <w:t>乙方</w:t>
      </w:r>
      <w:r>
        <w:rPr>
          <w:rFonts w:hint="eastAsia" w:ascii="宋体" w:hAnsi="宋体" w:eastAsia="宋体" w:cs="宋体"/>
          <w:sz w:val="24"/>
          <w:szCs w:val="24"/>
        </w:rPr>
        <w:t>在签订合同时须向</w:t>
      </w:r>
      <w:r>
        <w:rPr>
          <w:rFonts w:hint="eastAsia" w:ascii="宋体" w:hAnsi="宋体" w:eastAsia="宋体" w:cs="宋体"/>
          <w:sz w:val="24"/>
          <w:szCs w:val="24"/>
          <w:lang w:eastAsia="zh-CN"/>
        </w:rPr>
        <w:t>甲方</w:t>
      </w:r>
      <w:r>
        <w:rPr>
          <w:rFonts w:hint="eastAsia" w:ascii="宋体" w:hAnsi="宋体" w:eastAsia="宋体" w:cs="宋体"/>
          <w:sz w:val="24"/>
          <w:szCs w:val="24"/>
        </w:rPr>
        <w:t>提供供货产品的生产厂家或国内合法代理商出具的有效保证供货证明原件。</w:t>
      </w:r>
    </w:p>
    <w:p w14:paraId="476DD2C0">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eastAsia="zh-CN"/>
        </w:rPr>
        <w:t>乙方</w:t>
      </w:r>
      <w:r>
        <w:rPr>
          <w:rFonts w:hint="eastAsia" w:ascii="宋体" w:hAnsi="宋体" w:eastAsia="宋体" w:cs="宋体"/>
          <w:sz w:val="24"/>
          <w:szCs w:val="24"/>
        </w:rPr>
        <w:t>成交后，</w:t>
      </w:r>
      <w:r>
        <w:rPr>
          <w:rFonts w:hint="eastAsia" w:ascii="宋体" w:hAnsi="宋体" w:eastAsia="宋体" w:cs="宋体"/>
          <w:sz w:val="24"/>
          <w:szCs w:val="24"/>
          <w:lang w:eastAsia="zh-CN"/>
        </w:rPr>
        <w:t>甲方</w:t>
      </w:r>
      <w:r>
        <w:rPr>
          <w:rFonts w:hint="eastAsia" w:ascii="宋体" w:hAnsi="宋体" w:eastAsia="宋体" w:cs="宋体"/>
          <w:sz w:val="24"/>
          <w:szCs w:val="24"/>
        </w:rPr>
        <w:t>在货物验收阶段发现货物技术参数指标达不到采购文件技术要求，</w:t>
      </w:r>
      <w:r>
        <w:rPr>
          <w:rFonts w:hint="eastAsia" w:ascii="宋体" w:hAnsi="宋体" w:eastAsia="宋体" w:cs="宋体"/>
          <w:sz w:val="24"/>
          <w:szCs w:val="24"/>
          <w:lang w:eastAsia="zh-CN"/>
        </w:rPr>
        <w:t>甲方</w:t>
      </w:r>
      <w:r>
        <w:rPr>
          <w:rFonts w:hint="eastAsia" w:ascii="宋体" w:hAnsi="宋体" w:eastAsia="宋体" w:cs="宋体"/>
          <w:sz w:val="24"/>
          <w:szCs w:val="24"/>
        </w:rPr>
        <w:t>将拒绝收货，因采购时间延迟造成</w:t>
      </w:r>
      <w:r>
        <w:rPr>
          <w:rFonts w:hint="eastAsia" w:ascii="宋体" w:hAnsi="宋体" w:eastAsia="宋体" w:cs="宋体"/>
          <w:sz w:val="24"/>
          <w:szCs w:val="24"/>
          <w:lang w:eastAsia="zh-CN"/>
        </w:rPr>
        <w:t>甲方</w:t>
      </w:r>
      <w:r>
        <w:rPr>
          <w:rFonts w:hint="eastAsia" w:ascii="宋体" w:hAnsi="宋体" w:eastAsia="宋体" w:cs="宋体"/>
          <w:sz w:val="24"/>
          <w:szCs w:val="24"/>
        </w:rPr>
        <w:t>经济等方面损失，将</w:t>
      </w:r>
      <w:r>
        <w:rPr>
          <w:rFonts w:hint="eastAsia" w:ascii="宋体" w:hAnsi="宋体" w:eastAsia="宋体" w:cs="宋体"/>
          <w:sz w:val="24"/>
          <w:szCs w:val="24"/>
          <w:lang w:eastAsia="zh-CN"/>
        </w:rPr>
        <w:t>由乙方</w:t>
      </w:r>
      <w:r>
        <w:rPr>
          <w:rFonts w:hint="eastAsia" w:ascii="宋体" w:hAnsi="宋体" w:eastAsia="宋体" w:cs="宋体"/>
          <w:sz w:val="24"/>
          <w:szCs w:val="24"/>
        </w:rPr>
        <w:t>承担。</w:t>
      </w:r>
    </w:p>
    <w:p w14:paraId="05E6E988">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（5）如果</w:t>
      </w:r>
      <w:r>
        <w:rPr>
          <w:rFonts w:hint="eastAsia" w:ascii="宋体" w:hAnsi="宋体" w:eastAsia="宋体" w:cs="宋体"/>
          <w:sz w:val="24"/>
          <w:szCs w:val="24"/>
          <w:lang w:eastAsia="zh-CN"/>
        </w:rPr>
        <w:t>乙方</w:t>
      </w:r>
      <w:r>
        <w:rPr>
          <w:rFonts w:hint="eastAsia" w:ascii="宋体" w:hAnsi="宋体" w:eastAsia="宋体" w:cs="宋体"/>
          <w:sz w:val="24"/>
          <w:szCs w:val="24"/>
        </w:rPr>
        <w:t>以价格上调原因停止供货，需承担的相应违约责任，违约金可以从</w:t>
      </w:r>
      <w:r>
        <w:rPr>
          <w:rFonts w:hint="eastAsia" w:ascii="宋体" w:hAnsi="宋体" w:eastAsia="宋体" w:cs="宋体"/>
          <w:sz w:val="24"/>
          <w:szCs w:val="24"/>
          <w:lang w:eastAsia="zh-CN"/>
        </w:rPr>
        <w:t>甲方</w:t>
      </w:r>
      <w:r>
        <w:rPr>
          <w:rFonts w:hint="eastAsia" w:ascii="宋体" w:hAnsi="宋体" w:eastAsia="宋体" w:cs="宋体"/>
          <w:sz w:val="24"/>
          <w:szCs w:val="24"/>
        </w:rPr>
        <w:t>应付的货款中直接扣除；如因停产不能供货，需有厂家出具的停产证明。</w:t>
      </w:r>
    </w:p>
    <w:p w14:paraId="04FC1809">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11、合同生效及其它</w:t>
      </w:r>
    </w:p>
    <w:p w14:paraId="01F3F50E">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本合同一式</w:t>
      </w:r>
      <w:r>
        <w:rPr>
          <w:rFonts w:hint="eastAsia" w:hAnsi="宋体" w:eastAsia="宋体" w:cs="宋体"/>
          <w:sz w:val="24"/>
          <w:szCs w:val="24"/>
          <w:lang w:eastAsia="zh-CN"/>
        </w:rPr>
        <w:t>六</w:t>
      </w:r>
      <w:r>
        <w:rPr>
          <w:rFonts w:hint="eastAsia" w:ascii="宋体" w:hAnsi="宋体" w:eastAsia="宋体" w:cs="宋体"/>
          <w:sz w:val="24"/>
          <w:szCs w:val="24"/>
        </w:rPr>
        <w:t>份，经甲乙双方法定代表人或委托代理人签字(或签章）并加盖公章</w:t>
      </w:r>
      <w:r>
        <w:rPr>
          <w:rFonts w:hint="eastAsia" w:hAnsi="宋体" w:eastAsia="宋体" w:cs="宋体"/>
          <w:sz w:val="24"/>
          <w:szCs w:val="24"/>
          <w:lang w:eastAsia="zh-CN"/>
        </w:rPr>
        <w:t>（或合同章）</w:t>
      </w:r>
      <w:r>
        <w:rPr>
          <w:rFonts w:hint="eastAsia" w:ascii="宋体" w:hAnsi="宋体" w:eastAsia="宋体" w:cs="宋体"/>
          <w:sz w:val="24"/>
          <w:szCs w:val="24"/>
        </w:rPr>
        <w:t>后生效。甲方</w:t>
      </w:r>
      <w:r>
        <w:rPr>
          <w:rFonts w:hint="eastAsia" w:hAnsi="宋体" w:eastAsia="宋体" w:cs="宋体"/>
          <w:sz w:val="24"/>
          <w:szCs w:val="24"/>
          <w:lang w:eastAsia="zh-CN"/>
        </w:rPr>
        <w:t>五</w:t>
      </w:r>
      <w:r>
        <w:rPr>
          <w:rFonts w:hint="eastAsia" w:ascii="宋体" w:hAnsi="宋体" w:eastAsia="宋体" w:cs="宋体"/>
          <w:sz w:val="24"/>
          <w:szCs w:val="24"/>
        </w:rPr>
        <w:t>份，乙方一份(可根据需要增加）</w:t>
      </w:r>
      <w:r>
        <w:rPr>
          <w:rFonts w:hint="eastAsia" w:hAnsi="宋体" w:eastAsia="宋体" w:cs="宋体"/>
          <w:sz w:val="24"/>
          <w:szCs w:val="24"/>
          <w:lang w:eastAsia="zh-CN"/>
        </w:rPr>
        <w:t>，（</w:t>
      </w:r>
      <w:r>
        <w:rPr>
          <w:rFonts w:hint="eastAsia" w:hAnsi="宋体" w:eastAsia="宋体" w:cs="宋体"/>
          <w:sz w:val="24"/>
          <w:szCs w:val="24"/>
          <w:lang w:val="en-US" w:eastAsia="zh-CN"/>
        </w:rPr>
        <w:t>如为代理人签字，需附授权委托书</w:t>
      </w:r>
      <w:r>
        <w:rPr>
          <w:rFonts w:hint="eastAsia" w:hAnsi="宋体" w:eastAsia="宋体" w:cs="宋体"/>
          <w:sz w:val="24"/>
          <w:szCs w:val="24"/>
          <w:lang w:eastAsia="zh-CN"/>
        </w:rPr>
        <w:t>）</w:t>
      </w:r>
      <w:r>
        <w:rPr>
          <w:rFonts w:hint="eastAsia" w:ascii="宋体" w:hAnsi="宋体" w:eastAsia="宋体" w:cs="宋体"/>
          <w:sz w:val="24"/>
          <w:szCs w:val="24"/>
        </w:rPr>
        <w:t>。</w:t>
      </w:r>
    </w:p>
    <w:tbl>
      <w:tblPr>
        <w:tblStyle w:val="30"/>
        <w:tblpPr w:leftFromText="180" w:rightFromText="180" w:vertAnchor="text" w:horzAnchor="page" w:tblpX="1365" w:tblpY="539"/>
        <w:tblOverlap w:val="never"/>
        <w:tblW w:w="97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76"/>
        <w:gridCol w:w="4884"/>
      </w:tblGrid>
      <w:tr w14:paraId="13906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5" w:hRule="atLeast"/>
          <w:jc w:val="center"/>
        </w:trPr>
        <w:tc>
          <w:tcPr>
            <w:tcW w:w="4876" w:type="dxa"/>
            <w:noWrap w:val="0"/>
            <w:vAlign w:val="center"/>
          </w:tcPr>
          <w:p w14:paraId="6A1F7262">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 xml:space="preserve">甲方(章) </w:t>
            </w:r>
          </w:p>
          <w:p w14:paraId="32F38B69">
            <w:pPr>
              <w:pageBreakBefore w:val="0"/>
              <w:widowControl w:val="0"/>
              <w:kinsoku/>
              <w:wordWrap w:val="0"/>
              <w:overflowPunct/>
              <w:topLinePunct w:val="0"/>
              <w:autoSpaceDE/>
              <w:autoSpaceDN/>
              <w:bidi w:val="0"/>
              <w:adjustRightInd/>
              <w:spacing w:line="420" w:lineRule="exact"/>
              <w:jc w:val="both"/>
              <w:textAlignment w:val="auto"/>
              <w:rPr>
                <w:rFonts w:hint="eastAsia" w:ascii="宋体" w:hAnsi="宋体" w:eastAsia="宋体" w:cs="宋体"/>
                <w:b/>
                <w:bCs/>
                <w:sz w:val="24"/>
                <w:szCs w:val="24"/>
                <w:highlight w:val="none"/>
                <w:lang w:val="en-US" w:eastAsia="zh-CN"/>
              </w:rPr>
            </w:pPr>
          </w:p>
          <w:p w14:paraId="6610ACC5">
            <w:pPr>
              <w:pageBreakBefore w:val="0"/>
              <w:widowControl w:val="0"/>
              <w:kinsoku/>
              <w:wordWrap w:val="0"/>
              <w:overflowPunct/>
              <w:topLinePunct w:val="0"/>
              <w:autoSpaceDE/>
              <w:autoSpaceDN/>
              <w:bidi w:val="0"/>
              <w:adjustRightInd/>
              <w:spacing w:line="420" w:lineRule="exact"/>
              <w:jc w:val="both"/>
              <w:textAlignment w:val="auto"/>
              <w:rPr>
                <w:rFonts w:hint="eastAsia" w:ascii="宋体" w:hAnsi="宋体" w:eastAsia="宋体" w:cs="宋体"/>
                <w:b/>
                <w:bCs/>
                <w:color w:val="auto"/>
                <w:sz w:val="24"/>
                <w:szCs w:val="24"/>
                <w:highlight w:val="none"/>
              </w:rPr>
            </w:pPr>
          </w:p>
        </w:tc>
        <w:tc>
          <w:tcPr>
            <w:tcW w:w="4884" w:type="dxa"/>
            <w:noWrap w:val="0"/>
            <w:vAlign w:val="center"/>
          </w:tcPr>
          <w:p w14:paraId="670826BC">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lang w:eastAsia="zh-CN"/>
              </w:rPr>
              <w:t>乙方</w:t>
            </w:r>
            <w:r>
              <w:rPr>
                <w:rFonts w:hint="eastAsia" w:ascii="宋体" w:hAnsi="宋体" w:eastAsia="宋体" w:cs="宋体"/>
                <w:b/>
                <w:bCs/>
                <w:sz w:val="24"/>
                <w:szCs w:val="24"/>
                <w:highlight w:val="yellow"/>
              </w:rPr>
              <w:t xml:space="preserve">(章) </w:t>
            </w:r>
          </w:p>
          <w:p w14:paraId="506B1912">
            <w:pPr>
              <w:pageBreakBefore w:val="0"/>
              <w:widowControl w:val="0"/>
              <w:kinsoku/>
              <w:wordWrap w:val="0"/>
              <w:overflowPunct/>
              <w:topLinePunct w:val="0"/>
              <w:autoSpaceDE/>
              <w:autoSpaceDN/>
              <w:bidi w:val="0"/>
              <w:adjustRightInd/>
              <w:spacing w:line="420" w:lineRule="exact"/>
              <w:jc w:val="both"/>
              <w:textAlignment w:val="auto"/>
              <w:rPr>
                <w:rFonts w:hint="eastAsia" w:ascii="宋体" w:hAnsi="宋体" w:eastAsia="宋体" w:cs="宋体"/>
                <w:b/>
                <w:bCs/>
                <w:sz w:val="24"/>
                <w:szCs w:val="24"/>
                <w:highlight w:val="none"/>
                <w:lang w:val="en-US" w:eastAsia="zh-CN"/>
              </w:rPr>
            </w:pPr>
          </w:p>
          <w:p w14:paraId="63A64858">
            <w:pPr>
              <w:pageBreakBefore w:val="0"/>
              <w:widowControl w:val="0"/>
              <w:kinsoku/>
              <w:wordWrap w:val="0"/>
              <w:overflowPunct/>
              <w:topLinePunct w:val="0"/>
              <w:autoSpaceDE/>
              <w:autoSpaceDN/>
              <w:bidi w:val="0"/>
              <w:adjustRightInd/>
              <w:spacing w:line="420" w:lineRule="exact"/>
              <w:jc w:val="both"/>
              <w:textAlignment w:val="auto"/>
              <w:rPr>
                <w:rFonts w:hint="eastAsia" w:ascii="宋体" w:hAnsi="宋体" w:eastAsia="宋体" w:cs="宋体"/>
                <w:sz w:val="24"/>
                <w:szCs w:val="24"/>
                <w:highlight w:val="none"/>
              </w:rPr>
            </w:pPr>
          </w:p>
        </w:tc>
      </w:tr>
      <w:tr w14:paraId="67072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5" w:hRule="atLeast"/>
          <w:jc w:val="center"/>
        </w:trPr>
        <w:tc>
          <w:tcPr>
            <w:tcW w:w="4876" w:type="dxa"/>
            <w:noWrap w:val="0"/>
            <w:vAlign w:val="center"/>
          </w:tcPr>
          <w:p w14:paraId="4525DCA8">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highlight w:val="none"/>
              </w:rPr>
              <w:t>单位地址：</w:t>
            </w:r>
          </w:p>
        </w:tc>
        <w:tc>
          <w:tcPr>
            <w:tcW w:w="4884" w:type="dxa"/>
            <w:noWrap w:val="0"/>
            <w:vAlign w:val="center"/>
          </w:tcPr>
          <w:p w14:paraId="69C522FF">
            <w:pPr>
              <w:pageBreakBefore w:val="0"/>
              <w:widowControl w:val="0"/>
              <w:kinsoku/>
              <w:wordWrap w:val="0"/>
              <w:overflowPunct/>
              <w:topLinePunct w:val="0"/>
              <w:autoSpaceDE/>
              <w:autoSpaceDN/>
              <w:bidi w:val="0"/>
              <w:adjustRightInd/>
              <w:spacing w:line="420" w:lineRule="exact"/>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单位地址：</w:t>
            </w:r>
          </w:p>
        </w:tc>
      </w:tr>
      <w:tr w14:paraId="3595D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4876" w:type="dxa"/>
            <w:noWrap w:val="0"/>
            <w:vAlign w:val="center"/>
          </w:tcPr>
          <w:p w14:paraId="61D39446">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highlight w:val="none"/>
              </w:rPr>
              <w:t>法定代表人：</w:t>
            </w:r>
          </w:p>
        </w:tc>
        <w:tc>
          <w:tcPr>
            <w:tcW w:w="4884" w:type="dxa"/>
            <w:noWrap w:val="0"/>
            <w:vAlign w:val="center"/>
          </w:tcPr>
          <w:p w14:paraId="1C890D1E">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w:t>
            </w:r>
          </w:p>
        </w:tc>
      </w:tr>
      <w:tr w14:paraId="5DC51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4876" w:type="dxa"/>
            <w:noWrap w:val="0"/>
            <w:vAlign w:val="center"/>
          </w:tcPr>
          <w:p w14:paraId="7367F005">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highlight w:val="none"/>
              </w:rPr>
              <w:t>委托代理人：</w:t>
            </w:r>
          </w:p>
        </w:tc>
        <w:tc>
          <w:tcPr>
            <w:tcW w:w="4884" w:type="dxa"/>
            <w:noWrap w:val="0"/>
            <w:vAlign w:val="center"/>
          </w:tcPr>
          <w:p w14:paraId="1CD975F9">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委托代理人</w:t>
            </w:r>
            <w:r>
              <w:rPr>
                <w:rFonts w:hint="eastAsia" w:ascii="宋体" w:hAnsi="宋体" w:eastAsia="宋体" w:cs="宋体"/>
                <w:sz w:val="24"/>
                <w:szCs w:val="24"/>
                <w:highlight w:val="none"/>
                <w:lang w:eastAsia="zh-CN"/>
              </w:rPr>
              <w:t>：</w:t>
            </w:r>
          </w:p>
        </w:tc>
      </w:tr>
      <w:tr w14:paraId="54D9C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2" w:hRule="atLeast"/>
          <w:jc w:val="center"/>
        </w:trPr>
        <w:tc>
          <w:tcPr>
            <w:tcW w:w="4876" w:type="dxa"/>
            <w:noWrap w:val="0"/>
            <w:vAlign w:val="center"/>
          </w:tcPr>
          <w:p w14:paraId="2D593D8F">
            <w:pPr>
              <w:pageBreakBefore w:val="0"/>
              <w:widowControl w:val="0"/>
              <w:kinsoku/>
              <w:wordWrap w:val="0"/>
              <w:overflowPunct/>
              <w:topLinePunct w:val="0"/>
              <w:autoSpaceDE/>
              <w:autoSpaceDN/>
              <w:bidi w:val="0"/>
              <w:adjustRightInd/>
              <w:spacing w:line="420" w:lineRule="exac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sz w:val="24"/>
                <w:szCs w:val="24"/>
                <w:highlight w:val="none"/>
              </w:rPr>
              <w:t>电话：</w:t>
            </w:r>
          </w:p>
        </w:tc>
        <w:tc>
          <w:tcPr>
            <w:tcW w:w="4884" w:type="dxa"/>
            <w:noWrap w:val="0"/>
            <w:vAlign w:val="center"/>
          </w:tcPr>
          <w:p w14:paraId="6EC2B73B">
            <w:pPr>
              <w:pageBreakBefore w:val="0"/>
              <w:widowControl w:val="0"/>
              <w:kinsoku/>
              <w:wordWrap w:val="0"/>
              <w:overflowPunct/>
              <w:topLinePunct w:val="0"/>
              <w:autoSpaceDE/>
              <w:autoSpaceDN/>
              <w:bidi w:val="0"/>
              <w:adjustRightInd/>
              <w:spacing w:line="420" w:lineRule="exact"/>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电话：</w:t>
            </w:r>
          </w:p>
        </w:tc>
      </w:tr>
      <w:tr w14:paraId="6525B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atLeast"/>
          <w:jc w:val="center"/>
        </w:trPr>
        <w:tc>
          <w:tcPr>
            <w:tcW w:w="4876" w:type="dxa"/>
            <w:noWrap w:val="0"/>
            <w:vAlign w:val="center"/>
          </w:tcPr>
          <w:p w14:paraId="69C99931">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highlight w:val="none"/>
              </w:rPr>
              <w:t>电子邮箱：</w:t>
            </w:r>
          </w:p>
        </w:tc>
        <w:tc>
          <w:tcPr>
            <w:tcW w:w="4884" w:type="dxa"/>
            <w:noWrap w:val="0"/>
            <w:vAlign w:val="center"/>
          </w:tcPr>
          <w:p w14:paraId="2D84FD90">
            <w:pPr>
              <w:pageBreakBefore w:val="0"/>
              <w:widowControl w:val="0"/>
              <w:kinsoku/>
              <w:wordWrap w:val="0"/>
              <w:overflowPunct/>
              <w:topLinePunct w:val="0"/>
              <w:autoSpaceDE/>
              <w:autoSpaceDN/>
              <w:bidi w:val="0"/>
              <w:adjustRightInd/>
              <w:spacing w:line="420" w:lineRule="exact"/>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电子邮箱：</w:t>
            </w:r>
          </w:p>
        </w:tc>
      </w:tr>
      <w:tr w14:paraId="7F589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4876" w:type="dxa"/>
            <w:noWrap w:val="0"/>
            <w:vAlign w:val="center"/>
          </w:tcPr>
          <w:p w14:paraId="4E41A7B9">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highlight w:val="none"/>
              </w:rPr>
              <w:t>开户银行：</w:t>
            </w:r>
          </w:p>
        </w:tc>
        <w:tc>
          <w:tcPr>
            <w:tcW w:w="4884" w:type="dxa"/>
            <w:noWrap w:val="0"/>
            <w:vAlign w:val="center"/>
          </w:tcPr>
          <w:p w14:paraId="2FD62FB5">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开户银行</w:t>
            </w:r>
            <w:r>
              <w:rPr>
                <w:rFonts w:hint="eastAsia" w:ascii="宋体" w:hAnsi="宋体" w:eastAsia="宋体" w:cs="宋体"/>
                <w:sz w:val="24"/>
                <w:szCs w:val="24"/>
                <w:highlight w:val="none"/>
                <w:lang w:eastAsia="zh-CN"/>
              </w:rPr>
              <w:t>：</w:t>
            </w:r>
          </w:p>
        </w:tc>
      </w:tr>
      <w:tr w14:paraId="55611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4876" w:type="dxa"/>
            <w:noWrap w:val="0"/>
            <w:vAlign w:val="center"/>
          </w:tcPr>
          <w:p w14:paraId="5BBAA4EA">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开户名称：</w:t>
            </w:r>
          </w:p>
        </w:tc>
        <w:tc>
          <w:tcPr>
            <w:tcW w:w="4884" w:type="dxa"/>
            <w:noWrap w:val="0"/>
            <w:vAlign w:val="center"/>
          </w:tcPr>
          <w:p w14:paraId="1AB9BF25">
            <w:pPr>
              <w:pageBreakBefore w:val="0"/>
              <w:widowControl w:val="0"/>
              <w:kinsoku/>
              <w:wordWrap w:val="0"/>
              <w:overflowPunct/>
              <w:topLinePunct w:val="0"/>
              <w:autoSpaceDE/>
              <w:autoSpaceDN/>
              <w:bidi w:val="0"/>
              <w:adjustRightInd/>
              <w:spacing w:line="420" w:lineRule="exact"/>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开户名称：</w:t>
            </w:r>
          </w:p>
        </w:tc>
      </w:tr>
      <w:tr w14:paraId="1BF35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6" w:hRule="atLeast"/>
          <w:jc w:val="center"/>
        </w:trPr>
        <w:tc>
          <w:tcPr>
            <w:tcW w:w="4876" w:type="dxa"/>
            <w:noWrap w:val="0"/>
            <w:vAlign w:val="center"/>
          </w:tcPr>
          <w:p w14:paraId="5A86BB64">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highlight w:val="none"/>
              </w:rPr>
              <w:t>账号：</w:t>
            </w:r>
          </w:p>
        </w:tc>
        <w:tc>
          <w:tcPr>
            <w:tcW w:w="4884" w:type="dxa"/>
            <w:noWrap w:val="0"/>
            <w:vAlign w:val="center"/>
          </w:tcPr>
          <w:p w14:paraId="11762492">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账号：</w:t>
            </w:r>
          </w:p>
        </w:tc>
      </w:tr>
      <w:tr w14:paraId="3ACD4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jc w:val="center"/>
        </w:trPr>
        <w:tc>
          <w:tcPr>
            <w:tcW w:w="4876" w:type="dxa"/>
            <w:noWrap w:val="0"/>
            <w:vAlign w:val="center"/>
          </w:tcPr>
          <w:p w14:paraId="5516C94B">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highlight w:val="none"/>
              </w:rPr>
              <w:t>邮政编码：</w:t>
            </w:r>
          </w:p>
        </w:tc>
        <w:tc>
          <w:tcPr>
            <w:tcW w:w="4884" w:type="dxa"/>
            <w:noWrap w:val="0"/>
            <w:vAlign w:val="center"/>
          </w:tcPr>
          <w:p w14:paraId="0CF5B2FD">
            <w:pPr>
              <w:pageBreakBefore w:val="0"/>
              <w:widowControl w:val="0"/>
              <w:kinsoku/>
              <w:wordWrap w:val="0"/>
              <w:overflowPunct/>
              <w:topLinePunct w:val="0"/>
              <w:autoSpaceDE/>
              <w:autoSpaceDN/>
              <w:bidi w:val="0"/>
              <w:adjustRightInd/>
              <w:spacing w:line="420" w:lineRule="exact"/>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邮政编码：</w:t>
            </w:r>
          </w:p>
        </w:tc>
      </w:tr>
    </w:tbl>
    <w:p w14:paraId="5110380C">
      <w:pPr>
        <w:pStyle w:val="17"/>
        <w:keepNext w:val="0"/>
        <w:keepLines w:val="0"/>
        <w:pageBreakBefore w:val="0"/>
        <w:widowControl w:val="0"/>
        <w:tabs>
          <w:tab w:val="left" w:leader="middleDot" w:pos="9240"/>
        </w:tabs>
        <w:kinsoku/>
        <w:wordWrap/>
        <w:overflowPunct/>
        <w:topLinePunct w:val="0"/>
        <w:autoSpaceDE/>
        <w:autoSpaceDN/>
        <w:bidi w:val="0"/>
        <w:adjustRightInd/>
        <w:spacing w:line="380" w:lineRule="exact"/>
        <w:textAlignment w:val="auto"/>
        <w:rPr>
          <w:rFonts w:hint="eastAsia" w:ascii="宋体" w:hAnsi="宋体" w:eastAsia="宋体" w:cs="宋体"/>
          <w:sz w:val="24"/>
          <w:szCs w:val="24"/>
        </w:rPr>
      </w:pPr>
    </w:p>
    <w:p w14:paraId="3E0950E5">
      <w:pPr>
        <w:pStyle w:val="17"/>
        <w:keepNext w:val="0"/>
        <w:keepLines w:val="0"/>
        <w:pageBreakBefore w:val="0"/>
        <w:widowControl w:val="0"/>
        <w:tabs>
          <w:tab w:val="left" w:leader="middleDot" w:pos="9240"/>
        </w:tabs>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合同签订时间： </w:t>
      </w:r>
      <w:r>
        <w:rPr>
          <w:rFonts w:hint="eastAsia" w:hAnsi="宋体" w:eastAsia="宋体" w:cs="宋体"/>
          <w:sz w:val="24"/>
          <w:szCs w:val="24"/>
          <w:lang w:val="en-US" w:eastAsia="zh-CN"/>
        </w:rPr>
        <w:t>2026</w:t>
      </w:r>
      <w:r>
        <w:rPr>
          <w:rFonts w:hint="eastAsia" w:ascii="宋体" w:hAnsi="宋体" w:eastAsia="宋体" w:cs="宋体"/>
          <w:sz w:val="24"/>
          <w:szCs w:val="24"/>
        </w:rPr>
        <w:t>年    月    日</w:t>
      </w:r>
    </w:p>
    <w:p w14:paraId="1467C4E4">
      <w:pPr>
        <w:pStyle w:val="17"/>
        <w:keepNext w:val="0"/>
        <w:keepLines w:val="0"/>
        <w:pageBreakBefore w:val="0"/>
        <w:widowControl w:val="0"/>
        <w:tabs>
          <w:tab w:val="left" w:leader="middleDot" w:pos="9240"/>
        </w:tabs>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b/>
          <w:color w:val="000000"/>
          <w:sz w:val="24"/>
          <w:szCs w:val="24"/>
        </w:rPr>
      </w:pPr>
      <w:r>
        <w:rPr>
          <w:rFonts w:hint="eastAsia" w:ascii="宋体" w:hAnsi="宋体" w:eastAsia="宋体" w:cs="宋体"/>
          <w:sz w:val="24"/>
          <w:szCs w:val="24"/>
        </w:rPr>
        <w:t>合同签订地点：南宁市</w:t>
      </w:r>
    </w:p>
    <w:p w14:paraId="44BAB470">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合同基本条款</w:t>
      </w:r>
    </w:p>
    <w:p w14:paraId="3F9B3E90">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一   说   明</w:t>
      </w:r>
    </w:p>
    <w:p w14:paraId="206360D1">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1.1合同基本条款是指买方（以下简称甲方）和</w:t>
      </w:r>
      <w:r>
        <w:rPr>
          <w:rFonts w:hint="eastAsia" w:hAnsi="宋体" w:eastAsia="宋体" w:cs="宋体"/>
          <w:color w:val="000000"/>
          <w:sz w:val="24"/>
          <w:szCs w:val="24"/>
          <w:lang w:eastAsia="zh-CN"/>
        </w:rPr>
        <w:t>乙方</w:t>
      </w:r>
      <w:r>
        <w:rPr>
          <w:rFonts w:hint="eastAsia" w:ascii="宋体" w:hAnsi="宋体" w:eastAsia="宋体" w:cs="宋体"/>
          <w:color w:val="000000"/>
          <w:sz w:val="24"/>
          <w:szCs w:val="24"/>
        </w:rPr>
        <w:t>（以下简称乙方）应共同遵守的基本原则，并</w:t>
      </w:r>
      <w:r>
        <w:rPr>
          <w:rFonts w:hint="eastAsia" w:hAnsi="宋体" w:eastAsia="宋体" w:cs="宋体"/>
          <w:color w:val="000000"/>
          <w:sz w:val="24"/>
          <w:szCs w:val="24"/>
          <w:lang w:eastAsia="zh-CN"/>
        </w:rPr>
        <w:t>作为</w:t>
      </w:r>
      <w:r>
        <w:rPr>
          <w:rFonts w:hint="eastAsia" w:ascii="宋体" w:hAnsi="宋体" w:eastAsia="宋体" w:cs="宋体"/>
          <w:color w:val="000000"/>
          <w:sz w:val="24"/>
          <w:szCs w:val="24"/>
        </w:rPr>
        <w:t>双方签约的依据。对于合同的其他条款，双方应本着互谅互让的精神，在谈判中协商解决。</w:t>
      </w:r>
    </w:p>
    <w:p w14:paraId="4B2916BE">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1.2制订《合同基本条款》的依据是：《中华人民共和国民法典》。</w:t>
      </w:r>
    </w:p>
    <w:p w14:paraId="3B927BD6">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二   货物条款</w:t>
      </w:r>
    </w:p>
    <w:p w14:paraId="42317F6F">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2.1甲、乙双方应将采购文件、响应文件及谈判小组确认的货物名称、规格型号、技术要求、质量标准、数量、交货日期和售后服务内容等作为本条款的基础。</w:t>
      </w:r>
    </w:p>
    <w:p w14:paraId="1951FB78">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三   货物质量要求及乙方对质量负责条件和期限</w:t>
      </w:r>
    </w:p>
    <w:p w14:paraId="42288AD8">
      <w:pPr>
        <w:pStyle w:val="17"/>
        <w:pageBreakBefore w:val="0"/>
        <w:tabs>
          <w:tab w:val="left" w:leader="middleDot" w:pos="9240"/>
        </w:tabs>
        <w:kinsoku/>
        <w:wordWrap/>
        <w:overflowPunct/>
        <w:topLinePunct w:val="0"/>
        <w:bidi w:val="0"/>
        <w:spacing w:line="44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3.1乙方应按招标文件规定的时间向甲方提供安装使用货物配套件所属装置等有关技术文件资料。</w:t>
      </w:r>
    </w:p>
    <w:p w14:paraId="61AFDE11">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3.2乙方提供的货物应有符合国家标准以及本产品的出厂标准的质量检验证明。</w:t>
      </w:r>
    </w:p>
    <w:p w14:paraId="46810B8D">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四   质量保证</w:t>
      </w:r>
    </w:p>
    <w:p w14:paraId="70748EDB">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4.1乙方应按招标文件规定的货物性能、技术要求、质量标准向甲方提供未经使用的全新产品。</w:t>
      </w:r>
    </w:p>
    <w:p w14:paraId="39ECB437">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4.2乙方提供货物的质量保证期按交货验收合格之日起计（期限按投标文件承诺）。在保证期内因货物本身的质量问题发生故障，乙方应负责免费修理和更换零部件。对达不到技术要求者，根据实际情况，经双方协商，可按以下办法处理：</w:t>
      </w:r>
    </w:p>
    <w:p w14:paraId="392F1641">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退货处理：乙方应退还甲方支付的货物款，同时应承担该货物的直接费用(运输、保险、检验、货款利息及银行手续费等）。</w:t>
      </w:r>
    </w:p>
    <w:p w14:paraId="47CF2D54">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4.3如在使用过程中发生质量问题，乙方在接到甲方通知</w:t>
      </w:r>
      <w:r>
        <w:rPr>
          <w:rFonts w:hint="eastAsia" w:ascii="宋体" w:hAnsi="宋体" w:eastAsia="宋体" w:cs="宋体"/>
          <w:color w:val="000000"/>
          <w:sz w:val="24"/>
          <w:szCs w:val="24"/>
          <w:u w:val="single"/>
        </w:rPr>
        <w:t>按响应文件承诺时间</w:t>
      </w:r>
      <w:r>
        <w:rPr>
          <w:rFonts w:hint="eastAsia" w:ascii="宋体" w:hAnsi="宋体" w:eastAsia="宋体" w:cs="宋体"/>
          <w:color w:val="000000"/>
          <w:sz w:val="24"/>
          <w:szCs w:val="24"/>
        </w:rPr>
        <w:t>到达甲方现场。</w:t>
      </w:r>
    </w:p>
    <w:p w14:paraId="01C03088">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4.4在质保期内，乙方应对货物出现的质量及安全问题负责处理解决。</w:t>
      </w:r>
    </w:p>
    <w:p w14:paraId="1648F992">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五   验  收</w:t>
      </w:r>
    </w:p>
    <w:p w14:paraId="67A48C2A">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5.1乙方交货前应对产品作出全面检查和对验收文件进行整理列出清单，作为甲方收货验收和使用的技术条件依据，检验的结果应随货物交甲方。</w:t>
      </w:r>
    </w:p>
    <w:p w14:paraId="46FBD908">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5.2甲方对乙方所交货物依照采购文件上的技术规格要求和国家（设备制造国）有关标准进行现场验收，性能达到技术要求的，给予签收。验收不合格的不予签收，后果由乙方负责。物资验收严格按照标书要求进行验收，若现场验收达不到标书要求，则采购方不付款。</w:t>
      </w:r>
    </w:p>
    <w:p w14:paraId="2D5115E3">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5.3甲方应在货到指定地点安装调试并试运行完毕之日起</w:t>
      </w:r>
      <w:r>
        <w:rPr>
          <w:rFonts w:hint="eastAsia" w:ascii="宋体" w:hAnsi="宋体" w:eastAsia="宋体" w:cs="宋体"/>
          <w:color w:val="000000"/>
          <w:sz w:val="24"/>
          <w:szCs w:val="24"/>
          <w:u w:val="single"/>
        </w:rPr>
        <w:t xml:space="preserve"> 7</w:t>
      </w:r>
      <w:r>
        <w:rPr>
          <w:rFonts w:hint="eastAsia" w:ascii="宋体" w:hAnsi="宋体" w:eastAsia="宋体" w:cs="宋体"/>
          <w:color w:val="000000"/>
          <w:sz w:val="24"/>
          <w:szCs w:val="24"/>
        </w:rPr>
        <w:t>个工作日内验收完毕，并作出验收结果报告。验收时乙方必须在现场。</w:t>
      </w:r>
    </w:p>
    <w:p w14:paraId="1DDBFB5B">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六   货物包装、发运及运输</w:t>
      </w:r>
    </w:p>
    <w:p w14:paraId="3179F4A5">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6.1乙方应在货物发运前对其进行满足于运输距离、防潮、防震、防锈和防破损装卸要求的包装，以保证货物安全运输到达甲方指定地点。</w:t>
      </w:r>
    </w:p>
    <w:p w14:paraId="104271BB">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6.2使用说明书、质量检验证明书、随配附件和工具以及清单等一并附于货物内。</w:t>
      </w:r>
    </w:p>
    <w:p w14:paraId="4F3C8A13">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6.3 乙方负责将货物安全运送到甲方指定地点，不另收任何费用。</w:t>
      </w:r>
    </w:p>
    <w:p w14:paraId="774056EC">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6.4货物在交货前发生的不可预见的风险均由乙方负责。</w:t>
      </w:r>
    </w:p>
    <w:p w14:paraId="36779352">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b/>
          <w:color w:val="000000"/>
          <w:sz w:val="24"/>
          <w:szCs w:val="24"/>
        </w:rPr>
      </w:pPr>
      <w:r>
        <w:rPr>
          <w:rFonts w:hint="eastAsia" w:ascii="宋体" w:hAnsi="宋体" w:eastAsia="宋体" w:cs="宋体"/>
          <w:color w:val="000000"/>
          <w:sz w:val="24"/>
          <w:szCs w:val="24"/>
        </w:rPr>
        <w:t>6.5货物在发运手续办理完毕后24小时内或货到甲方前48小时通知甲方，以准备接货。</w:t>
      </w:r>
    </w:p>
    <w:p w14:paraId="16352935">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七   付款方式</w:t>
      </w:r>
    </w:p>
    <w:p w14:paraId="6B0B1553">
      <w:pPr>
        <w:pageBreakBefore w:val="0"/>
        <w:tabs>
          <w:tab w:val="left" w:leader="middleDot" w:pos="9240"/>
        </w:tabs>
        <w:kinsoku/>
        <w:wordWrap/>
        <w:overflowPunct/>
        <w:topLinePunct w:val="0"/>
        <w:bidi w:val="0"/>
        <w:snapToGrid w:val="0"/>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7.1付款方式：按实际送货量结算货款，每批货验收合格之日起，乙方提供并收集送、验货等材料及发票交给甲方；甲方自收到货物及发票之日起付款时间最长不得超过120日，货款不得超过合同总金额。</w:t>
      </w:r>
    </w:p>
    <w:p w14:paraId="141A5B0B">
      <w:pPr>
        <w:pageBreakBefore w:val="0"/>
        <w:tabs>
          <w:tab w:val="left" w:leader="middleDot" w:pos="9240"/>
        </w:tabs>
        <w:kinsoku/>
        <w:wordWrap/>
        <w:overflowPunct/>
        <w:topLinePunct w:val="0"/>
        <w:bidi w:val="0"/>
        <w:snapToGrid w:val="0"/>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7.2</w:t>
      </w:r>
      <w:r>
        <w:rPr>
          <w:rFonts w:hint="eastAsia" w:ascii="宋体" w:hAnsi="宋体" w:eastAsia="宋体" w:cs="宋体"/>
          <w:sz w:val="24"/>
          <w:szCs w:val="24"/>
        </w:rPr>
        <w:t>甲方仅对在本合同有效期内，且依据本合同约定的程序和标准接收的合格货物承担付款义务。对于合同终止后或超出合同约定总量的货物，无论是否实际交付，均不产生任何付款责任，且甲方保留要求乙方自行承担费用运回上述货物的权利。</w:t>
      </w:r>
    </w:p>
    <w:p w14:paraId="13654C9B">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宋体" w:hAnsi="宋体" w:eastAsia="宋体" w:cs="宋体"/>
          <w:b/>
          <w:color w:val="000000"/>
          <w:sz w:val="24"/>
          <w:szCs w:val="24"/>
          <w:lang w:val="en-US" w:eastAsia="zh-CN"/>
        </w:rPr>
      </w:pPr>
      <w:r>
        <w:rPr>
          <w:rFonts w:hint="eastAsia" w:ascii="宋体" w:hAnsi="宋体" w:eastAsia="宋体" w:cs="宋体"/>
          <w:b/>
          <w:color w:val="000000"/>
          <w:sz w:val="24"/>
          <w:szCs w:val="24"/>
        </w:rPr>
        <w:t xml:space="preserve">八   </w:t>
      </w:r>
      <w:r>
        <w:rPr>
          <w:rFonts w:hint="eastAsia" w:ascii="宋体" w:hAnsi="宋体" w:eastAsia="宋体" w:cs="宋体"/>
          <w:b/>
          <w:color w:val="000000"/>
          <w:sz w:val="24"/>
          <w:szCs w:val="24"/>
          <w:lang w:val="en-US" w:eastAsia="zh-CN"/>
        </w:rPr>
        <w:t>税费</w:t>
      </w:r>
    </w:p>
    <w:p w14:paraId="37FD70E0">
      <w:pPr>
        <w:pageBreakBefore w:val="0"/>
        <w:tabs>
          <w:tab w:val="left" w:leader="middleDot" w:pos="9240"/>
        </w:tabs>
        <w:kinsoku/>
        <w:wordWrap/>
        <w:overflowPunct/>
        <w:topLinePunct w:val="0"/>
        <w:bidi w:val="0"/>
        <w:snapToGrid w:val="0"/>
        <w:spacing w:line="44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8.1本合同执行中相关的一切税费均由乙方负担。</w:t>
      </w:r>
    </w:p>
    <w:p w14:paraId="578D6C20">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lang w:val="en-US" w:eastAsia="zh-CN"/>
        </w:rPr>
        <w:t>九</w:t>
      </w:r>
      <w:r>
        <w:rPr>
          <w:rFonts w:hint="eastAsia" w:ascii="宋体" w:hAnsi="宋体" w:eastAsia="宋体" w:cs="宋体"/>
          <w:b/>
          <w:color w:val="000000"/>
          <w:sz w:val="24"/>
          <w:szCs w:val="24"/>
        </w:rPr>
        <w:t xml:space="preserve">   违约责任</w:t>
      </w:r>
    </w:p>
    <w:p w14:paraId="75AF77DA">
      <w:pPr>
        <w:pageBreakBefore w:val="0"/>
        <w:tabs>
          <w:tab w:val="left" w:leader="middleDot" w:pos="9240"/>
        </w:tabs>
        <w:kinsoku/>
        <w:wordWrap/>
        <w:overflowPunct/>
        <w:topLinePunct w:val="0"/>
        <w:bidi w:val="0"/>
        <w:snapToGrid w:val="0"/>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.1乙方所提供的货物规格、技术标准、材料等质量不合格的，应及时更换，更换不及时的按逾期交货处罚；因质量问题甲方不同意接收的或特殊情况甲方</w:t>
      </w:r>
      <w:r>
        <w:rPr>
          <w:rFonts w:hint="eastAsia" w:ascii="宋体" w:hAnsi="宋体" w:eastAsia="宋体" w:cs="宋体"/>
          <w:sz w:val="24"/>
          <w:szCs w:val="24"/>
          <w:lang w:eastAsia="zh-CN"/>
        </w:rPr>
        <w:t>不</w:t>
      </w:r>
      <w:r>
        <w:rPr>
          <w:rFonts w:hint="eastAsia" w:ascii="宋体" w:hAnsi="宋体" w:eastAsia="宋体" w:cs="宋体"/>
          <w:sz w:val="24"/>
          <w:szCs w:val="24"/>
        </w:rPr>
        <w:t>同意接收的，乙方应向甲方支付违约货款额5%违约金并赔偿甲方经济损失。按上述条件乙方逾期交货的(在乙方接到甲方整改通知之日起超过30天),甲方有权解除合同。</w:t>
      </w:r>
    </w:p>
    <w:p w14:paraId="0B162905">
      <w:pPr>
        <w:pageBreakBefore w:val="0"/>
        <w:tabs>
          <w:tab w:val="left" w:leader="middleDot" w:pos="9240"/>
        </w:tabs>
        <w:kinsoku/>
        <w:wordWrap/>
        <w:overflowPunct/>
        <w:topLinePunct w:val="0"/>
        <w:bidi w:val="0"/>
        <w:snapToGrid w:val="0"/>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.2乙方提供的货物如侵犯了第三方合法权益而引发的任何纠纷或诉讼，均由乙方负责交涉并承担全部责任。</w:t>
      </w:r>
    </w:p>
    <w:p w14:paraId="4A559EF4">
      <w:pPr>
        <w:pageBreakBefore w:val="0"/>
        <w:tabs>
          <w:tab w:val="left" w:leader="middleDot" w:pos="9240"/>
        </w:tabs>
        <w:kinsoku/>
        <w:wordWrap/>
        <w:overflowPunct/>
        <w:topLinePunct w:val="0"/>
        <w:bidi w:val="0"/>
        <w:snapToGrid w:val="0"/>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.3因包装、运输引起的货物损坏，按质量不合格处罚。</w:t>
      </w:r>
    </w:p>
    <w:p w14:paraId="22DBDBBA">
      <w:pPr>
        <w:pageBreakBefore w:val="0"/>
        <w:tabs>
          <w:tab w:val="left" w:leader="middleDot" w:pos="9240"/>
        </w:tabs>
        <w:kinsoku/>
        <w:wordWrap/>
        <w:overflowPunct/>
        <w:topLinePunct w:val="0"/>
        <w:bidi w:val="0"/>
        <w:snapToGrid w:val="0"/>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.4乙方逾期交货的，经甲方催促仍未能按时交付货物的，每天向对方偿付违约货款额</w:t>
      </w:r>
      <w:r>
        <w:rPr>
          <w:rFonts w:hint="eastAsia" w:ascii="宋体" w:hAnsi="宋体" w:cs="宋体"/>
          <w:sz w:val="24"/>
          <w:szCs w:val="24"/>
          <w:lang w:val="en-US" w:eastAsia="zh-CN"/>
        </w:rPr>
        <w:t>5</w:t>
      </w:r>
      <w:r>
        <w:rPr>
          <w:rFonts w:hint="eastAsia" w:ascii="宋体" w:hAnsi="宋体" w:eastAsia="宋体" w:cs="宋体"/>
          <w:sz w:val="24"/>
          <w:szCs w:val="24"/>
        </w:rPr>
        <w:t>‰违约金，但违约金累计不得超过违约货款额5%，超过20天</w:t>
      </w:r>
      <w:r>
        <w:rPr>
          <w:rFonts w:hint="eastAsia" w:ascii="宋体" w:hAnsi="宋体" w:eastAsia="宋体" w:cs="宋体"/>
          <w:sz w:val="24"/>
          <w:szCs w:val="24"/>
          <w:lang w:val="en-US" w:eastAsia="zh-CN"/>
        </w:rPr>
        <w:t>或</w:t>
      </w:r>
      <w:r>
        <w:rPr>
          <w:rFonts w:hint="default" w:ascii="宋体" w:hAnsi="宋体" w:eastAsia="宋体" w:cs="宋体"/>
          <w:sz w:val="24"/>
          <w:szCs w:val="24"/>
          <w:lang w:val="en-US" w:eastAsia="zh-CN"/>
        </w:rPr>
        <w:t>服务期限内，</w:t>
      </w:r>
      <w:r>
        <w:rPr>
          <w:rFonts w:hint="eastAsia" w:ascii="宋体" w:hAnsi="宋体" w:eastAsia="宋体" w:cs="宋体"/>
          <w:sz w:val="24"/>
          <w:szCs w:val="24"/>
          <w:lang w:val="en-US" w:eastAsia="zh-CN"/>
        </w:rPr>
        <w:t>成交供应商</w:t>
      </w:r>
      <w:r>
        <w:rPr>
          <w:rFonts w:hint="default" w:ascii="宋体" w:hAnsi="宋体" w:eastAsia="宋体" w:cs="宋体"/>
          <w:sz w:val="24"/>
          <w:szCs w:val="24"/>
          <w:lang w:val="en-US" w:eastAsia="zh-CN"/>
        </w:rPr>
        <w:t>逾期送货累计超过 2 次（不含本数）</w:t>
      </w:r>
      <w:r>
        <w:rPr>
          <w:rFonts w:hint="eastAsia" w:ascii="宋体" w:hAnsi="宋体" w:eastAsia="宋体" w:cs="宋体"/>
          <w:sz w:val="24"/>
          <w:szCs w:val="24"/>
        </w:rPr>
        <w:t>对方有权解除合同，违约方承担因此给对方造成经济损失。</w:t>
      </w:r>
    </w:p>
    <w:p w14:paraId="6E011901">
      <w:pPr>
        <w:pageBreakBefore w:val="0"/>
        <w:tabs>
          <w:tab w:val="left" w:leader="middleDot" w:pos="9240"/>
        </w:tabs>
        <w:kinsoku/>
        <w:wordWrap/>
        <w:overflowPunct/>
        <w:topLinePunct w:val="0"/>
        <w:bidi w:val="0"/>
        <w:snapToGrid w:val="0"/>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.5乙方未按本合同规定的服务承诺提供售后服务的，乙方应按本合同合计金额 5%向甲方支付违约金。</w:t>
      </w:r>
    </w:p>
    <w:p w14:paraId="5876CCD5">
      <w:pPr>
        <w:pageBreakBefore w:val="0"/>
        <w:tabs>
          <w:tab w:val="left" w:leader="middleDot" w:pos="9240"/>
        </w:tabs>
        <w:kinsoku/>
        <w:wordWrap/>
        <w:overflowPunct/>
        <w:topLinePunct w:val="0"/>
        <w:bidi w:val="0"/>
        <w:snapToGrid w:val="0"/>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6乙方提供的货物在质量保证期内，因设计、工艺或材料的缺陷和其它质量原因造成的问题，由乙方负责，费用从质量保证金中扣除，不足另补,如无质量保证金乙方按实际费用支付。</w:t>
      </w:r>
    </w:p>
    <w:p w14:paraId="28CA07E3">
      <w:pPr>
        <w:pageBreakBefore w:val="0"/>
        <w:tabs>
          <w:tab w:val="left" w:leader="middleDot" w:pos="9240"/>
        </w:tabs>
        <w:kinsoku/>
        <w:wordWrap/>
        <w:overflowPunct/>
        <w:topLinePunct w:val="0"/>
        <w:bidi w:val="0"/>
        <w:snapToGrid w:val="0"/>
        <w:spacing w:line="440" w:lineRule="exact"/>
        <w:ind w:firstLine="480" w:firstLineChars="200"/>
        <w:rPr>
          <w:rFonts w:hint="eastAsia" w:ascii="宋体" w:hAnsi="宋体" w:eastAsia="宋体" w:cs="宋体"/>
          <w:sz w:val="24"/>
          <w:szCs w:val="24"/>
        </w:rPr>
      </w:pPr>
      <w:bookmarkStart w:id="6" w:name="OLE_LINK2"/>
      <w:r>
        <w:rPr>
          <w:rFonts w:hint="eastAsia" w:ascii="宋体" w:hAnsi="宋体" w:eastAsia="宋体" w:cs="宋体"/>
          <w:sz w:val="24"/>
          <w:szCs w:val="24"/>
          <w:lang w:val="en-US" w:eastAsia="zh-CN"/>
        </w:rPr>
        <w:t>9</w:t>
      </w:r>
      <w:r>
        <w:rPr>
          <w:rFonts w:hint="eastAsia" w:ascii="宋体" w:hAnsi="宋体" w:eastAsia="宋体" w:cs="宋体"/>
          <w:sz w:val="24"/>
          <w:szCs w:val="24"/>
        </w:rPr>
        <w:t>.7其它违约行为按违约货款额5%收取违约金并赔偿经济损失。</w:t>
      </w:r>
    </w:p>
    <w:p w14:paraId="72C744C7">
      <w:pPr>
        <w:pageBreakBefore w:val="0"/>
        <w:tabs>
          <w:tab w:val="left" w:leader="middleDot" w:pos="9240"/>
        </w:tabs>
        <w:kinsoku/>
        <w:wordWrap/>
        <w:overflowPunct/>
        <w:topLinePunct w:val="0"/>
        <w:bidi w:val="0"/>
        <w:snapToGrid w:val="0"/>
        <w:spacing w:line="44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9.8如果乙方以价格上调原因停止供货，需承担的相应违约责任，违约金可以从我院应付的货款中直接扣除；如因停产不能供货，需提前30日书面通知且</w:t>
      </w:r>
    </w:p>
    <w:p w14:paraId="1626EDC7">
      <w:pPr>
        <w:pageBreakBefore w:val="0"/>
        <w:tabs>
          <w:tab w:val="left" w:leader="middleDot" w:pos="9240"/>
        </w:tabs>
        <w:kinsoku/>
        <w:wordWrap/>
        <w:overflowPunct/>
        <w:topLinePunct w:val="0"/>
        <w:bidi w:val="0"/>
        <w:snapToGrid w:val="0"/>
        <w:spacing w:line="44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有厂家出具的停产证明否则按合同总额5%扣违约金。</w:t>
      </w:r>
    </w:p>
    <w:p w14:paraId="208F6949">
      <w:pPr>
        <w:pageBreakBefore w:val="0"/>
        <w:tabs>
          <w:tab w:val="left" w:leader="middleDot" w:pos="9240"/>
        </w:tabs>
        <w:kinsoku/>
        <w:wordWrap/>
        <w:overflowPunct/>
        <w:topLinePunct w:val="0"/>
        <w:bidi w:val="0"/>
        <w:snapToGrid w:val="0"/>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.9乙方单方面提出停止供货的，需向甲方支付违约金，违约金额按合同总额的15%偿付，并追究因此给甲方造成损失的法律责任。</w:t>
      </w:r>
    </w:p>
    <w:bookmarkEnd w:id="6"/>
    <w:p w14:paraId="713E9AA9">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lang w:val="en-US" w:eastAsia="zh-CN"/>
        </w:rPr>
        <w:t>十</w:t>
      </w:r>
      <w:r>
        <w:rPr>
          <w:rFonts w:hint="eastAsia" w:ascii="宋体" w:hAnsi="宋体" w:eastAsia="宋体" w:cs="宋体"/>
          <w:b/>
          <w:color w:val="000000"/>
          <w:sz w:val="24"/>
          <w:szCs w:val="24"/>
        </w:rPr>
        <w:t xml:space="preserve">   不可抗力事件处理</w:t>
      </w:r>
    </w:p>
    <w:p w14:paraId="7018DEA1">
      <w:pPr>
        <w:pStyle w:val="17"/>
        <w:pageBreakBefore w:val="0"/>
        <w:tabs>
          <w:tab w:val="left" w:leader="middleDot" w:pos="9240"/>
        </w:tabs>
        <w:kinsoku/>
        <w:wordWrap/>
        <w:overflowPunct/>
        <w:topLinePunct w:val="0"/>
        <w:bidi w:val="0"/>
        <w:spacing w:line="440" w:lineRule="exact"/>
        <w:ind w:firstLine="420"/>
        <w:rPr>
          <w:rFonts w:hint="eastAsia" w:ascii="宋体" w:hAnsi="宋体" w:eastAsia="宋体" w:cs="宋体"/>
          <w:color w:val="000000"/>
          <w:sz w:val="24"/>
          <w:szCs w:val="24"/>
        </w:rPr>
      </w:pPr>
      <w:r>
        <w:rPr>
          <w:rFonts w:hint="eastAsia" w:hAnsi="宋体" w:eastAsia="宋体" w:cs="宋体"/>
          <w:color w:val="000000"/>
          <w:sz w:val="24"/>
          <w:szCs w:val="24"/>
          <w:lang w:val="en-US" w:eastAsia="zh-CN"/>
        </w:rPr>
        <w:t>10</w:t>
      </w:r>
      <w:r>
        <w:rPr>
          <w:rFonts w:hint="eastAsia" w:ascii="宋体" w:hAnsi="宋体" w:eastAsia="宋体" w:cs="宋体"/>
          <w:color w:val="000000"/>
          <w:sz w:val="24"/>
          <w:szCs w:val="24"/>
        </w:rPr>
        <w:t>.1在合同有效期限内，任何一方因不可抗力事件导致不能按时履行合同，则合同履行期可延长，其延长期与不可抗力影响期相同。由于不可抗力事件导致合同的根本目的不能实现时，一方可解除合同。</w:t>
      </w:r>
    </w:p>
    <w:p w14:paraId="0EA8DD8A">
      <w:pPr>
        <w:pageBreakBefore w:val="0"/>
        <w:tabs>
          <w:tab w:val="left" w:leader="middleDot" w:pos="9240"/>
        </w:tabs>
        <w:kinsoku/>
        <w:wordWrap/>
        <w:overflowPunct/>
        <w:topLinePunct w:val="0"/>
        <w:bidi w:val="0"/>
        <w:spacing w:after="124" w:afterLines="40" w:line="36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10</w:t>
      </w:r>
      <w:r>
        <w:rPr>
          <w:rFonts w:hint="eastAsia" w:ascii="宋体" w:hAnsi="宋体" w:eastAsia="宋体" w:cs="宋体"/>
          <w:color w:val="000000"/>
          <w:sz w:val="24"/>
          <w:szCs w:val="24"/>
        </w:rPr>
        <w:t>.2不可抗力事件</w:t>
      </w:r>
      <w:r>
        <w:rPr>
          <w:rFonts w:hint="eastAsia" w:ascii="宋体" w:hAnsi="宋体" w:eastAsia="宋体" w:cs="宋体"/>
          <w:sz w:val="24"/>
          <w:szCs w:val="24"/>
        </w:rPr>
        <w:t>（包括</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"https://baike.so.com/doc/5034871-5261390.html" \t "https://baike.so.com/doc/_blank" </w:instrText>
      </w:r>
      <w:r>
        <w:rPr>
          <w:rFonts w:hint="eastAsia" w:ascii="宋体" w:hAnsi="宋体" w:eastAsia="宋体" w:cs="宋体"/>
          <w:sz w:val="24"/>
          <w:szCs w:val="24"/>
        </w:rPr>
        <w:fldChar w:fldCharType="separate"/>
      </w:r>
      <w:r>
        <w:rPr>
          <w:rFonts w:hint="eastAsia" w:ascii="宋体" w:hAnsi="宋体" w:eastAsia="宋体" w:cs="宋体"/>
          <w:sz w:val="24"/>
          <w:szCs w:val="24"/>
        </w:rPr>
        <w:t>自然灾害</w:t>
      </w:r>
      <w:r>
        <w:rPr>
          <w:rFonts w:hint="eastAsia" w:ascii="宋体" w:hAnsi="宋体" w:eastAsia="宋体" w:cs="宋体"/>
          <w:sz w:val="24"/>
          <w:szCs w:val="24"/>
        </w:rPr>
        <w:fldChar w:fldCharType="end"/>
      </w:r>
      <w:r>
        <w:rPr>
          <w:rFonts w:hint="eastAsia" w:ascii="宋体" w:hAnsi="宋体" w:eastAsia="宋体" w:cs="宋体"/>
          <w:sz w:val="24"/>
          <w:szCs w:val="24"/>
        </w:rPr>
        <w:t>、如</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"https://baike.so.com/doc/7189817-7414015.html" \t "https://baike.so.com/doc/_blank" </w:instrText>
      </w:r>
      <w:r>
        <w:rPr>
          <w:rFonts w:hint="eastAsia" w:ascii="宋体" w:hAnsi="宋体" w:eastAsia="宋体" w:cs="宋体"/>
          <w:sz w:val="24"/>
          <w:szCs w:val="24"/>
        </w:rPr>
        <w:fldChar w:fldCharType="separate"/>
      </w:r>
      <w:r>
        <w:rPr>
          <w:rFonts w:hint="eastAsia" w:ascii="宋体" w:hAnsi="宋体" w:eastAsia="宋体" w:cs="宋体"/>
          <w:sz w:val="24"/>
          <w:szCs w:val="24"/>
        </w:rPr>
        <w:t>台风</w:t>
      </w:r>
      <w:r>
        <w:rPr>
          <w:rFonts w:hint="eastAsia" w:ascii="宋体" w:hAnsi="宋体" w:eastAsia="宋体" w:cs="宋体"/>
          <w:sz w:val="24"/>
          <w:szCs w:val="24"/>
        </w:rPr>
        <w:fldChar w:fldCharType="end"/>
      </w:r>
      <w:r>
        <w:rPr>
          <w:rFonts w:hint="eastAsia" w:ascii="宋体" w:hAnsi="宋体" w:eastAsia="宋体" w:cs="宋体"/>
          <w:sz w:val="24"/>
          <w:szCs w:val="24"/>
        </w:rPr>
        <w:t>、</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"https://baike.so.com/doc/3055511-8203308.html" \t "https://baike.so.com/doc/_blank" </w:instrText>
      </w:r>
      <w:r>
        <w:rPr>
          <w:rFonts w:hint="eastAsia" w:ascii="宋体" w:hAnsi="宋体" w:eastAsia="宋体" w:cs="宋体"/>
          <w:sz w:val="24"/>
          <w:szCs w:val="24"/>
        </w:rPr>
        <w:fldChar w:fldCharType="separate"/>
      </w:r>
      <w:r>
        <w:rPr>
          <w:rFonts w:hint="eastAsia" w:ascii="宋体" w:hAnsi="宋体" w:eastAsia="宋体" w:cs="宋体"/>
          <w:sz w:val="24"/>
          <w:szCs w:val="24"/>
        </w:rPr>
        <w:t>地震</w:t>
      </w:r>
      <w:r>
        <w:rPr>
          <w:rFonts w:hint="eastAsia" w:ascii="宋体" w:hAnsi="宋体" w:eastAsia="宋体" w:cs="宋体"/>
          <w:sz w:val="24"/>
          <w:szCs w:val="24"/>
        </w:rPr>
        <w:fldChar w:fldCharType="end"/>
      </w:r>
      <w:r>
        <w:rPr>
          <w:rFonts w:hint="eastAsia" w:ascii="宋体" w:hAnsi="宋体" w:eastAsia="宋体" w:cs="宋体"/>
          <w:sz w:val="24"/>
          <w:szCs w:val="24"/>
        </w:rPr>
        <w:t>、洪水、</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"https://baike.so.com/doc/4028853-4226450.html" \t "https://baike.so.com/doc/_blank" </w:instrText>
      </w:r>
      <w:r>
        <w:rPr>
          <w:rFonts w:hint="eastAsia" w:ascii="宋体" w:hAnsi="宋体" w:eastAsia="宋体" w:cs="宋体"/>
          <w:sz w:val="24"/>
          <w:szCs w:val="24"/>
        </w:rPr>
        <w:fldChar w:fldCharType="separate"/>
      </w:r>
      <w:r>
        <w:rPr>
          <w:rFonts w:hint="eastAsia" w:ascii="宋体" w:hAnsi="宋体" w:eastAsia="宋体" w:cs="宋体"/>
          <w:sz w:val="24"/>
          <w:szCs w:val="24"/>
        </w:rPr>
        <w:t>冰雹</w:t>
      </w:r>
      <w:r>
        <w:rPr>
          <w:rFonts w:hint="eastAsia" w:ascii="宋体" w:hAnsi="宋体" w:eastAsia="宋体" w:cs="宋体"/>
          <w:sz w:val="24"/>
          <w:szCs w:val="24"/>
        </w:rPr>
        <w:fldChar w:fldCharType="end"/>
      </w:r>
      <w:r>
        <w:rPr>
          <w:rFonts w:hint="eastAsia" w:ascii="宋体" w:hAnsi="宋体" w:eastAsia="宋体" w:cs="宋体"/>
          <w:sz w:val="24"/>
          <w:szCs w:val="24"/>
        </w:rPr>
        <w:t>;</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"https://baike.so.com/doc/6203172-6416438.html" \t "https://baike.so.com/doc/_blank" </w:instrText>
      </w:r>
      <w:r>
        <w:rPr>
          <w:rFonts w:hint="eastAsia" w:ascii="宋体" w:hAnsi="宋体" w:eastAsia="宋体" w:cs="宋体"/>
          <w:sz w:val="24"/>
          <w:szCs w:val="24"/>
        </w:rPr>
        <w:fldChar w:fldCharType="separate"/>
      </w:r>
      <w:r>
        <w:rPr>
          <w:rFonts w:hint="eastAsia" w:ascii="宋体" w:hAnsi="宋体" w:eastAsia="宋体" w:cs="宋体"/>
          <w:sz w:val="24"/>
          <w:szCs w:val="24"/>
        </w:rPr>
        <w:t>政府行为</w:t>
      </w:r>
      <w:r>
        <w:rPr>
          <w:rFonts w:hint="eastAsia" w:ascii="宋体" w:hAnsi="宋体" w:eastAsia="宋体" w:cs="宋体"/>
          <w:sz w:val="24"/>
          <w:szCs w:val="24"/>
        </w:rPr>
        <w:fldChar w:fldCharType="end"/>
      </w:r>
      <w:r>
        <w:rPr>
          <w:rFonts w:hint="eastAsia" w:ascii="宋体" w:hAnsi="宋体" w:eastAsia="宋体" w:cs="宋体"/>
          <w:sz w:val="24"/>
          <w:szCs w:val="24"/>
        </w:rPr>
        <w:t>，如征收、征用）</w:t>
      </w:r>
      <w:r>
        <w:rPr>
          <w:rFonts w:hint="eastAsia" w:ascii="宋体" w:hAnsi="宋体" w:eastAsia="宋体" w:cs="宋体"/>
          <w:color w:val="000000"/>
          <w:sz w:val="24"/>
          <w:szCs w:val="24"/>
        </w:rPr>
        <w:t>发生后，应立即通知对方，并寄送有关权威机构出具的证明。</w:t>
      </w:r>
    </w:p>
    <w:p w14:paraId="642A44E4">
      <w:pPr>
        <w:pStyle w:val="17"/>
        <w:pageBreakBefore w:val="0"/>
        <w:tabs>
          <w:tab w:val="left" w:leader="middleDot" w:pos="9240"/>
        </w:tabs>
        <w:kinsoku/>
        <w:wordWrap/>
        <w:overflowPunct/>
        <w:topLinePunct w:val="0"/>
        <w:bidi w:val="0"/>
        <w:spacing w:line="440" w:lineRule="exact"/>
        <w:ind w:firstLine="420"/>
        <w:rPr>
          <w:rFonts w:hint="eastAsia" w:ascii="宋体" w:hAnsi="宋体" w:eastAsia="宋体" w:cs="宋体"/>
          <w:color w:val="000000"/>
          <w:sz w:val="24"/>
          <w:szCs w:val="24"/>
        </w:rPr>
      </w:pPr>
      <w:r>
        <w:rPr>
          <w:rFonts w:hint="eastAsia" w:hAnsi="宋体" w:eastAsia="宋体" w:cs="宋体"/>
          <w:color w:val="000000"/>
          <w:sz w:val="24"/>
          <w:szCs w:val="24"/>
          <w:lang w:val="en-US" w:eastAsia="zh-CN"/>
        </w:rPr>
        <w:t>10</w:t>
      </w:r>
      <w:r>
        <w:rPr>
          <w:rFonts w:hint="eastAsia" w:ascii="宋体" w:hAnsi="宋体" w:eastAsia="宋体" w:cs="宋体"/>
          <w:color w:val="000000"/>
          <w:sz w:val="24"/>
          <w:szCs w:val="24"/>
        </w:rPr>
        <w:t>.3不可抗力事件延续120天以上，双方应通过友好协商，确定是否继续履行合同。</w:t>
      </w:r>
    </w:p>
    <w:p w14:paraId="645091AB">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十</w:t>
      </w:r>
      <w:r>
        <w:rPr>
          <w:rFonts w:hint="eastAsia" w:ascii="宋体" w:hAnsi="宋体" w:eastAsia="宋体" w:cs="宋体"/>
          <w:b/>
          <w:color w:val="000000"/>
          <w:sz w:val="24"/>
          <w:szCs w:val="24"/>
          <w:lang w:val="en-US" w:eastAsia="zh-CN"/>
        </w:rPr>
        <w:t>一</w:t>
      </w:r>
      <w:r>
        <w:rPr>
          <w:rFonts w:hint="eastAsia" w:ascii="宋体" w:hAnsi="宋体" w:eastAsia="宋体" w:cs="宋体"/>
          <w:b/>
          <w:color w:val="000000"/>
          <w:sz w:val="24"/>
          <w:szCs w:val="24"/>
        </w:rPr>
        <w:t xml:space="preserve">   仲   裁</w:t>
      </w:r>
    </w:p>
    <w:p w14:paraId="6A264C2D">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hAnsi="宋体" w:eastAsia="宋体" w:cs="宋体"/>
          <w:color w:val="000000"/>
          <w:sz w:val="24"/>
          <w:szCs w:val="24"/>
          <w:lang w:val="en-US" w:eastAsia="zh-CN"/>
        </w:rPr>
        <w:t>1</w:t>
      </w:r>
      <w:r>
        <w:rPr>
          <w:rFonts w:hint="eastAsia" w:ascii="宋体" w:hAnsi="宋体" w:eastAsia="宋体" w:cs="宋体"/>
          <w:color w:val="000000"/>
          <w:sz w:val="24"/>
          <w:szCs w:val="24"/>
        </w:rPr>
        <w:t>.1</w:t>
      </w:r>
      <w:r>
        <w:rPr>
          <w:rFonts w:hint="eastAsia" w:ascii="宋体" w:hAnsi="宋体" w:eastAsia="宋体" w:cs="宋体"/>
          <w:sz w:val="24"/>
          <w:szCs w:val="24"/>
        </w:rPr>
        <w:t>凡因执行项目所发生的争议，或与本项目有关的一切争议，双方应通过友好协商解决。如果协商不能解决，依照《中华人民共和国民法典》，由双方认可的仲裁部门解决或向人民法院起诉。 </w:t>
      </w:r>
    </w:p>
    <w:p w14:paraId="33E6D60E">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十</w:t>
      </w:r>
      <w:r>
        <w:rPr>
          <w:rFonts w:hint="eastAsia" w:ascii="宋体" w:hAnsi="宋体" w:eastAsia="宋体" w:cs="宋体"/>
          <w:b/>
          <w:color w:val="000000"/>
          <w:sz w:val="24"/>
          <w:szCs w:val="24"/>
          <w:lang w:val="en-US" w:eastAsia="zh-CN"/>
        </w:rPr>
        <w:t>二</w:t>
      </w:r>
      <w:r>
        <w:rPr>
          <w:rFonts w:hint="eastAsia" w:ascii="宋体" w:hAnsi="宋体" w:eastAsia="宋体" w:cs="宋体"/>
          <w:b/>
          <w:color w:val="000000"/>
          <w:sz w:val="24"/>
          <w:szCs w:val="24"/>
        </w:rPr>
        <w:t xml:space="preserve">   合同生效及其它</w:t>
      </w:r>
    </w:p>
    <w:p w14:paraId="2116EA8C">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hAnsi="宋体" w:eastAsia="宋体" w:cs="宋体"/>
          <w:color w:val="000000"/>
          <w:sz w:val="24"/>
          <w:szCs w:val="24"/>
          <w:lang w:val="en-US" w:eastAsia="zh-CN"/>
        </w:rPr>
        <w:t>2</w:t>
      </w:r>
      <w:r>
        <w:rPr>
          <w:rFonts w:hint="eastAsia" w:ascii="宋体" w:hAnsi="宋体" w:eastAsia="宋体" w:cs="宋体"/>
          <w:color w:val="000000"/>
          <w:sz w:val="24"/>
          <w:szCs w:val="24"/>
        </w:rPr>
        <w:t>.1合同经双方法定代表人或委托代理人签字并加盖单位公章后生效。</w:t>
      </w:r>
    </w:p>
    <w:p w14:paraId="02B66D3A">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hAnsi="宋体" w:eastAsia="宋体" w:cs="宋体"/>
          <w:color w:val="000000"/>
          <w:sz w:val="24"/>
          <w:szCs w:val="24"/>
          <w:lang w:val="en-US" w:eastAsia="zh-CN"/>
        </w:rPr>
        <w:t>2</w:t>
      </w:r>
      <w:r>
        <w:rPr>
          <w:rFonts w:hint="eastAsia" w:ascii="宋体" w:hAnsi="宋体" w:eastAsia="宋体" w:cs="宋体"/>
          <w:color w:val="000000"/>
          <w:sz w:val="24"/>
          <w:szCs w:val="24"/>
        </w:rPr>
        <w:t>.2合同履行中，如需修改或补充合同内容，由双方协商另签署书面修改或补充协议作为主合同不可分割的一部分。</w:t>
      </w:r>
    </w:p>
    <w:p w14:paraId="2080BC66">
      <w:pPr>
        <w:pStyle w:val="17"/>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rPr>
        <w:t>.3乙方必须自行为其提供产品侵犯其他专利人的专利成果承担相应法律责任，如因侵犯他人专利权造成甲方损失的，还应赔偿甲方损失。</w:t>
      </w:r>
    </w:p>
    <w:p w14:paraId="494DD7EF">
      <w:pPr>
        <w:pStyle w:val="2"/>
        <w:jc w:val="both"/>
        <w:rPr>
          <w:rFonts w:hint="eastAsia"/>
          <w:highlight w:val="none"/>
          <w:lang w:val="en-US" w:eastAsia="zh-CN"/>
        </w:rPr>
      </w:pPr>
    </w:p>
    <w:sectPr>
      <w:pgSz w:w="11906" w:h="16838"/>
      <w:pgMar w:top="1701" w:right="1417" w:bottom="1417" w:left="170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Ђ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auto"/>
    <w:pitch w:val="default"/>
    <w:sig w:usb0="800002BF" w:usb1="38CF7CFA" w:usb2="00000016" w:usb3="00000000" w:csb0="00040001" w:csb1="00000000"/>
    <w:embedRegular r:id="rId1" w:fontKey="{771A466A-D874-48B0-89A4-77001F2CCBC1}"/>
  </w:font>
  <w:font w:name="方正仿宋_GB2312">
    <w:panose1 w:val="02000000000000000000"/>
    <w:charset w:val="86"/>
    <w:family w:val="auto"/>
    <w:pitch w:val="default"/>
    <w:sig w:usb0="A00002BF" w:usb1="184F6CFA" w:usb2="00000012" w:usb3="00000000" w:csb0="00040001" w:csb1="00000000"/>
    <w:embedRegular r:id="rId2" w:fontKey="{D607CD75-108F-469C-98A7-8C51EFD3E15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79348">
    <w:pPr>
      <w:pStyle w:val="1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0C33A2">
                          <w:pPr>
                            <w:pStyle w:val="1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50C33A2">
                    <w:pPr>
                      <w:pStyle w:val="1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4B6FF">
    <w:pPr>
      <w:pStyle w:val="19"/>
      <w:jc w:val="both"/>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625242">
                          <w:pPr>
                            <w:pStyle w:val="19"/>
                            <w:jc w:val="center"/>
                          </w:pPr>
                          <w:r>
                            <w:fldChar w:fldCharType="begin"/>
                          </w:r>
                          <w:r>
                            <w:instrText xml:space="preserve"> PAGE   \* MERGEFORMAT </w:instrText>
                          </w:r>
                          <w:r>
                            <w:fldChar w:fldCharType="separate"/>
                          </w:r>
                          <w:r>
                            <w:rPr>
                              <w:lang w:val="zh-CN"/>
                            </w:rP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E625242">
                    <w:pPr>
                      <w:pStyle w:val="19"/>
                      <w:jc w:val="center"/>
                    </w:pPr>
                    <w:r>
                      <w:fldChar w:fldCharType="begin"/>
                    </w:r>
                    <w:r>
                      <w:instrText xml:space="preserve"> PAGE   \* MERGEFORMAT </w:instrText>
                    </w:r>
                    <w:r>
                      <w:fldChar w:fldCharType="separate"/>
                    </w:r>
                    <w:r>
                      <w:rPr>
                        <w:lang w:val="zh-CN"/>
                      </w:rPr>
                      <w:t>10</w:t>
                    </w:r>
                    <w:r>
                      <w:fldChar w:fldCharType="end"/>
                    </w:r>
                  </w:p>
                </w:txbxContent>
              </v:textbox>
            </v:shape>
          </w:pict>
        </mc:Fallback>
      </mc:AlternateContent>
    </w:r>
  </w:p>
  <w:p w14:paraId="6F2775EE">
    <w:pPr>
      <w:pStyle w:val="1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331FE">
    <w:pPr>
      <w:pStyle w:val="20"/>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002B68"/>
    <w:multiLevelType w:val="singleLevel"/>
    <w:tmpl w:val="81002B68"/>
    <w:lvl w:ilvl="0" w:tentative="0">
      <w:start w:val="1"/>
      <w:numFmt w:val="chineseCounting"/>
      <w:suff w:val="nothing"/>
      <w:lvlText w:val="（%1）"/>
      <w:lvlJc w:val="left"/>
      <w:rPr>
        <w:rFonts w:hint="eastAsia"/>
      </w:rPr>
    </w:lvl>
  </w:abstractNum>
  <w:abstractNum w:abstractNumId="1">
    <w:nsid w:val="9AECC083"/>
    <w:multiLevelType w:val="singleLevel"/>
    <w:tmpl w:val="9AECC083"/>
    <w:lvl w:ilvl="0" w:tentative="0">
      <w:start w:val="1"/>
      <w:numFmt w:val="decimal"/>
      <w:suff w:val="space"/>
      <w:lvlText w:val="%1."/>
      <w:lvlJc w:val="left"/>
    </w:lvl>
  </w:abstractNum>
  <w:abstractNum w:abstractNumId="2">
    <w:nsid w:val="C0CEF598"/>
    <w:multiLevelType w:val="singleLevel"/>
    <w:tmpl w:val="C0CEF598"/>
    <w:lvl w:ilvl="0" w:tentative="0">
      <w:start w:val="2"/>
      <w:numFmt w:val="chineseCounting"/>
      <w:suff w:val="nothing"/>
      <w:lvlText w:val="（%1）"/>
      <w:lvlJc w:val="left"/>
      <w:rPr>
        <w:rFonts w:hint="eastAsia"/>
      </w:rPr>
    </w:lvl>
  </w:abstractNum>
  <w:abstractNum w:abstractNumId="3">
    <w:nsid w:val="EFBDC91E"/>
    <w:multiLevelType w:val="singleLevel"/>
    <w:tmpl w:val="EFBDC91E"/>
    <w:lvl w:ilvl="0" w:tentative="0">
      <w:start w:val="2"/>
      <w:numFmt w:val="decimal"/>
      <w:suff w:val="nothing"/>
      <w:lvlText w:val="（%1）"/>
      <w:lvlJc w:val="left"/>
      <w:rPr>
        <w:rFonts w:hint="default"/>
        <w:b w:val="0"/>
        <w:bCs w:val="0"/>
      </w:rPr>
    </w:lvl>
  </w:abstractNum>
  <w:abstractNum w:abstractNumId="4">
    <w:nsid w:val="064BE252"/>
    <w:multiLevelType w:val="singleLevel"/>
    <w:tmpl w:val="064BE252"/>
    <w:lvl w:ilvl="0" w:tentative="0">
      <w:start w:val="1"/>
      <w:numFmt w:val="decimal"/>
      <w:pStyle w:val="7"/>
      <w:lvlText w:val="%1."/>
      <w:lvlJc w:val="left"/>
      <w:pPr>
        <w:tabs>
          <w:tab w:val="left" w:pos="360"/>
        </w:tabs>
        <w:ind w:left="360" w:hanging="36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xNWU1N2QxY2UxZWI4YzNlODg4ODFmNzk0YTgzMDQifQ=="/>
  </w:docVars>
  <w:rsids>
    <w:rsidRoot w:val="00000000"/>
    <w:rsid w:val="000A002F"/>
    <w:rsid w:val="002B6923"/>
    <w:rsid w:val="003A4F45"/>
    <w:rsid w:val="005A7208"/>
    <w:rsid w:val="007200AE"/>
    <w:rsid w:val="00726300"/>
    <w:rsid w:val="00762B36"/>
    <w:rsid w:val="007D6A53"/>
    <w:rsid w:val="00920750"/>
    <w:rsid w:val="00A41E1A"/>
    <w:rsid w:val="00A67D58"/>
    <w:rsid w:val="00CD3536"/>
    <w:rsid w:val="00E37089"/>
    <w:rsid w:val="00FF56BA"/>
    <w:rsid w:val="01136B4E"/>
    <w:rsid w:val="012313A8"/>
    <w:rsid w:val="01260E98"/>
    <w:rsid w:val="015123B9"/>
    <w:rsid w:val="01661B19"/>
    <w:rsid w:val="01695955"/>
    <w:rsid w:val="017B785A"/>
    <w:rsid w:val="019404F8"/>
    <w:rsid w:val="01962088"/>
    <w:rsid w:val="019B5D8A"/>
    <w:rsid w:val="019C520C"/>
    <w:rsid w:val="019F1CAA"/>
    <w:rsid w:val="01C04E49"/>
    <w:rsid w:val="01DE1773"/>
    <w:rsid w:val="01E70628"/>
    <w:rsid w:val="01E943A0"/>
    <w:rsid w:val="02072A78"/>
    <w:rsid w:val="020C66EF"/>
    <w:rsid w:val="0218414F"/>
    <w:rsid w:val="02222CAB"/>
    <w:rsid w:val="023D51AE"/>
    <w:rsid w:val="02641C78"/>
    <w:rsid w:val="0281282A"/>
    <w:rsid w:val="028B18FB"/>
    <w:rsid w:val="028E3199"/>
    <w:rsid w:val="02900CBF"/>
    <w:rsid w:val="02AD40CA"/>
    <w:rsid w:val="02C62933"/>
    <w:rsid w:val="02E35293"/>
    <w:rsid w:val="02FC6355"/>
    <w:rsid w:val="02FD125B"/>
    <w:rsid w:val="030B79D9"/>
    <w:rsid w:val="031A057A"/>
    <w:rsid w:val="032558AB"/>
    <w:rsid w:val="032633D2"/>
    <w:rsid w:val="03321D76"/>
    <w:rsid w:val="03373831"/>
    <w:rsid w:val="03393105"/>
    <w:rsid w:val="033B6E7D"/>
    <w:rsid w:val="03630182"/>
    <w:rsid w:val="03740059"/>
    <w:rsid w:val="03800D34"/>
    <w:rsid w:val="038B6A07"/>
    <w:rsid w:val="03AC38D7"/>
    <w:rsid w:val="03C2134C"/>
    <w:rsid w:val="03D44CDB"/>
    <w:rsid w:val="03E07A24"/>
    <w:rsid w:val="03E52EEC"/>
    <w:rsid w:val="03F62C0E"/>
    <w:rsid w:val="03FB23A4"/>
    <w:rsid w:val="041143FE"/>
    <w:rsid w:val="04247911"/>
    <w:rsid w:val="0428700D"/>
    <w:rsid w:val="04473600"/>
    <w:rsid w:val="04650ECE"/>
    <w:rsid w:val="04706FFA"/>
    <w:rsid w:val="04A46CA4"/>
    <w:rsid w:val="04BA7570"/>
    <w:rsid w:val="04CB2483"/>
    <w:rsid w:val="04D53301"/>
    <w:rsid w:val="04E07BD4"/>
    <w:rsid w:val="04E15802"/>
    <w:rsid w:val="04F96FF0"/>
    <w:rsid w:val="05017C52"/>
    <w:rsid w:val="050D2A9B"/>
    <w:rsid w:val="050F7102"/>
    <w:rsid w:val="052D4EEB"/>
    <w:rsid w:val="052F58F4"/>
    <w:rsid w:val="054A066D"/>
    <w:rsid w:val="056856F9"/>
    <w:rsid w:val="057743B8"/>
    <w:rsid w:val="057A09C7"/>
    <w:rsid w:val="058C7E64"/>
    <w:rsid w:val="05A607FA"/>
    <w:rsid w:val="05BF6CDE"/>
    <w:rsid w:val="05C8373B"/>
    <w:rsid w:val="05CB3B41"/>
    <w:rsid w:val="05CF1AFF"/>
    <w:rsid w:val="05D67331"/>
    <w:rsid w:val="05DE5347"/>
    <w:rsid w:val="05E1153D"/>
    <w:rsid w:val="05E12E4E"/>
    <w:rsid w:val="05E137B9"/>
    <w:rsid w:val="05E530D0"/>
    <w:rsid w:val="05FB0B46"/>
    <w:rsid w:val="060E0879"/>
    <w:rsid w:val="061119C9"/>
    <w:rsid w:val="061340E1"/>
    <w:rsid w:val="061E65E2"/>
    <w:rsid w:val="06473D8B"/>
    <w:rsid w:val="06653527"/>
    <w:rsid w:val="06EC048E"/>
    <w:rsid w:val="06F86E33"/>
    <w:rsid w:val="07047ECE"/>
    <w:rsid w:val="07071B14"/>
    <w:rsid w:val="070C28DE"/>
    <w:rsid w:val="072B7208"/>
    <w:rsid w:val="073D0CEA"/>
    <w:rsid w:val="07444509"/>
    <w:rsid w:val="075132BE"/>
    <w:rsid w:val="076170CE"/>
    <w:rsid w:val="07630750"/>
    <w:rsid w:val="0768045D"/>
    <w:rsid w:val="078139DC"/>
    <w:rsid w:val="078B5EF9"/>
    <w:rsid w:val="079B25E0"/>
    <w:rsid w:val="07A34FF1"/>
    <w:rsid w:val="07B0452B"/>
    <w:rsid w:val="07B62F76"/>
    <w:rsid w:val="07D16002"/>
    <w:rsid w:val="07E31891"/>
    <w:rsid w:val="07E35D35"/>
    <w:rsid w:val="07F01A92"/>
    <w:rsid w:val="080737D2"/>
    <w:rsid w:val="080F4734"/>
    <w:rsid w:val="081D2FF5"/>
    <w:rsid w:val="0828199A"/>
    <w:rsid w:val="082D6FB0"/>
    <w:rsid w:val="083B347B"/>
    <w:rsid w:val="08421BC8"/>
    <w:rsid w:val="08532F72"/>
    <w:rsid w:val="087A397A"/>
    <w:rsid w:val="08892439"/>
    <w:rsid w:val="08901A19"/>
    <w:rsid w:val="089A2990"/>
    <w:rsid w:val="08A70B11"/>
    <w:rsid w:val="08B124AE"/>
    <w:rsid w:val="08BF5E5A"/>
    <w:rsid w:val="08CC67C9"/>
    <w:rsid w:val="08D07B67"/>
    <w:rsid w:val="08F71A98"/>
    <w:rsid w:val="090221EB"/>
    <w:rsid w:val="090441B5"/>
    <w:rsid w:val="090917CB"/>
    <w:rsid w:val="09093579"/>
    <w:rsid w:val="09153CCC"/>
    <w:rsid w:val="093323A4"/>
    <w:rsid w:val="0941123B"/>
    <w:rsid w:val="095274E4"/>
    <w:rsid w:val="095962AF"/>
    <w:rsid w:val="096B5FE2"/>
    <w:rsid w:val="0971158E"/>
    <w:rsid w:val="09862E1C"/>
    <w:rsid w:val="098653FA"/>
    <w:rsid w:val="098826F0"/>
    <w:rsid w:val="099866AB"/>
    <w:rsid w:val="09A82D92"/>
    <w:rsid w:val="09D63EB0"/>
    <w:rsid w:val="09E576CD"/>
    <w:rsid w:val="09FB1114"/>
    <w:rsid w:val="0A0211D5"/>
    <w:rsid w:val="0A1362C7"/>
    <w:rsid w:val="0A31108A"/>
    <w:rsid w:val="0A3F5274"/>
    <w:rsid w:val="0A402FCB"/>
    <w:rsid w:val="0A4D7496"/>
    <w:rsid w:val="0A555C49"/>
    <w:rsid w:val="0A5D5DE0"/>
    <w:rsid w:val="0A762E91"/>
    <w:rsid w:val="0A856C30"/>
    <w:rsid w:val="0A947F5A"/>
    <w:rsid w:val="0AA23C86"/>
    <w:rsid w:val="0AAC240E"/>
    <w:rsid w:val="0AAF0151"/>
    <w:rsid w:val="0AB10AB1"/>
    <w:rsid w:val="0AB87005"/>
    <w:rsid w:val="0ACC0D02"/>
    <w:rsid w:val="0AD100C7"/>
    <w:rsid w:val="0ADD6A6C"/>
    <w:rsid w:val="0ADE26F1"/>
    <w:rsid w:val="0AE4604C"/>
    <w:rsid w:val="0AFD0EBC"/>
    <w:rsid w:val="0AFF19D8"/>
    <w:rsid w:val="0B0C127B"/>
    <w:rsid w:val="0B232DB1"/>
    <w:rsid w:val="0B2428ED"/>
    <w:rsid w:val="0B4E7969"/>
    <w:rsid w:val="0B6220B0"/>
    <w:rsid w:val="0B710869"/>
    <w:rsid w:val="0B812556"/>
    <w:rsid w:val="0B84338B"/>
    <w:rsid w:val="0B850C28"/>
    <w:rsid w:val="0B8B471A"/>
    <w:rsid w:val="0B9F6417"/>
    <w:rsid w:val="0BA76D59"/>
    <w:rsid w:val="0BB65607"/>
    <w:rsid w:val="0BDA11FD"/>
    <w:rsid w:val="0BDF05C2"/>
    <w:rsid w:val="0BE34556"/>
    <w:rsid w:val="0BE634AB"/>
    <w:rsid w:val="0BF94595"/>
    <w:rsid w:val="0BF95B27"/>
    <w:rsid w:val="0C01678A"/>
    <w:rsid w:val="0C1106D0"/>
    <w:rsid w:val="0C193AD3"/>
    <w:rsid w:val="0C3A7D84"/>
    <w:rsid w:val="0C3F667B"/>
    <w:rsid w:val="0C430A9C"/>
    <w:rsid w:val="0C460641"/>
    <w:rsid w:val="0C594818"/>
    <w:rsid w:val="0C607954"/>
    <w:rsid w:val="0C66480D"/>
    <w:rsid w:val="0C676F35"/>
    <w:rsid w:val="0C6841EA"/>
    <w:rsid w:val="0C7B478E"/>
    <w:rsid w:val="0C8E74CE"/>
    <w:rsid w:val="0C9559EC"/>
    <w:rsid w:val="0CA96C0E"/>
    <w:rsid w:val="0CAA0BCF"/>
    <w:rsid w:val="0CCE2B10"/>
    <w:rsid w:val="0CD619C5"/>
    <w:rsid w:val="0CE02843"/>
    <w:rsid w:val="0CE46347"/>
    <w:rsid w:val="0D132C19"/>
    <w:rsid w:val="0D28578D"/>
    <w:rsid w:val="0D701E19"/>
    <w:rsid w:val="0D9A6E96"/>
    <w:rsid w:val="0DA878DE"/>
    <w:rsid w:val="0DAA6038"/>
    <w:rsid w:val="0DE819AF"/>
    <w:rsid w:val="0DF33CF1"/>
    <w:rsid w:val="0DF977D2"/>
    <w:rsid w:val="0E083E00"/>
    <w:rsid w:val="0E214EC1"/>
    <w:rsid w:val="0E40791B"/>
    <w:rsid w:val="0E4312DC"/>
    <w:rsid w:val="0E492530"/>
    <w:rsid w:val="0E5C05EF"/>
    <w:rsid w:val="0E5D3047"/>
    <w:rsid w:val="0E71409B"/>
    <w:rsid w:val="0E7A4F7C"/>
    <w:rsid w:val="0EA5125F"/>
    <w:rsid w:val="0EB22DDA"/>
    <w:rsid w:val="0ECC66A0"/>
    <w:rsid w:val="0EED1247"/>
    <w:rsid w:val="0F0E18EA"/>
    <w:rsid w:val="0F234C69"/>
    <w:rsid w:val="0F3B6457"/>
    <w:rsid w:val="0F4277E5"/>
    <w:rsid w:val="0F4672D5"/>
    <w:rsid w:val="0F4C7D92"/>
    <w:rsid w:val="0F76748F"/>
    <w:rsid w:val="0F786BF9"/>
    <w:rsid w:val="0F7D1150"/>
    <w:rsid w:val="0F9D2C6D"/>
    <w:rsid w:val="0FA91B7F"/>
    <w:rsid w:val="0FCC6DFA"/>
    <w:rsid w:val="0FE663C2"/>
    <w:rsid w:val="0FE8213B"/>
    <w:rsid w:val="0FFC1B47"/>
    <w:rsid w:val="10101691"/>
    <w:rsid w:val="10132AE3"/>
    <w:rsid w:val="10182E93"/>
    <w:rsid w:val="1021389E"/>
    <w:rsid w:val="102313C5"/>
    <w:rsid w:val="10246863"/>
    <w:rsid w:val="10525806"/>
    <w:rsid w:val="10607C17"/>
    <w:rsid w:val="106C2D6C"/>
    <w:rsid w:val="107514F4"/>
    <w:rsid w:val="108B0D18"/>
    <w:rsid w:val="10AB3168"/>
    <w:rsid w:val="10B647F9"/>
    <w:rsid w:val="10D16A56"/>
    <w:rsid w:val="10E16B8A"/>
    <w:rsid w:val="10F66AD9"/>
    <w:rsid w:val="110007A2"/>
    <w:rsid w:val="113E4E57"/>
    <w:rsid w:val="1151283D"/>
    <w:rsid w:val="11603F53"/>
    <w:rsid w:val="11627CCB"/>
    <w:rsid w:val="1182557E"/>
    <w:rsid w:val="118341C0"/>
    <w:rsid w:val="11847C41"/>
    <w:rsid w:val="118F65E6"/>
    <w:rsid w:val="11961522"/>
    <w:rsid w:val="119C02C2"/>
    <w:rsid w:val="11BB0AEB"/>
    <w:rsid w:val="11C97EA9"/>
    <w:rsid w:val="11DA5964"/>
    <w:rsid w:val="11E54CD2"/>
    <w:rsid w:val="11E703EE"/>
    <w:rsid w:val="11E93F48"/>
    <w:rsid w:val="11EE5A02"/>
    <w:rsid w:val="11F03528"/>
    <w:rsid w:val="11F12DFD"/>
    <w:rsid w:val="11F823DD"/>
    <w:rsid w:val="11F931F4"/>
    <w:rsid w:val="12056664"/>
    <w:rsid w:val="12086AC4"/>
    <w:rsid w:val="1220184D"/>
    <w:rsid w:val="123F24AA"/>
    <w:rsid w:val="124F46F3"/>
    <w:rsid w:val="12541D09"/>
    <w:rsid w:val="125735A8"/>
    <w:rsid w:val="12591F6D"/>
    <w:rsid w:val="127557DC"/>
    <w:rsid w:val="127C300E"/>
    <w:rsid w:val="12AA12B5"/>
    <w:rsid w:val="12BB79E4"/>
    <w:rsid w:val="12C0114D"/>
    <w:rsid w:val="12C34799"/>
    <w:rsid w:val="12DA1AE3"/>
    <w:rsid w:val="12EA441C"/>
    <w:rsid w:val="12ED1816"/>
    <w:rsid w:val="12FE1C75"/>
    <w:rsid w:val="130A23C8"/>
    <w:rsid w:val="1319085D"/>
    <w:rsid w:val="13271BB1"/>
    <w:rsid w:val="133B2F48"/>
    <w:rsid w:val="13454C20"/>
    <w:rsid w:val="134A5D70"/>
    <w:rsid w:val="134D2F57"/>
    <w:rsid w:val="135950FD"/>
    <w:rsid w:val="13653AA2"/>
    <w:rsid w:val="13887C76"/>
    <w:rsid w:val="138F28CD"/>
    <w:rsid w:val="13A50343"/>
    <w:rsid w:val="13CF716E"/>
    <w:rsid w:val="13F75BCF"/>
    <w:rsid w:val="13FD2011"/>
    <w:rsid w:val="13FF287E"/>
    <w:rsid w:val="140B289C"/>
    <w:rsid w:val="14256000"/>
    <w:rsid w:val="147A2F52"/>
    <w:rsid w:val="147D6BCA"/>
    <w:rsid w:val="148B7538"/>
    <w:rsid w:val="14991C55"/>
    <w:rsid w:val="14A14FAE"/>
    <w:rsid w:val="14A566F8"/>
    <w:rsid w:val="14B2243D"/>
    <w:rsid w:val="14C240EA"/>
    <w:rsid w:val="14C64A14"/>
    <w:rsid w:val="14C64FC0"/>
    <w:rsid w:val="14D64C58"/>
    <w:rsid w:val="14EE1571"/>
    <w:rsid w:val="14F24E09"/>
    <w:rsid w:val="151A11AA"/>
    <w:rsid w:val="151B08BC"/>
    <w:rsid w:val="15202377"/>
    <w:rsid w:val="152B041F"/>
    <w:rsid w:val="15387869"/>
    <w:rsid w:val="154C6CC8"/>
    <w:rsid w:val="157B135B"/>
    <w:rsid w:val="157F5F86"/>
    <w:rsid w:val="15915971"/>
    <w:rsid w:val="159863B1"/>
    <w:rsid w:val="159E0850"/>
    <w:rsid w:val="15A64FE4"/>
    <w:rsid w:val="15CE1DD3"/>
    <w:rsid w:val="15D171CD"/>
    <w:rsid w:val="15D350BF"/>
    <w:rsid w:val="15DB629E"/>
    <w:rsid w:val="161465A9"/>
    <w:rsid w:val="161E4F37"/>
    <w:rsid w:val="162B50BD"/>
    <w:rsid w:val="16361726"/>
    <w:rsid w:val="164511D2"/>
    <w:rsid w:val="1650051A"/>
    <w:rsid w:val="16504596"/>
    <w:rsid w:val="165A18B8"/>
    <w:rsid w:val="165E3829"/>
    <w:rsid w:val="16611871"/>
    <w:rsid w:val="166401D7"/>
    <w:rsid w:val="16677B31"/>
    <w:rsid w:val="16690670"/>
    <w:rsid w:val="166B13D0"/>
    <w:rsid w:val="16716384"/>
    <w:rsid w:val="16832BBD"/>
    <w:rsid w:val="16873D30"/>
    <w:rsid w:val="16875B11"/>
    <w:rsid w:val="16A47E5E"/>
    <w:rsid w:val="16CD3E38"/>
    <w:rsid w:val="16DE7DF3"/>
    <w:rsid w:val="16EF6D81"/>
    <w:rsid w:val="16F00564"/>
    <w:rsid w:val="16F46EE5"/>
    <w:rsid w:val="17500FFF"/>
    <w:rsid w:val="1766323A"/>
    <w:rsid w:val="177C13BA"/>
    <w:rsid w:val="177C760C"/>
    <w:rsid w:val="1780534F"/>
    <w:rsid w:val="178070FD"/>
    <w:rsid w:val="179008A3"/>
    <w:rsid w:val="1792505A"/>
    <w:rsid w:val="17D87BC0"/>
    <w:rsid w:val="17DC2B1C"/>
    <w:rsid w:val="17F673BF"/>
    <w:rsid w:val="17FB49D5"/>
    <w:rsid w:val="17FD641A"/>
    <w:rsid w:val="18001FEB"/>
    <w:rsid w:val="18031B72"/>
    <w:rsid w:val="18133ACD"/>
    <w:rsid w:val="181461D3"/>
    <w:rsid w:val="181F6915"/>
    <w:rsid w:val="182061EA"/>
    <w:rsid w:val="18216B7B"/>
    <w:rsid w:val="182A601C"/>
    <w:rsid w:val="18316649"/>
    <w:rsid w:val="184B770B"/>
    <w:rsid w:val="18552337"/>
    <w:rsid w:val="18657D01"/>
    <w:rsid w:val="18773C95"/>
    <w:rsid w:val="187C3D68"/>
    <w:rsid w:val="188E5D02"/>
    <w:rsid w:val="189310B2"/>
    <w:rsid w:val="18956512"/>
    <w:rsid w:val="18B352B0"/>
    <w:rsid w:val="18D3325C"/>
    <w:rsid w:val="18DE2567"/>
    <w:rsid w:val="18E15979"/>
    <w:rsid w:val="18E558E7"/>
    <w:rsid w:val="18EE62E8"/>
    <w:rsid w:val="18F51424"/>
    <w:rsid w:val="191F0861"/>
    <w:rsid w:val="19314B52"/>
    <w:rsid w:val="19466124"/>
    <w:rsid w:val="19520625"/>
    <w:rsid w:val="19677E41"/>
    <w:rsid w:val="197A314C"/>
    <w:rsid w:val="198A41E7"/>
    <w:rsid w:val="198F3627"/>
    <w:rsid w:val="19A60971"/>
    <w:rsid w:val="19B66E06"/>
    <w:rsid w:val="19D96F98"/>
    <w:rsid w:val="19F33BB6"/>
    <w:rsid w:val="19F45B80"/>
    <w:rsid w:val="19F46A70"/>
    <w:rsid w:val="1A14067E"/>
    <w:rsid w:val="1A387E8B"/>
    <w:rsid w:val="1A5B79AD"/>
    <w:rsid w:val="1A691CCE"/>
    <w:rsid w:val="1A733D13"/>
    <w:rsid w:val="1A76380C"/>
    <w:rsid w:val="1A9058A9"/>
    <w:rsid w:val="1AEA05DF"/>
    <w:rsid w:val="1AEE28FF"/>
    <w:rsid w:val="1AFF47DC"/>
    <w:rsid w:val="1B064E33"/>
    <w:rsid w:val="1B2A7AAB"/>
    <w:rsid w:val="1B593EEC"/>
    <w:rsid w:val="1B66485B"/>
    <w:rsid w:val="1B9413C8"/>
    <w:rsid w:val="1BA64C58"/>
    <w:rsid w:val="1BC33A5C"/>
    <w:rsid w:val="1BC96DA5"/>
    <w:rsid w:val="1BEA548C"/>
    <w:rsid w:val="1BF04E4F"/>
    <w:rsid w:val="1BF44DE1"/>
    <w:rsid w:val="1BF907BA"/>
    <w:rsid w:val="1BFF50E5"/>
    <w:rsid w:val="1C071B9A"/>
    <w:rsid w:val="1C0F4155"/>
    <w:rsid w:val="1C274B6E"/>
    <w:rsid w:val="1C2A7637"/>
    <w:rsid w:val="1C31288F"/>
    <w:rsid w:val="1C3953B0"/>
    <w:rsid w:val="1C3F69E4"/>
    <w:rsid w:val="1C3F7586"/>
    <w:rsid w:val="1C406E5A"/>
    <w:rsid w:val="1C4912EF"/>
    <w:rsid w:val="1C4C086F"/>
    <w:rsid w:val="1C691986"/>
    <w:rsid w:val="1C694603"/>
    <w:rsid w:val="1C876837"/>
    <w:rsid w:val="1C9639D6"/>
    <w:rsid w:val="1CA4563B"/>
    <w:rsid w:val="1CA7512B"/>
    <w:rsid w:val="1CB908AC"/>
    <w:rsid w:val="1CBD66FD"/>
    <w:rsid w:val="1CC1101A"/>
    <w:rsid w:val="1CC21E45"/>
    <w:rsid w:val="1CC40B0B"/>
    <w:rsid w:val="1CCB2BC8"/>
    <w:rsid w:val="1CEC0D90"/>
    <w:rsid w:val="1D077978"/>
    <w:rsid w:val="1D150FC5"/>
    <w:rsid w:val="1D232A04"/>
    <w:rsid w:val="1D280446"/>
    <w:rsid w:val="1D2C0BEB"/>
    <w:rsid w:val="1D2D4721"/>
    <w:rsid w:val="1D3369BF"/>
    <w:rsid w:val="1D4961E3"/>
    <w:rsid w:val="1D4E55A7"/>
    <w:rsid w:val="1D7019C1"/>
    <w:rsid w:val="1D713B23"/>
    <w:rsid w:val="1D7274E7"/>
    <w:rsid w:val="1D771F63"/>
    <w:rsid w:val="1D886D0B"/>
    <w:rsid w:val="1D952D46"/>
    <w:rsid w:val="1D975F15"/>
    <w:rsid w:val="1DA8386E"/>
    <w:rsid w:val="1DA973CB"/>
    <w:rsid w:val="1DAB47A7"/>
    <w:rsid w:val="1DB45D52"/>
    <w:rsid w:val="1DBC0763"/>
    <w:rsid w:val="1DC046F7"/>
    <w:rsid w:val="1DD12460"/>
    <w:rsid w:val="1DED6B6E"/>
    <w:rsid w:val="1E0A5972"/>
    <w:rsid w:val="1E0C16EA"/>
    <w:rsid w:val="1E14059F"/>
    <w:rsid w:val="1E1A22FB"/>
    <w:rsid w:val="1E1E4F79"/>
    <w:rsid w:val="1E2F53D8"/>
    <w:rsid w:val="1E58490A"/>
    <w:rsid w:val="1E587609"/>
    <w:rsid w:val="1E636E30"/>
    <w:rsid w:val="1E656859"/>
    <w:rsid w:val="1E795C5B"/>
    <w:rsid w:val="1E805C34"/>
    <w:rsid w:val="1E8C78AD"/>
    <w:rsid w:val="1EA14212"/>
    <w:rsid w:val="1EA731C1"/>
    <w:rsid w:val="1EAC07D7"/>
    <w:rsid w:val="1EAF0707"/>
    <w:rsid w:val="1EB8717C"/>
    <w:rsid w:val="1EBE244B"/>
    <w:rsid w:val="1EBF49AE"/>
    <w:rsid w:val="1EC2624D"/>
    <w:rsid w:val="1F142C89"/>
    <w:rsid w:val="1F185E6D"/>
    <w:rsid w:val="1F274302"/>
    <w:rsid w:val="1F4B4494"/>
    <w:rsid w:val="1F7D20FB"/>
    <w:rsid w:val="1FA871F0"/>
    <w:rsid w:val="1FAB33E8"/>
    <w:rsid w:val="1FAB6CE1"/>
    <w:rsid w:val="1FB5190D"/>
    <w:rsid w:val="1FC12BF7"/>
    <w:rsid w:val="1FCB2EDF"/>
    <w:rsid w:val="1FE16BA6"/>
    <w:rsid w:val="1FF93EF0"/>
    <w:rsid w:val="1FF95C9E"/>
    <w:rsid w:val="1FFB1D03"/>
    <w:rsid w:val="200B777F"/>
    <w:rsid w:val="20145ED1"/>
    <w:rsid w:val="201C373B"/>
    <w:rsid w:val="20280331"/>
    <w:rsid w:val="202A22FB"/>
    <w:rsid w:val="20336F55"/>
    <w:rsid w:val="20515ADA"/>
    <w:rsid w:val="20523600"/>
    <w:rsid w:val="206E043A"/>
    <w:rsid w:val="206F7D0E"/>
    <w:rsid w:val="20855784"/>
    <w:rsid w:val="209854B7"/>
    <w:rsid w:val="20A0611A"/>
    <w:rsid w:val="20BD3045"/>
    <w:rsid w:val="20E029BA"/>
    <w:rsid w:val="20F91DC3"/>
    <w:rsid w:val="21056955"/>
    <w:rsid w:val="21115230"/>
    <w:rsid w:val="21166835"/>
    <w:rsid w:val="21325ABC"/>
    <w:rsid w:val="214D4EB3"/>
    <w:rsid w:val="217A2E0F"/>
    <w:rsid w:val="217A4BBD"/>
    <w:rsid w:val="218E68BA"/>
    <w:rsid w:val="2191122E"/>
    <w:rsid w:val="21934F11"/>
    <w:rsid w:val="21937A2C"/>
    <w:rsid w:val="21957276"/>
    <w:rsid w:val="21A25EC1"/>
    <w:rsid w:val="21B005DE"/>
    <w:rsid w:val="21BA320B"/>
    <w:rsid w:val="21D27BDA"/>
    <w:rsid w:val="21E14C3C"/>
    <w:rsid w:val="21E40488"/>
    <w:rsid w:val="21E93AF0"/>
    <w:rsid w:val="21EB10D5"/>
    <w:rsid w:val="21EB5ABA"/>
    <w:rsid w:val="21F431D1"/>
    <w:rsid w:val="221548E5"/>
    <w:rsid w:val="22180D21"/>
    <w:rsid w:val="224156DA"/>
    <w:rsid w:val="22450DA6"/>
    <w:rsid w:val="227635D6"/>
    <w:rsid w:val="22794E74"/>
    <w:rsid w:val="22C205C9"/>
    <w:rsid w:val="22CA1B74"/>
    <w:rsid w:val="22CF0F38"/>
    <w:rsid w:val="22F07A78"/>
    <w:rsid w:val="22F64717"/>
    <w:rsid w:val="22FC1362"/>
    <w:rsid w:val="2303104A"/>
    <w:rsid w:val="23272B22"/>
    <w:rsid w:val="232E2103"/>
    <w:rsid w:val="233E75AE"/>
    <w:rsid w:val="23466363"/>
    <w:rsid w:val="234B6811"/>
    <w:rsid w:val="234E78B1"/>
    <w:rsid w:val="236732CC"/>
    <w:rsid w:val="236773C3"/>
    <w:rsid w:val="236964A7"/>
    <w:rsid w:val="236A4649"/>
    <w:rsid w:val="236E2B89"/>
    <w:rsid w:val="238F2BB7"/>
    <w:rsid w:val="239301B8"/>
    <w:rsid w:val="239909B2"/>
    <w:rsid w:val="23B51EDC"/>
    <w:rsid w:val="23E26A49"/>
    <w:rsid w:val="24070F43"/>
    <w:rsid w:val="24294138"/>
    <w:rsid w:val="242F7EE0"/>
    <w:rsid w:val="243F3E9B"/>
    <w:rsid w:val="244D3DFE"/>
    <w:rsid w:val="24A952A3"/>
    <w:rsid w:val="24E16D01"/>
    <w:rsid w:val="24EA11A8"/>
    <w:rsid w:val="24F7089A"/>
    <w:rsid w:val="25202D3F"/>
    <w:rsid w:val="25333A00"/>
    <w:rsid w:val="253A4D8F"/>
    <w:rsid w:val="25453733"/>
    <w:rsid w:val="25457290"/>
    <w:rsid w:val="254C4AC2"/>
    <w:rsid w:val="254E0526"/>
    <w:rsid w:val="2553373E"/>
    <w:rsid w:val="256911D0"/>
    <w:rsid w:val="257F27A2"/>
    <w:rsid w:val="258204E4"/>
    <w:rsid w:val="258424AE"/>
    <w:rsid w:val="25A17C6A"/>
    <w:rsid w:val="25A25DCA"/>
    <w:rsid w:val="25D86356"/>
    <w:rsid w:val="25E847EB"/>
    <w:rsid w:val="25FA62CC"/>
    <w:rsid w:val="260D4251"/>
    <w:rsid w:val="2621539B"/>
    <w:rsid w:val="26347A30"/>
    <w:rsid w:val="266100F9"/>
    <w:rsid w:val="2666570F"/>
    <w:rsid w:val="2686305D"/>
    <w:rsid w:val="26867B60"/>
    <w:rsid w:val="268A3AF4"/>
    <w:rsid w:val="26962499"/>
    <w:rsid w:val="269C3827"/>
    <w:rsid w:val="26A60202"/>
    <w:rsid w:val="26B91CE3"/>
    <w:rsid w:val="26C009EF"/>
    <w:rsid w:val="26C86E2D"/>
    <w:rsid w:val="26D61491"/>
    <w:rsid w:val="26DE174A"/>
    <w:rsid w:val="26E66826"/>
    <w:rsid w:val="270A3FE0"/>
    <w:rsid w:val="270C4E2A"/>
    <w:rsid w:val="270D202F"/>
    <w:rsid w:val="271B35CC"/>
    <w:rsid w:val="2729426E"/>
    <w:rsid w:val="27441EF5"/>
    <w:rsid w:val="27561C28"/>
    <w:rsid w:val="275B2D9A"/>
    <w:rsid w:val="27613B9F"/>
    <w:rsid w:val="27644345"/>
    <w:rsid w:val="277B168E"/>
    <w:rsid w:val="27826579"/>
    <w:rsid w:val="279D5271"/>
    <w:rsid w:val="27AC35F6"/>
    <w:rsid w:val="27B626C7"/>
    <w:rsid w:val="27BF157B"/>
    <w:rsid w:val="27C23AD2"/>
    <w:rsid w:val="27CB7F20"/>
    <w:rsid w:val="27EC7E96"/>
    <w:rsid w:val="27F855FD"/>
    <w:rsid w:val="27FFCA11"/>
    <w:rsid w:val="28135D30"/>
    <w:rsid w:val="2821194A"/>
    <w:rsid w:val="282B6C11"/>
    <w:rsid w:val="283A50A6"/>
    <w:rsid w:val="28551EE0"/>
    <w:rsid w:val="285A2FA5"/>
    <w:rsid w:val="285A5748"/>
    <w:rsid w:val="285F371B"/>
    <w:rsid w:val="28616AD6"/>
    <w:rsid w:val="286E4D4F"/>
    <w:rsid w:val="28706D19"/>
    <w:rsid w:val="287265EE"/>
    <w:rsid w:val="287927AA"/>
    <w:rsid w:val="287C3D28"/>
    <w:rsid w:val="288B5901"/>
    <w:rsid w:val="288E6299"/>
    <w:rsid w:val="28AB47F1"/>
    <w:rsid w:val="28BA7F95"/>
    <w:rsid w:val="28CA1820"/>
    <w:rsid w:val="28DE5E2A"/>
    <w:rsid w:val="28E03E9F"/>
    <w:rsid w:val="290B259E"/>
    <w:rsid w:val="291432EC"/>
    <w:rsid w:val="293B7BDB"/>
    <w:rsid w:val="29564161"/>
    <w:rsid w:val="296A3769"/>
    <w:rsid w:val="296F01AD"/>
    <w:rsid w:val="2973086F"/>
    <w:rsid w:val="29B175E9"/>
    <w:rsid w:val="29C03AD7"/>
    <w:rsid w:val="29C456B6"/>
    <w:rsid w:val="29C72969"/>
    <w:rsid w:val="29D15596"/>
    <w:rsid w:val="29DD218D"/>
    <w:rsid w:val="29E552F5"/>
    <w:rsid w:val="2A0911D4"/>
    <w:rsid w:val="2A092F82"/>
    <w:rsid w:val="2A1A0CEB"/>
    <w:rsid w:val="2A1C0F07"/>
    <w:rsid w:val="2A202079"/>
    <w:rsid w:val="2A2A6532"/>
    <w:rsid w:val="2A3C6EB3"/>
    <w:rsid w:val="2A571F3F"/>
    <w:rsid w:val="2A6554C2"/>
    <w:rsid w:val="2A8E16D9"/>
    <w:rsid w:val="2A9E122B"/>
    <w:rsid w:val="2AA96A88"/>
    <w:rsid w:val="2AB7478C"/>
    <w:rsid w:val="2ABB6513"/>
    <w:rsid w:val="2ACD3FAF"/>
    <w:rsid w:val="2AD01CF1"/>
    <w:rsid w:val="2AD95B0C"/>
    <w:rsid w:val="2ADE61BC"/>
    <w:rsid w:val="2AF61758"/>
    <w:rsid w:val="2AF754D0"/>
    <w:rsid w:val="2B163BA8"/>
    <w:rsid w:val="2B261911"/>
    <w:rsid w:val="2B2D2CA0"/>
    <w:rsid w:val="2B400C25"/>
    <w:rsid w:val="2B4A3852"/>
    <w:rsid w:val="2B4D3342"/>
    <w:rsid w:val="2B777BE6"/>
    <w:rsid w:val="2B794137"/>
    <w:rsid w:val="2B801021"/>
    <w:rsid w:val="2B920D55"/>
    <w:rsid w:val="2B9B7567"/>
    <w:rsid w:val="2BA56D2B"/>
    <w:rsid w:val="2BAE3DE1"/>
    <w:rsid w:val="2BC2163A"/>
    <w:rsid w:val="2BC26A33"/>
    <w:rsid w:val="2BE041B6"/>
    <w:rsid w:val="2BF137F5"/>
    <w:rsid w:val="2BF957FB"/>
    <w:rsid w:val="2C1300E8"/>
    <w:rsid w:val="2C155C0E"/>
    <w:rsid w:val="2C17411D"/>
    <w:rsid w:val="2C275941"/>
    <w:rsid w:val="2C2F02DF"/>
    <w:rsid w:val="2C3D4040"/>
    <w:rsid w:val="2C550700"/>
    <w:rsid w:val="2C6B3A80"/>
    <w:rsid w:val="2C70553A"/>
    <w:rsid w:val="2C730B86"/>
    <w:rsid w:val="2C9B780D"/>
    <w:rsid w:val="2C9F2B97"/>
    <w:rsid w:val="2CA760BB"/>
    <w:rsid w:val="2CB90C8F"/>
    <w:rsid w:val="2CCB3F36"/>
    <w:rsid w:val="2CD535EF"/>
    <w:rsid w:val="2CD634E0"/>
    <w:rsid w:val="2CDA585C"/>
    <w:rsid w:val="2CF6225B"/>
    <w:rsid w:val="2D1139FF"/>
    <w:rsid w:val="2D4A18E7"/>
    <w:rsid w:val="2D5101A8"/>
    <w:rsid w:val="2D572256"/>
    <w:rsid w:val="2D630BFB"/>
    <w:rsid w:val="2D6B4704"/>
    <w:rsid w:val="2D855015"/>
    <w:rsid w:val="2D9E66A8"/>
    <w:rsid w:val="2DAC0C1E"/>
    <w:rsid w:val="2DCF44E2"/>
    <w:rsid w:val="2DE97352"/>
    <w:rsid w:val="2DF126AA"/>
    <w:rsid w:val="2E0F4E01"/>
    <w:rsid w:val="2E2F4D39"/>
    <w:rsid w:val="2E3B56D4"/>
    <w:rsid w:val="2E6764C9"/>
    <w:rsid w:val="2E6A4A00"/>
    <w:rsid w:val="2E6D79FE"/>
    <w:rsid w:val="2E76670C"/>
    <w:rsid w:val="2E7F39BA"/>
    <w:rsid w:val="2E8928E3"/>
    <w:rsid w:val="2E8E1CA7"/>
    <w:rsid w:val="2EE0567F"/>
    <w:rsid w:val="2EE33991"/>
    <w:rsid w:val="2EE97B20"/>
    <w:rsid w:val="2F1C72B3"/>
    <w:rsid w:val="2F1F3015"/>
    <w:rsid w:val="2F204FF5"/>
    <w:rsid w:val="2F2B399A"/>
    <w:rsid w:val="2F3949C2"/>
    <w:rsid w:val="2F3F11F4"/>
    <w:rsid w:val="2F45680A"/>
    <w:rsid w:val="2F5C1DA5"/>
    <w:rsid w:val="2F621523"/>
    <w:rsid w:val="2F633134"/>
    <w:rsid w:val="2F6A2714"/>
    <w:rsid w:val="2F6B5AEA"/>
    <w:rsid w:val="2F6C7A55"/>
    <w:rsid w:val="2F6D7FDB"/>
    <w:rsid w:val="2F827A5E"/>
    <w:rsid w:val="2FB60F93"/>
    <w:rsid w:val="2FB971F8"/>
    <w:rsid w:val="2FC31E25"/>
    <w:rsid w:val="2FDE0A0C"/>
    <w:rsid w:val="2FF10740"/>
    <w:rsid w:val="301B756B"/>
    <w:rsid w:val="3021231F"/>
    <w:rsid w:val="30313232"/>
    <w:rsid w:val="303845C1"/>
    <w:rsid w:val="303C2E9C"/>
    <w:rsid w:val="30501C4D"/>
    <w:rsid w:val="305A4537"/>
    <w:rsid w:val="3062163D"/>
    <w:rsid w:val="30656A38"/>
    <w:rsid w:val="30907F59"/>
    <w:rsid w:val="309A2FCC"/>
    <w:rsid w:val="30BF5504"/>
    <w:rsid w:val="30E67B79"/>
    <w:rsid w:val="30EB1466"/>
    <w:rsid w:val="30F71D86"/>
    <w:rsid w:val="30F80A0D"/>
    <w:rsid w:val="310D3357"/>
    <w:rsid w:val="311E1962"/>
    <w:rsid w:val="312132A7"/>
    <w:rsid w:val="313A6116"/>
    <w:rsid w:val="313E79B5"/>
    <w:rsid w:val="314C75BB"/>
    <w:rsid w:val="317653A0"/>
    <w:rsid w:val="317C3B9F"/>
    <w:rsid w:val="318F1D42"/>
    <w:rsid w:val="31916A3A"/>
    <w:rsid w:val="31932A25"/>
    <w:rsid w:val="319C292D"/>
    <w:rsid w:val="31A517E2"/>
    <w:rsid w:val="31AA329C"/>
    <w:rsid w:val="31AF2660"/>
    <w:rsid w:val="31B23EFF"/>
    <w:rsid w:val="31B859B9"/>
    <w:rsid w:val="31C22F3E"/>
    <w:rsid w:val="31D420C7"/>
    <w:rsid w:val="31DE6AA2"/>
    <w:rsid w:val="31E06CBE"/>
    <w:rsid w:val="31ED3189"/>
    <w:rsid w:val="31F12C79"/>
    <w:rsid w:val="31F43D52"/>
    <w:rsid w:val="31F443CB"/>
    <w:rsid w:val="32047F9D"/>
    <w:rsid w:val="320F30FF"/>
    <w:rsid w:val="320F75A3"/>
    <w:rsid w:val="32186458"/>
    <w:rsid w:val="32285F6F"/>
    <w:rsid w:val="325508C9"/>
    <w:rsid w:val="32621481"/>
    <w:rsid w:val="326C2300"/>
    <w:rsid w:val="32777762"/>
    <w:rsid w:val="32784DC3"/>
    <w:rsid w:val="327D62BB"/>
    <w:rsid w:val="32851613"/>
    <w:rsid w:val="328533C1"/>
    <w:rsid w:val="328E7DEA"/>
    <w:rsid w:val="32943604"/>
    <w:rsid w:val="32963820"/>
    <w:rsid w:val="32B819E9"/>
    <w:rsid w:val="32BF657F"/>
    <w:rsid w:val="32C65EB4"/>
    <w:rsid w:val="32D007AA"/>
    <w:rsid w:val="32F10A57"/>
    <w:rsid w:val="32F32A21"/>
    <w:rsid w:val="33182487"/>
    <w:rsid w:val="334535E8"/>
    <w:rsid w:val="334705B2"/>
    <w:rsid w:val="33503314"/>
    <w:rsid w:val="33627F5C"/>
    <w:rsid w:val="33745910"/>
    <w:rsid w:val="33D11A5A"/>
    <w:rsid w:val="33E52369"/>
    <w:rsid w:val="33F151B2"/>
    <w:rsid w:val="34117602"/>
    <w:rsid w:val="342306AD"/>
    <w:rsid w:val="342968E5"/>
    <w:rsid w:val="343706EB"/>
    <w:rsid w:val="343E5F1E"/>
    <w:rsid w:val="34607C42"/>
    <w:rsid w:val="34732BA2"/>
    <w:rsid w:val="347A065D"/>
    <w:rsid w:val="348957C0"/>
    <w:rsid w:val="3491429F"/>
    <w:rsid w:val="3495618F"/>
    <w:rsid w:val="34963664"/>
    <w:rsid w:val="34A75871"/>
    <w:rsid w:val="34B00BC9"/>
    <w:rsid w:val="34B34216"/>
    <w:rsid w:val="34BB131C"/>
    <w:rsid w:val="34C937B3"/>
    <w:rsid w:val="34E31A24"/>
    <w:rsid w:val="34EB1FE1"/>
    <w:rsid w:val="34EB2755"/>
    <w:rsid w:val="34EE524E"/>
    <w:rsid w:val="34F62354"/>
    <w:rsid w:val="34FA7A45"/>
    <w:rsid w:val="35081E68"/>
    <w:rsid w:val="35127DF3"/>
    <w:rsid w:val="352933BC"/>
    <w:rsid w:val="35311149"/>
    <w:rsid w:val="35366BDD"/>
    <w:rsid w:val="353E4930"/>
    <w:rsid w:val="359758E5"/>
    <w:rsid w:val="359E6C74"/>
    <w:rsid w:val="35BE10C4"/>
    <w:rsid w:val="35D02246"/>
    <w:rsid w:val="35D10786"/>
    <w:rsid w:val="35D27439"/>
    <w:rsid w:val="35E0728C"/>
    <w:rsid w:val="35E84393"/>
    <w:rsid w:val="360F1920"/>
    <w:rsid w:val="361C228F"/>
    <w:rsid w:val="36246FC4"/>
    <w:rsid w:val="36310CA3"/>
    <w:rsid w:val="364D41F6"/>
    <w:rsid w:val="36511F38"/>
    <w:rsid w:val="365E6403"/>
    <w:rsid w:val="366C4FC4"/>
    <w:rsid w:val="36783969"/>
    <w:rsid w:val="368A544A"/>
    <w:rsid w:val="36AA5AEC"/>
    <w:rsid w:val="36BD137C"/>
    <w:rsid w:val="36C646FA"/>
    <w:rsid w:val="36E6490D"/>
    <w:rsid w:val="36E717E3"/>
    <w:rsid w:val="36EF52AD"/>
    <w:rsid w:val="36F143CA"/>
    <w:rsid w:val="3704407A"/>
    <w:rsid w:val="370945C1"/>
    <w:rsid w:val="371504C8"/>
    <w:rsid w:val="372B33F7"/>
    <w:rsid w:val="372C6501"/>
    <w:rsid w:val="37337890"/>
    <w:rsid w:val="373830F8"/>
    <w:rsid w:val="3751494E"/>
    <w:rsid w:val="376712E7"/>
    <w:rsid w:val="376E2676"/>
    <w:rsid w:val="37A80F1E"/>
    <w:rsid w:val="37B81B43"/>
    <w:rsid w:val="37C329C2"/>
    <w:rsid w:val="37CA60FE"/>
    <w:rsid w:val="37CE559C"/>
    <w:rsid w:val="37DF61F5"/>
    <w:rsid w:val="380134EA"/>
    <w:rsid w:val="38262F51"/>
    <w:rsid w:val="382F0057"/>
    <w:rsid w:val="383026B2"/>
    <w:rsid w:val="38312021"/>
    <w:rsid w:val="38341B11"/>
    <w:rsid w:val="38447A9B"/>
    <w:rsid w:val="38476878"/>
    <w:rsid w:val="384F06F9"/>
    <w:rsid w:val="3862667F"/>
    <w:rsid w:val="3885236D"/>
    <w:rsid w:val="38A65E3F"/>
    <w:rsid w:val="38C22C79"/>
    <w:rsid w:val="38C369F1"/>
    <w:rsid w:val="38C83769"/>
    <w:rsid w:val="38DA604A"/>
    <w:rsid w:val="38F8669B"/>
    <w:rsid w:val="39026556"/>
    <w:rsid w:val="39074B30"/>
    <w:rsid w:val="39447B32"/>
    <w:rsid w:val="394D08DF"/>
    <w:rsid w:val="39513FFD"/>
    <w:rsid w:val="395835DE"/>
    <w:rsid w:val="395D0BF4"/>
    <w:rsid w:val="396C060C"/>
    <w:rsid w:val="39785A2E"/>
    <w:rsid w:val="39900FC9"/>
    <w:rsid w:val="399833FA"/>
    <w:rsid w:val="39CF4948"/>
    <w:rsid w:val="3A016DB5"/>
    <w:rsid w:val="3A103EB8"/>
    <w:rsid w:val="3A155D47"/>
    <w:rsid w:val="3A217DF2"/>
    <w:rsid w:val="3A2F14BF"/>
    <w:rsid w:val="3A361B71"/>
    <w:rsid w:val="3A3E27D3"/>
    <w:rsid w:val="3A3F654C"/>
    <w:rsid w:val="3A4A1178"/>
    <w:rsid w:val="3A4D2A17"/>
    <w:rsid w:val="3A811C9B"/>
    <w:rsid w:val="3A8328DC"/>
    <w:rsid w:val="3A8B1791"/>
    <w:rsid w:val="3A96260F"/>
    <w:rsid w:val="3A9643BE"/>
    <w:rsid w:val="3AA50AA5"/>
    <w:rsid w:val="3ABB02C8"/>
    <w:rsid w:val="3AE72E6B"/>
    <w:rsid w:val="3AEE244B"/>
    <w:rsid w:val="3AF45588"/>
    <w:rsid w:val="3B111C96"/>
    <w:rsid w:val="3B11613A"/>
    <w:rsid w:val="3B283ACB"/>
    <w:rsid w:val="3B2D06E4"/>
    <w:rsid w:val="3B366B34"/>
    <w:rsid w:val="3B3B6D13"/>
    <w:rsid w:val="3B4149DB"/>
    <w:rsid w:val="3B455DE4"/>
    <w:rsid w:val="3B6444BC"/>
    <w:rsid w:val="3B7F4E52"/>
    <w:rsid w:val="3B81506E"/>
    <w:rsid w:val="3B8E00C3"/>
    <w:rsid w:val="3BA7084C"/>
    <w:rsid w:val="3BAF2C8C"/>
    <w:rsid w:val="3BCB453B"/>
    <w:rsid w:val="3BCD02B3"/>
    <w:rsid w:val="3BD17677"/>
    <w:rsid w:val="3BD641DA"/>
    <w:rsid w:val="3BDA080F"/>
    <w:rsid w:val="3BFC64A2"/>
    <w:rsid w:val="3BFF5F92"/>
    <w:rsid w:val="3C236105"/>
    <w:rsid w:val="3C2459F9"/>
    <w:rsid w:val="3C2B4FD9"/>
    <w:rsid w:val="3C325F0B"/>
    <w:rsid w:val="3C3E268D"/>
    <w:rsid w:val="3C544530"/>
    <w:rsid w:val="3C544875"/>
    <w:rsid w:val="3C6127A9"/>
    <w:rsid w:val="3C6A3835"/>
    <w:rsid w:val="3C7E115E"/>
    <w:rsid w:val="3C963F93"/>
    <w:rsid w:val="3CAA0A65"/>
    <w:rsid w:val="3CC35212"/>
    <w:rsid w:val="3CE00DEC"/>
    <w:rsid w:val="3CFB0E50"/>
    <w:rsid w:val="3CFB1C54"/>
    <w:rsid w:val="3CFD1EB5"/>
    <w:rsid w:val="3D3954D4"/>
    <w:rsid w:val="3D4D374C"/>
    <w:rsid w:val="3D5705CF"/>
    <w:rsid w:val="3D5D11C3"/>
    <w:rsid w:val="3D7D7AB7"/>
    <w:rsid w:val="3D850719"/>
    <w:rsid w:val="3DD35929"/>
    <w:rsid w:val="3DDF2E47"/>
    <w:rsid w:val="3DE03BA2"/>
    <w:rsid w:val="3E060C40"/>
    <w:rsid w:val="3E32264F"/>
    <w:rsid w:val="3E410AE4"/>
    <w:rsid w:val="3E432AAE"/>
    <w:rsid w:val="3E5D1F87"/>
    <w:rsid w:val="3E602B0F"/>
    <w:rsid w:val="3E674787"/>
    <w:rsid w:val="3E8310FD"/>
    <w:rsid w:val="3EDF3E59"/>
    <w:rsid w:val="3EE057E6"/>
    <w:rsid w:val="3EE85404"/>
    <w:rsid w:val="3EFF7A21"/>
    <w:rsid w:val="3F19380F"/>
    <w:rsid w:val="3F1E7077"/>
    <w:rsid w:val="3F255D10"/>
    <w:rsid w:val="3F282EC4"/>
    <w:rsid w:val="3F391125"/>
    <w:rsid w:val="3F482F4E"/>
    <w:rsid w:val="3F61717C"/>
    <w:rsid w:val="3F7E18C4"/>
    <w:rsid w:val="3F7FB082"/>
    <w:rsid w:val="3F85325E"/>
    <w:rsid w:val="3F9503E1"/>
    <w:rsid w:val="3F95226A"/>
    <w:rsid w:val="3F9D1D4A"/>
    <w:rsid w:val="3F9E4390"/>
    <w:rsid w:val="3FB928FC"/>
    <w:rsid w:val="3FCF3ECE"/>
    <w:rsid w:val="3FD140EA"/>
    <w:rsid w:val="3FDC0668"/>
    <w:rsid w:val="3FF57DD8"/>
    <w:rsid w:val="3FF77EED"/>
    <w:rsid w:val="401A783F"/>
    <w:rsid w:val="402A3CA8"/>
    <w:rsid w:val="40303710"/>
    <w:rsid w:val="40363F4D"/>
    <w:rsid w:val="403E2FEC"/>
    <w:rsid w:val="404F3FD5"/>
    <w:rsid w:val="406B3DDC"/>
    <w:rsid w:val="407A208B"/>
    <w:rsid w:val="407D0E36"/>
    <w:rsid w:val="40880B53"/>
    <w:rsid w:val="409C0254"/>
    <w:rsid w:val="40A10D90"/>
    <w:rsid w:val="40A315E2"/>
    <w:rsid w:val="40B57568"/>
    <w:rsid w:val="40B97058"/>
    <w:rsid w:val="40E47ED6"/>
    <w:rsid w:val="40F2256A"/>
    <w:rsid w:val="40FF230D"/>
    <w:rsid w:val="41032081"/>
    <w:rsid w:val="410A340F"/>
    <w:rsid w:val="411029F0"/>
    <w:rsid w:val="41120516"/>
    <w:rsid w:val="41210759"/>
    <w:rsid w:val="412169AB"/>
    <w:rsid w:val="412D70FE"/>
    <w:rsid w:val="412F731A"/>
    <w:rsid w:val="41330FCF"/>
    <w:rsid w:val="41415E2F"/>
    <w:rsid w:val="41452699"/>
    <w:rsid w:val="414E4161"/>
    <w:rsid w:val="415006B7"/>
    <w:rsid w:val="41597EF3"/>
    <w:rsid w:val="41744D2D"/>
    <w:rsid w:val="417B60BB"/>
    <w:rsid w:val="4183522A"/>
    <w:rsid w:val="4185270A"/>
    <w:rsid w:val="418A27A2"/>
    <w:rsid w:val="418E2292"/>
    <w:rsid w:val="419D52B7"/>
    <w:rsid w:val="41B94E35"/>
    <w:rsid w:val="41BD4926"/>
    <w:rsid w:val="41BD66D4"/>
    <w:rsid w:val="41CB6793"/>
    <w:rsid w:val="41EA4FEF"/>
    <w:rsid w:val="42125AB0"/>
    <w:rsid w:val="42154762"/>
    <w:rsid w:val="4233229F"/>
    <w:rsid w:val="423F17DF"/>
    <w:rsid w:val="42426BD9"/>
    <w:rsid w:val="424E557E"/>
    <w:rsid w:val="4253296F"/>
    <w:rsid w:val="42576B28"/>
    <w:rsid w:val="425A03C6"/>
    <w:rsid w:val="426E3E72"/>
    <w:rsid w:val="427C033D"/>
    <w:rsid w:val="429C09DF"/>
    <w:rsid w:val="42AD752A"/>
    <w:rsid w:val="42B86E9B"/>
    <w:rsid w:val="42BD407C"/>
    <w:rsid w:val="42C65A5C"/>
    <w:rsid w:val="42DC5CC8"/>
    <w:rsid w:val="42DC702D"/>
    <w:rsid w:val="42DE2DA6"/>
    <w:rsid w:val="42E934F8"/>
    <w:rsid w:val="42FE533E"/>
    <w:rsid w:val="43122A4F"/>
    <w:rsid w:val="431247FD"/>
    <w:rsid w:val="43192030"/>
    <w:rsid w:val="43210C07"/>
    <w:rsid w:val="43326C4D"/>
    <w:rsid w:val="43346E69"/>
    <w:rsid w:val="43544E16"/>
    <w:rsid w:val="4360359D"/>
    <w:rsid w:val="43827BD5"/>
    <w:rsid w:val="438837D9"/>
    <w:rsid w:val="438A0837"/>
    <w:rsid w:val="438C45B0"/>
    <w:rsid w:val="43917E18"/>
    <w:rsid w:val="43AC2EA4"/>
    <w:rsid w:val="43C5238F"/>
    <w:rsid w:val="43C65736"/>
    <w:rsid w:val="43CD4BC8"/>
    <w:rsid w:val="43D47D05"/>
    <w:rsid w:val="43D92BEF"/>
    <w:rsid w:val="43EB0C2A"/>
    <w:rsid w:val="4407792B"/>
    <w:rsid w:val="44185E43"/>
    <w:rsid w:val="4420119C"/>
    <w:rsid w:val="444529B0"/>
    <w:rsid w:val="44501A81"/>
    <w:rsid w:val="4451147D"/>
    <w:rsid w:val="44636A4E"/>
    <w:rsid w:val="4464552C"/>
    <w:rsid w:val="44722751"/>
    <w:rsid w:val="4475773A"/>
    <w:rsid w:val="447C0AC8"/>
    <w:rsid w:val="44977F05"/>
    <w:rsid w:val="44A64897"/>
    <w:rsid w:val="44AC2A30"/>
    <w:rsid w:val="44C24FB4"/>
    <w:rsid w:val="44CD5077"/>
    <w:rsid w:val="44E16B7D"/>
    <w:rsid w:val="44E64193"/>
    <w:rsid w:val="44E87F0C"/>
    <w:rsid w:val="44EB3558"/>
    <w:rsid w:val="450B2031"/>
    <w:rsid w:val="451F1453"/>
    <w:rsid w:val="45246A6A"/>
    <w:rsid w:val="45280539"/>
    <w:rsid w:val="452C6BC0"/>
    <w:rsid w:val="45364C8F"/>
    <w:rsid w:val="453809C7"/>
    <w:rsid w:val="453E0AA9"/>
    <w:rsid w:val="45684BA8"/>
    <w:rsid w:val="456C42B5"/>
    <w:rsid w:val="458F4349"/>
    <w:rsid w:val="4597627D"/>
    <w:rsid w:val="45A100BA"/>
    <w:rsid w:val="45AB2CE7"/>
    <w:rsid w:val="45B20519"/>
    <w:rsid w:val="45B47DEE"/>
    <w:rsid w:val="45B778DE"/>
    <w:rsid w:val="45C049E4"/>
    <w:rsid w:val="45C344D5"/>
    <w:rsid w:val="45E649C1"/>
    <w:rsid w:val="45FE2B09"/>
    <w:rsid w:val="461940F5"/>
    <w:rsid w:val="46250929"/>
    <w:rsid w:val="46256F3D"/>
    <w:rsid w:val="46365271"/>
    <w:rsid w:val="463E3B5B"/>
    <w:rsid w:val="46487824"/>
    <w:rsid w:val="466C06C8"/>
    <w:rsid w:val="46712183"/>
    <w:rsid w:val="467B6B5D"/>
    <w:rsid w:val="4689127A"/>
    <w:rsid w:val="46A76B23"/>
    <w:rsid w:val="46B362F7"/>
    <w:rsid w:val="46EA77D2"/>
    <w:rsid w:val="46FC25A6"/>
    <w:rsid w:val="47095F17"/>
    <w:rsid w:val="470A192F"/>
    <w:rsid w:val="471E5E67"/>
    <w:rsid w:val="47347438"/>
    <w:rsid w:val="473E1472"/>
    <w:rsid w:val="47503B46"/>
    <w:rsid w:val="47573126"/>
    <w:rsid w:val="47665118"/>
    <w:rsid w:val="478B4B7E"/>
    <w:rsid w:val="478E5BF3"/>
    <w:rsid w:val="479559FD"/>
    <w:rsid w:val="47AB0809"/>
    <w:rsid w:val="47C022EA"/>
    <w:rsid w:val="47C63154"/>
    <w:rsid w:val="47CB141F"/>
    <w:rsid w:val="47DD11F5"/>
    <w:rsid w:val="47E10C42"/>
    <w:rsid w:val="47EF04AA"/>
    <w:rsid w:val="4800317F"/>
    <w:rsid w:val="4800556C"/>
    <w:rsid w:val="480321E6"/>
    <w:rsid w:val="48180B08"/>
    <w:rsid w:val="4823125B"/>
    <w:rsid w:val="4839282C"/>
    <w:rsid w:val="485E2293"/>
    <w:rsid w:val="485F5788"/>
    <w:rsid w:val="487B1097"/>
    <w:rsid w:val="48802209"/>
    <w:rsid w:val="488A12DA"/>
    <w:rsid w:val="489A151D"/>
    <w:rsid w:val="489B34E7"/>
    <w:rsid w:val="48A837B8"/>
    <w:rsid w:val="48BC5937"/>
    <w:rsid w:val="48CF2828"/>
    <w:rsid w:val="48E1372A"/>
    <w:rsid w:val="48EE3617"/>
    <w:rsid w:val="48EE7ABB"/>
    <w:rsid w:val="48F814B6"/>
    <w:rsid w:val="49044BE8"/>
    <w:rsid w:val="490746D8"/>
    <w:rsid w:val="49105C83"/>
    <w:rsid w:val="49184C88"/>
    <w:rsid w:val="49214B3A"/>
    <w:rsid w:val="492D2391"/>
    <w:rsid w:val="49470F79"/>
    <w:rsid w:val="495F62C2"/>
    <w:rsid w:val="49695393"/>
    <w:rsid w:val="496A2251"/>
    <w:rsid w:val="497F0713"/>
    <w:rsid w:val="49976853"/>
    <w:rsid w:val="499917D4"/>
    <w:rsid w:val="499F0DB5"/>
    <w:rsid w:val="499F5761"/>
    <w:rsid w:val="49AD1724"/>
    <w:rsid w:val="49C425C9"/>
    <w:rsid w:val="49C600F0"/>
    <w:rsid w:val="49DE18DD"/>
    <w:rsid w:val="49E35145"/>
    <w:rsid w:val="49EA0282"/>
    <w:rsid w:val="49EC3FFA"/>
    <w:rsid w:val="49F20EE5"/>
    <w:rsid w:val="49FC7FB5"/>
    <w:rsid w:val="49FE5ADB"/>
    <w:rsid w:val="4A534079"/>
    <w:rsid w:val="4A5751EC"/>
    <w:rsid w:val="4A955225"/>
    <w:rsid w:val="4A9E2E1A"/>
    <w:rsid w:val="4ABA5EA6"/>
    <w:rsid w:val="4ACA00A8"/>
    <w:rsid w:val="4AEA40A1"/>
    <w:rsid w:val="4AFA44F5"/>
    <w:rsid w:val="4B0709C0"/>
    <w:rsid w:val="4B074A45"/>
    <w:rsid w:val="4B3C4B0D"/>
    <w:rsid w:val="4B510D65"/>
    <w:rsid w:val="4B6978CC"/>
    <w:rsid w:val="4B8D7117"/>
    <w:rsid w:val="4B9E1324"/>
    <w:rsid w:val="4B9F28EF"/>
    <w:rsid w:val="4BA804EE"/>
    <w:rsid w:val="4BAD5A0B"/>
    <w:rsid w:val="4BB87F0C"/>
    <w:rsid w:val="4BCA478D"/>
    <w:rsid w:val="4BCD4DA7"/>
    <w:rsid w:val="4BD72A88"/>
    <w:rsid w:val="4C003D8D"/>
    <w:rsid w:val="4C2D65B7"/>
    <w:rsid w:val="4C453E95"/>
    <w:rsid w:val="4C513C42"/>
    <w:rsid w:val="4C784837"/>
    <w:rsid w:val="4C8C5620"/>
    <w:rsid w:val="4CB352E6"/>
    <w:rsid w:val="4CB71850"/>
    <w:rsid w:val="4CBE1552"/>
    <w:rsid w:val="4CF50C0C"/>
    <w:rsid w:val="4D072EF9"/>
    <w:rsid w:val="4D147DE0"/>
    <w:rsid w:val="4D1723B2"/>
    <w:rsid w:val="4D181B86"/>
    <w:rsid w:val="4D241CFD"/>
    <w:rsid w:val="4D267823"/>
    <w:rsid w:val="4D297313"/>
    <w:rsid w:val="4D2F5E5D"/>
    <w:rsid w:val="4D333CEE"/>
    <w:rsid w:val="4D415BF1"/>
    <w:rsid w:val="4D447CA9"/>
    <w:rsid w:val="4D587BF8"/>
    <w:rsid w:val="4D605095"/>
    <w:rsid w:val="4D812CAB"/>
    <w:rsid w:val="4D834C75"/>
    <w:rsid w:val="4D896004"/>
    <w:rsid w:val="4D897DB2"/>
    <w:rsid w:val="4D924EB8"/>
    <w:rsid w:val="4D9F51AE"/>
    <w:rsid w:val="4DA1334D"/>
    <w:rsid w:val="4DC82688"/>
    <w:rsid w:val="4DCB03CA"/>
    <w:rsid w:val="4DD3102D"/>
    <w:rsid w:val="4DDF3E76"/>
    <w:rsid w:val="4DF36049"/>
    <w:rsid w:val="4E0833CC"/>
    <w:rsid w:val="4E0B6A19"/>
    <w:rsid w:val="4E240F03"/>
    <w:rsid w:val="4E2633B6"/>
    <w:rsid w:val="4E2B0E69"/>
    <w:rsid w:val="4E2D4BE1"/>
    <w:rsid w:val="4E437F61"/>
    <w:rsid w:val="4E4B32B9"/>
    <w:rsid w:val="4E4E0319"/>
    <w:rsid w:val="4E51409D"/>
    <w:rsid w:val="4E6D3230"/>
    <w:rsid w:val="4E810A89"/>
    <w:rsid w:val="4E8F31A6"/>
    <w:rsid w:val="4E9702AC"/>
    <w:rsid w:val="4E9764FE"/>
    <w:rsid w:val="4E9B0304"/>
    <w:rsid w:val="4ED80FF1"/>
    <w:rsid w:val="4EFB083B"/>
    <w:rsid w:val="4EFE55EB"/>
    <w:rsid w:val="4F05790C"/>
    <w:rsid w:val="4F082F58"/>
    <w:rsid w:val="4F194B09"/>
    <w:rsid w:val="4F4B3C05"/>
    <w:rsid w:val="4F4C0136"/>
    <w:rsid w:val="4F9D5D96"/>
    <w:rsid w:val="4FB07878"/>
    <w:rsid w:val="4FB629B4"/>
    <w:rsid w:val="4FBD1F95"/>
    <w:rsid w:val="4FC81DBA"/>
    <w:rsid w:val="4FCB2904"/>
    <w:rsid w:val="4FD72978"/>
    <w:rsid w:val="4FDE2637"/>
    <w:rsid w:val="4FE87012"/>
    <w:rsid w:val="4FF0236A"/>
    <w:rsid w:val="50055358"/>
    <w:rsid w:val="50153772"/>
    <w:rsid w:val="501F49FD"/>
    <w:rsid w:val="50250266"/>
    <w:rsid w:val="502913D8"/>
    <w:rsid w:val="5037599B"/>
    <w:rsid w:val="504601DC"/>
    <w:rsid w:val="50642410"/>
    <w:rsid w:val="506643DA"/>
    <w:rsid w:val="50962F12"/>
    <w:rsid w:val="50A218B6"/>
    <w:rsid w:val="50AC0FE9"/>
    <w:rsid w:val="50B602D7"/>
    <w:rsid w:val="50BB6929"/>
    <w:rsid w:val="50CC06E1"/>
    <w:rsid w:val="50CC6933"/>
    <w:rsid w:val="50D91050"/>
    <w:rsid w:val="50DB6B76"/>
    <w:rsid w:val="50E4128C"/>
    <w:rsid w:val="50EC0D83"/>
    <w:rsid w:val="510478A5"/>
    <w:rsid w:val="51084011"/>
    <w:rsid w:val="51286E64"/>
    <w:rsid w:val="51422751"/>
    <w:rsid w:val="51534A93"/>
    <w:rsid w:val="515661FD"/>
    <w:rsid w:val="517A32CC"/>
    <w:rsid w:val="51AB6549"/>
    <w:rsid w:val="51AC22C1"/>
    <w:rsid w:val="51B51175"/>
    <w:rsid w:val="51B655ED"/>
    <w:rsid w:val="51BC69A8"/>
    <w:rsid w:val="51C45B1E"/>
    <w:rsid w:val="51DD027E"/>
    <w:rsid w:val="51FF4AE6"/>
    <w:rsid w:val="5202766A"/>
    <w:rsid w:val="52075749"/>
    <w:rsid w:val="52086E88"/>
    <w:rsid w:val="520914C1"/>
    <w:rsid w:val="522D51B0"/>
    <w:rsid w:val="52385255"/>
    <w:rsid w:val="5245699D"/>
    <w:rsid w:val="524D39E7"/>
    <w:rsid w:val="52655EED"/>
    <w:rsid w:val="526A01B2"/>
    <w:rsid w:val="52720E14"/>
    <w:rsid w:val="52B4142D"/>
    <w:rsid w:val="52B551A5"/>
    <w:rsid w:val="52B92F75"/>
    <w:rsid w:val="52C03D1F"/>
    <w:rsid w:val="52C665A9"/>
    <w:rsid w:val="530B778E"/>
    <w:rsid w:val="5310069C"/>
    <w:rsid w:val="53162A7A"/>
    <w:rsid w:val="531B422E"/>
    <w:rsid w:val="53234805"/>
    <w:rsid w:val="533802B0"/>
    <w:rsid w:val="533876CC"/>
    <w:rsid w:val="53514ECE"/>
    <w:rsid w:val="5371731E"/>
    <w:rsid w:val="53774CFF"/>
    <w:rsid w:val="537D2167"/>
    <w:rsid w:val="53890B0C"/>
    <w:rsid w:val="538B66CB"/>
    <w:rsid w:val="538F3E27"/>
    <w:rsid w:val="53933738"/>
    <w:rsid w:val="53C55770"/>
    <w:rsid w:val="53CA286E"/>
    <w:rsid w:val="53D37CCA"/>
    <w:rsid w:val="53D53D51"/>
    <w:rsid w:val="53EB7839"/>
    <w:rsid w:val="53F561A1"/>
    <w:rsid w:val="53FC12DE"/>
    <w:rsid w:val="540208BE"/>
    <w:rsid w:val="540A58B9"/>
    <w:rsid w:val="541327B7"/>
    <w:rsid w:val="542720D3"/>
    <w:rsid w:val="54295E4B"/>
    <w:rsid w:val="542E3461"/>
    <w:rsid w:val="543208FA"/>
    <w:rsid w:val="544762D1"/>
    <w:rsid w:val="545E1D6F"/>
    <w:rsid w:val="546D3F89"/>
    <w:rsid w:val="5479292E"/>
    <w:rsid w:val="54B41BB8"/>
    <w:rsid w:val="54B576DE"/>
    <w:rsid w:val="54BB2F47"/>
    <w:rsid w:val="54C31F15"/>
    <w:rsid w:val="54CF254E"/>
    <w:rsid w:val="54E56216"/>
    <w:rsid w:val="55106DE7"/>
    <w:rsid w:val="55110DB9"/>
    <w:rsid w:val="55267342"/>
    <w:rsid w:val="55326D32"/>
    <w:rsid w:val="55487179"/>
    <w:rsid w:val="554B5B7F"/>
    <w:rsid w:val="55517E5D"/>
    <w:rsid w:val="55521C9E"/>
    <w:rsid w:val="5560589C"/>
    <w:rsid w:val="55852E44"/>
    <w:rsid w:val="558C48E3"/>
    <w:rsid w:val="559F34E6"/>
    <w:rsid w:val="55AA4D69"/>
    <w:rsid w:val="55B61960"/>
    <w:rsid w:val="55C51BA3"/>
    <w:rsid w:val="55D22371"/>
    <w:rsid w:val="55D40D5D"/>
    <w:rsid w:val="55DD0C9B"/>
    <w:rsid w:val="55EB5A20"/>
    <w:rsid w:val="5612303A"/>
    <w:rsid w:val="56215B75"/>
    <w:rsid w:val="56290384"/>
    <w:rsid w:val="567E622C"/>
    <w:rsid w:val="568A5F56"/>
    <w:rsid w:val="569D042A"/>
    <w:rsid w:val="56A143BE"/>
    <w:rsid w:val="56AB2B47"/>
    <w:rsid w:val="56AC76D0"/>
    <w:rsid w:val="56BC2A77"/>
    <w:rsid w:val="56C5189F"/>
    <w:rsid w:val="56E84CA2"/>
    <w:rsid w:val="56E9213D"/>
    <w:rsid w:val="5728063B"/>
    <w:rsid w:val="572A43B4"/>
    <w:rsid w:val="573967DC"/>
    <w:rsid w:val="575D6537"/>
    <w:rsid w:val="575E22AF"/>
    <w:rsid w:val="575F4A5D"/>
    <w:rsid w:val="57633422"/>
    <w:rsid w:val="576F0018"/>
    <w:rsid w:val="578320CF"/>
    <w:rsid w:val="57835872"/>
    <w:rsid w:val="57A04566"/>
    <w:rsid w:val="57BB14B0"/>
    <w:rsid w:val="57BD10A8"/>
    <w:rsid w:val="57C84CD3"/>
    <w:rsid w:val="57CA16F3"/>
    <w:rsid w:val="57E9601D"/>
    <w:rsid w:val="57FB5D50"/>
    <w:rsid w:val="580F01B2"/>
    <w:rsid w:val="5821117D"/>
    <w:rsid w:val="583555B0"/>
    <w:rsid w:val="58373836"/>
    <w:rsid w:val="583D4424"/>
    <w:rsid w:val="58433FDB"/>
    <w:rsid w:val="584F6B7D"/>
    <w:rsid w:val="585216B5"/>
    <w:rsid w:val="585B0D05"/>
    <w:rsid w:val="58694A68"/>
    <w:rsid w:val="586A1866"/>
    <w:rsid w:val="5875165E"/>
    <w:rsid w:val="58857640"/>
    <w:rsid w:val="589046EA"/>
    <w:rsid w:val="58970D9C"/>
    <w:rsid w:val="589B7E1A"/>
    <w:rsid w:val="58BC50A4"/>
    <w:rsid w:val="58CE6FC1"/>
    <w:rsid w:val="58D72319"/>
    <w:rsid w:val="58DC16DE"/>
    <w:rsid w:val="58E97CE8"/>
    <w:rsid w:val="58F033DB"/>
    <w:rsid w:val="59026A33"/>
    <w:rsid w:val="59097FF9"/>
    <w:rsid w:val="59125193"/>
    <w:rsid w:val="592461CF"/>
    <w:rsid w:val="59311130"/>
    <w:rsid w:val="593226CA"/>
    <w:rsid w:val="5934151A"/>
    <w:rsid w:val="59411541"/>
    <w:rsid w:val="59413C36"/>
    <w:rsid w:val="59425272"/>
    <w:rsid w:val="59475BC7"/>
    <w:rsid w:val="594B23BF"/>
    <w:rsid w:val="59512491"/>
    <w:rsid w:val="59545718"/>
    <w:rsid w:val="59554FEC"/>
    <w:rsid w:val="595B6AA6"/>
    <w:rsid w:val="59682F71"/>
    <w:rsid w:val="597520EC"/>
    <w:rsid w:val="598B53E3"/>
    <w:rsid w:val="59902B0E"/>
    <w:rsid w:val="59917A82"/>
    <w:rsid w:val="59AC5554"/>
    <w:rsid w:val="59B461B6"/>
    <w:rsid w:val="59BB5797"/>
    <w:rsid w:val="59CA7E98"/>
    <w:rsid w:val="59F12F67"/>
    <w:rsid w:val="59F564CA"/>
    <w:rsid w:val="59F842F5"/>
    <w:rsid w:val="59FF30AB"/>
    <w:rsid w:val="5A084C52"/>
    <w:rsid w:val="5A0B0A85"/>
    <w:rsid w:val="5A290952"/>
    <w:rsid w:val="5A2C0AD2"/>
    <w:rsid w:val="5A355A42"/>
    <w:rsid w:val="5A4532B2"/>
    <w:rsid w:val="5A6000EC"/>
    <w:rsid w:val="5A803EC5"/>
    <w:rsid w:val="5AB20948"/>
    <w:rsid w:val="5AC05BF0"/>
    <w:rsid w:val="5AC468CD"/>
    <w:rsid w:val="5AD54636"/>
    <w:rsid w:val="5ADD6987"/>
    <w:rsid w:val="5AE825BC"/>
    <w:rsid w:val="5B0D2022"/>
    <w:rsid w:val="5B1E422F"/>
    <w:rsid w:val="5B304AE3"/>
    <w:rsid w:val="5B4A5024"/>
    <w:rsid w:val="5B57504B"/>
    <w:rsid w:val="5B6240BF"/>
    <w:rsid w:val="5BAA161F"/>
    <w:rsid w:val="5BAA5AC3"/>
    <w:rsid w:val="5BAA7871"/>
    <w:rsid w:val="5BB701E0"/>
    <w:rsid w:val="5BB97AB4"/>
    <w:rsid w:val="5BCF0469"/>
    <w:rsid w:val="5BEA2363"/>
    <w:rsid w:val="5BF705DC"/>
    <w:rsid w:val="5BF925A6"/>
    <w:rsid w:val="5BFB631F"/>
    <w:rsid w:val="5C0D7E00"/>
    <w:rsid w:val="5C397A1F"/>
    <w:rsid w:val="5C3C3BB3"/>
    <w:rsid w:val="5C430981"/>
    <w:rsid w:val="5C5D0B60"/>
    <w:rsid w:val="5C8C3340"/>
    <w:rsid w:val="5CA97B29"/>
    <w:rsid w:val="5CB5360A"/>
    <w:rsid w:val="5CBF6DB9"/>
    <w:rsid w:val="5CD31049"/>
    <w:rsid w:val="5CD32DF8"/>
    <w:rsid w:val="5CDF354A"/>
    <w:rsid w:val="5CE86853"/>
    <w:rsid w:val="5CF35248"/>
    <w:rsid w:val="5D201440"/>
    <w:rsid w:val="5D277C85"/>
    <w:rsid w:val="5D331AE8"/>
    <w:rsid w:val="5D487342"/>
    <w:rsid w:val="5D492258"/>
    <w:rsid w:val="5D543F38"/>
    <w:rsid w:val="5D5F6986"/>
    <w:rsid w:val="5D620824"/>
    <w:rsid w:val="5D850596"/>
    <w:rsid w:val="5D8D5B67"/>
    <w:rsid w:val="5D924A61"/>
    <w:rsid w:val="5D9625A2"/>
    <w:rsid w:val="5DA24FF7"/>
    <w:rsid w:val="5DB40418"/>
    <w:rsid w:val="5DD81B16"/>
    <w:rsid w:val="5DDB6408"/>
    <w:rsid w:val="5DEB5F1F"/>
    <w:rsid w:val="5DF23751"/>
    <w:rsid w:val="5E0314BA"/>
    <w:rsid w:val="5E03770C"/>
    <w:rsid w:val="5E0E058B"/>
    <w:rsid w:val="5E0F1C0D"/>
    <w:rsid w:val="5E336E59"/>
    <w:rsid w:val="5E40626B"/>
    <w:rsid w:val="5E4775F9"/>
    <w:rsid w:val="5E4C4C10"/>
    <w:rsid w:val="5E6202E5"/>
    <w:rsid w:val="5E954808"/>
    <w:rsid w:val="5EAC1FB8"/>
    <w:rsid w:val="5EB44B9A"/>
    <w:rsid w:val="5EC86EA1"/>
    <w:rsid w:val="5ECF75EF"/>
    <w:rsid w:val="5ED66053"/>
    <w:rsid w:val="5EDF7832"/>
    <w:rsid w:val="5EEF0DD0"/>
    <w:rsid w:val="5EF325CC"/>
    <w:rsid w:val="5F225ABD"/>
    <w:rsid w:val="5F2E2567"/>
    <w:rsid w:val="5F465B03"/>
    <w:rsid w:val="5F473629"/>
    <w:rsid w:val="5F6C794D"/>
    <w:rsid w:val="5F961BF6"/>
    <w:rsid w:val="5F9E76ED"/>
    <w:rsid w:val="5FB32A6C"/>
    <w:rsid w:val="5FB5096E"/>
    <w:rsid w:val="5FC5111D"/>
    <w:rsid w:val="5FDB26EF"/>
    <w:rsid w:val="5FE07D05"/>
    <w:rsid w:val="60091255"/>
    <w:rsid w:val="60161979"/>
    <w:rsid w:val="602120CC"/>
    <w:rsid w:val="60262BCA"/>
    <w:rsid w:val="60275934"/>
    <w:rsid w:val="6031230F"/>
    <w:rsid w:val="60327E35"/>
    <w:rsid w:val="6051650D"/>
    <w:rsid w:val="605D73EA"/>
    <w:rsid w:val="60636240"/>
    <w:rsid w:val="606935C3"/>
    <w:rsid w:val="60735C83"/>
    <w:rsid w:val="60813CE2"/>
    <w:rsid w:val="6082700E"/>
    <w:rsid w:val="60E2185B"/>
    <w:rsid w:val="60ED3165"/>
    <w:rsid w:val="60FE708C"/>
    <w:rsid w:val="61016185"/>
    <w:rsid w:val="611A2DA3"/>
    <w:rsid w:val="61202383"/>
    <w:rsid w:val="6126799A"/>
    <w:rsid w:val="61630BEE"/>
    <w:rsid w:val="616A46F9"/>
    <w:rsid w:val="616C3850"/>
    <w:rsid w:val="61700C15"/>
    <w:rsid w:val="618446C0"/>
    <w:rsid w:val="61860438"/>
    <w:rsid w:val="6189617B"/>
    <w:rsid w:val="61A22D98"/>
    <w:rsid w:val="61B530E2"/>
    <w:rsid w:val="61C251E9"/>
    <w:rsid w:val="61CD250B"/>
    <w:rsid w:val="61D72388"/>
    <w:rsid w:val="61DB4C28"/>
    <w:rsid w:val="61FF26CC"/>
    <w:rsid w:val="620852F1"/>
    <w:rsid w:val="620D0B5A"/>
    <w:rsid w:val="62347E94"/>
    <w:rsid w:val="623C31ED"/>
    <w:rsid w:val="62552366"/>
    <w:rsid w:val="625978FB"/>
    <w:rsid w:val="6267026A"/>
    <w:rsid w:val="62677DBE"/>
    <w:rsid w:val="62714880"/>
    <w:rsid w:val="6271733B"/>
    <w:rsid w:val="627961EF"/>
    <w:rsid w:val="628249B5"/>
    <w:rsid w:val="628C5F22"/>
    <w:rsid w:val="62922E0D"/>
    <w:rsid w:val="62AF1C11"/>
    <w:rsid w:val="62B64D4D"/>
    <w:rsid w:val="62C21944"/>
    <w:rsid w:val="62F20AC3"/>
    <w:rsid w:val="63147CC6"/>
    <w:rsid w:val="631B2E02"/>
    <w:rsid w:val="635B1A77"/>
    <w:rsid w:val="635C3B47"/>
    <w:rsid w:val="63624ED5"/>
    <w:rsid w:val="637C0CE8"/>
    <w:rsid w:val="639C7534"/>
    <w:rsid w:val="639F57E1"/>
    <w:rsid w:val="63B10704"/>
    <w:rsid w:val="63BA3E13"/>
    <w:rsid w:val="63C139AA"/>
    <w:rsid w:val="63C416EC"/>
    <w:rsid w:val="63E37FC6"/>
    <w:rsid w:val="63F14E78"/>
    <w:rsid w:val="64032214"/>
    <w:rsid w:val="6410048D"/>
    <w:rsid w:val="641E704E"/>
    <w:rsid w:val="642301C1"/>
    <w:rsid w:val="64322AF9"/>
    <w:rsid w:val="644B7717"/>
    <w:rsid w:val="645962D8"/>
    <w:rsid w:val="645C0E1F"/>
    <w:rsid w:val="647A6C66"/>
    <w:rsid w:val="64947310"/>
    <w:rsid w:val="64966BE4"/>
    <w:rsid w:val="649D4651"/>
    <w:rsid w:val="64A83A6C"/>
    <w:rsid w:val="64C5571C"/>
    <w:rsid w:val="64E015BF"/>
    <w:rsid w:val="64E536C8"/>
    <w:rsid w:val="64E9731B"/>
    <w:rsid w:val="64EB11A1"/>
    <w:rsid w:val="64EF2799"/>
    <w:rsid w:val="650B5692"/>
    <w:rsid w:val="650C50F9"/>
    <w:rsid w:val="653308D7"/>
    <w:rsid w:val="653A0FA0"/>
    <w:rsid w:val="6549634D"/>
    <w:rsid w:val="656F7435"/>
    <w:rsid w:val="658E66B6"/>
    <w:rsid w:val="65A05841"/>
    <w:rsid w:val="65A61E51"/>
    <w:rsid w:val="65B25CA0"/>
    <w:rsid w:val="65B71938"/>
    <w:rsid w:val="65BC08CD"/>
    <w:rsid w:val="65C546A4"/>
    <w:rsid w:val="65ED6CD8"/>
    <w:rsid w:val="65F75DA9"/>
    <w:rsid w:val="660706CC"/>
    <w:rsid w:val="664177C9"/>
    <w:rsid w:val="66432D9C"/>
    <w:rsid w:val="66747D26"/>
    <w:rsid w:val="667747F4"/>
    <w:rsid w:val="66AB21C3"/>
    <w:rsid w:val="66B5531C"/>
    <w:rsid w:val="66C258A6"/>
    <w:rsid w:val="66CF63DE"/>
    <w:rsid w:val="66E856F1"/>
    <w:rsid w:val="66EA3218"/>
    <w:rsid w:val="67176CA3"/>
    <w:rsid w:val="672A3F5C"/>
    <w:rsid w:val="676F196F"/>
    <w:rsid w:val="677A0A3F"/>
    <w:rsid w:val="678673E4"/>
    <w:rsid w:val="67967E45"/>
    <w:rsid w:val="679F070D"/>
    <w:rsid w:val="67C1041C"/>
    <w:rsid w:val="67C34366"/>
    <w:rsid w:val="67C65A33"/>
    <w:rsid w:val="67D23DA8"/>
    <w:rsid w:val="67D5211A"/>
    <w:rsid w:val="67E4410B"/>
    <w:rsid w:val="67E81E4D"/>
    <w:rsid w:val="67E934CF"/>
    <w:rsid w:val="67F04F8A"/>
    <w:rsid w:val="68071BA7"/>
    <w:rsid w:val="681048F1"/>
    <w:rsid w:val="681E3F78"/>
    <w:rsid w:val="681F5143"/>
    <w:rsid w:val="682F7047"/>
    <w:rsid w:val="68364CD7"/>
    <w:rsid w:val="68420E31"/>
    <w:rsid w:val="685F19E3"/>
    <w:rsid w:val="685F7957"/>
    <w:rsid w:val="687F2281"/>
    <w:rsid w:val="68842C1E"/>
    <w:rsid w:val="688D6550"/>
    <w:rsid w:val="68C72254"/>
    <w:rsid w:val="68DA0494"/>
    <w:rsid w:val="68E1064A"/>
    <w:rsid w:val="690A7BA1"/>
    <w:rsid w:val="69180510"/>
    <w:rsid w:val="692844CB"/>
    <w:rsid w:val="692F585A"/>
    <w:rsid w:val="69362744"/>
    <w:rsid w:val="694E2184"/>
    <w:rsid w:val="69502F14"/>
    <w:rsid w:val="69715CFE"/>
    <w:rsid w:val="6974712F"/>
    <w:rsid w:val="699B26CD"/>
    <w:rsid w:val="69A51678"/>
    <w:rsid w:val="69A753F0"/>
    <w:rsid w:val="69BB2B17"/>
    <w:rsid w:val="69EA21D5"/>
    <w:rsid w:val="69F61ED3"/>
    <w:rsid w:val="69FB1963"/>
    <w:rsid w:val="6A1D00CE"/>
    <w:rsid w:val="6A300574"/>
    <w:rsid w:val="6A3B3D8A"/>
    <w:rsid w:val="6A3C022E"/>
    <w:rsid w:val="6A4D41E9"/>
    <w:rsid w:val="6A4E3ABD"/>
    <w:rsid w:val="6A4E61B3"/>
    <w:rsid w:val="6A503CD9"/>
    <w:rsid w:val="6A580B7F"/>
    <w:rsid w:val="6A5E3620"/>
    <w:rsid w:val="6A617017"/>
    <w:rsid w:val="6A6D03E7"/>
    <w:rsid w:val="6A7449B2"/>
    <w:rsid w:val="6A8706F1"/>
    <w:rsid w:val="6A9736B6"/>
    <w:rsid w:val="6AA302AD"/>
    <w:rsid w:val="6AA61B4B"/>
    <w:rsid w:val="6AA67D9D"/>
    <w:rsid w:val="6AA95198"/>
    <w:rsid w:val="6ABF6769"/>
    <w:rsid w:val="6AD12266"/>
    <w:rsid w:val="6AD57716"/>
    <w:rsid w:val="6AD73E3C"/>
    <w:rsid w:val="6AF1726A"/>
    <w:rsid w:val="6AF208ED"/>
    <w:rsid w:val="6B0D1BCA"/>
    <w:rsid w:val="6B120F8F"/>
    <w:rsid w:val="6B122D3D"/>
    <w:rsid w:val="6B1C1E0E"/>
    <w:rsid w:val="6B1E2AD2"/>
    <w:rsid w:val="6B4355EC"/>
    <w:rsid w:val="6B4E646B"/>
    <w:rsid w:val="6B6E5839"/>
    <w:rsid w:val="6B7457A6"/>
    <w:rsid w:val="6B8579B3"/>
    <w:rsid w:val="6B9419A4"/>
    <w:rsid w:val="6BE124BE"/>
    <w:rsid w:val="6BE20961"/>
    <w:rsid w:val="6BE50451"/>
    <w:rsid w:val="6BE8387E"/>
    <w:rsid w:val="6BE96194"/>
    <w:rsid w:val="6C246144"/>
    <w:rsid w:val="6C6D7E09"/>
    <w:rsid w:val="6C7D4B2E"/>
    <w:rsid w:val="6C7E4B30"/>
    <w:rsid w:val="6C8718B8"/>
    <w:rsid w:val="6CA409AC"/>
    <w:rsid w:val="6CA93CD7"/>
    <w:rsid w:val="6CC344F8"/>
    <w:rsid w:val="6CE34991"/>
    <w:rsid w:val="6CE64481"/>
    <w:rsid w:val="6D056FFD"/>
    <w:rsid w:val="6D25144D"/>
    <w:rsid w:val="6D3416A0"/>
    <w:rsid w:val="6D3671B7"/>
    <w:rsid w:val="6D3F05F3"/>
    <w:rsid w:val="6D437B25"/>
    <w:rsid w:val="6D515497"/>
    <w:rsid w:val="6D6C2BD8"/>
    <w:rsid w:val="6D6D4BA2"/>
    <w:rsid w:val="6D7B72BF"/>
    <w:rsid w:val="6DA32372"/>
    <w:rsid w:val="6DAA54AF"/>
    <w:rsid w:val="6DAE1443"/>
    <w:rsid w:val="6E070B53"/>
    <w:rsid w:val="6E274D51"/>
    <w:rsid w:val="6E3A7D92"/>
    <w:rsid w:val="6E3D1FD3"/>
    <w:rsid w:val="6E5427B4"/>
    <w:rsid w:val="6E7855AD"/>
    <w:rsid w:val="6E7A7577"/>
    <w:rsid w:val="6E7F3C61"/>
    <w:rsid w:val="6E9308F4"/>
    <w:rsid w:val="6ED0363B"/>
    <w:rsid w:val="6EEF1D13"/>
    <w:rsid w:val="6EF530A1"/>
    <w:rsid w:val="6EF72381"/>
    <w:rsid w:val="6EF94940"/>
    <w:rsid w:val="6EFA7CC2"/>
    <w:rsid w:val="6F1C23DC"/>
    <w:rsid w:val="6F2B4B68"/>
    <w:rsid w:val="6F3C65DA"/>
    <w:rsid w:val="6F4934AE"/>
    <w:rsid w:val="6F7D3E81"/>
    <w:rsid w:val="6F800BBD"/>
    <w:rsid w:val="6F851954"/>
    <w:rsid w:val="6FA73BA8"/>
    <w:rsid w:val="6FAF4FFE"/>
    <w:rsid w:val="6FB75646"/>
    <w:rsid w:val="6FE27182"/>
    <w:rsid w:val="6FEF5D43"/>
    <w:rsid w:val="6FEF7AF1"/>
    <w:rsid w:val="6FF13869"/>
    <w:rsid w:val="704936A5"/>
    <w:rsid w:val="704C06A7"/>
    <w:rsid w:val="706128E0"/>
    <w:rsid w:val="70651B61"/>
    <w:rsid w:val="706F478E"/>
    <w:rsid w:val="708E10B8"/>
    <w:rsid w:val="708E2E66"/>
    <w:rsid w:val="70C920F0"/>
    <w:rsid w:val="70FC4273"/>
    <w:rsid w:val="71080E6A"/>
    <w:rsid w:val="710A2D64"/>
    <w:rsid w:val="710E3FA6"/>
    <w:rsid w:val="712E4649"/>
    <w:rsid w:val="715069EC"/>
    <w:rsid w:val="7165689A"/>
    <w:rsid w:val="717958C4"/>
    <w:rsid w:val="71851885"/>
    <w:rsid w:val="718B148D"/>
    <w:rsid w:val="71950224"/>
    <w:rsid w:val="71997D14"/>
    <w:rsid w:val="71A32E24"/>
    <w:rsid w:val="71BE6476"/>
    <w:rsid w:val="71EF5B86"/>
    <w:rsid w:val="71F0647E"/>
    <w:rsid w:val="71F5250F"/>
    <w:rsid w:val="71FE401B"/>
    <w:rsid w:val="72035BCD"/>
    <w:rsid w:val="720F3474"/>
    <w:rsid w:val="721970A7"/>
    <w:rsid w:val="72330169"/>
    <w:rsid w:val="7241389E"/>
    <w:rsid w:val="72442376"/>
    <w:rsid w:val="725B1F23"/>
    <w:rsid w:val="72A03324"/>
    <w:rsid w:val="72A0751B"/>
    <w:rsid w:val="72CD44DD"/>
    <w:rsid w:val="72F378F8"/>
    <w:rsid w:val="732950C8"/>
    <w:rsid w:val="732B7092"/>
    <w:rsid w:val="732D3C85"/>
    <w:rsid w:val="73487C44"/>
    <w:rsid w:val="7349727C"/>
    <w:rsid w:val="73516D4E"/>
    <w:rsid w:val="735E1215"/>
    <w:rsid w:val="73620FE6"/>
    <w:rsid w:val="7377413B"/>
    <w:rsid w:val="73942E89"/>
    <w:rsid w:val="73A61C8F"/>
    <w:rsid w:val="73AA26AC"/>
    <w:rsid w:val="73AD1BC2"/>
    <w:rsid w:val="73B47087"/>
    <w:rsid w:val="73B726D3"/>
    <w:rsid w:val="73E831D5"/>
    <w:rsid w:val="73F05BE5"/>
    <w:rsid w:val="73FE47A6"/>
    <w:rsid w:val="74051691"/>
    <w:rsid w:val="74220495"/>
    <w:rsid w:val="742777E0"/>
    <w:rsid w:val="742D5A28"/>
    <w:rsid w:val="743957DE"/>
    <w:rsid w:val="743F3434"/>
    <w:rsid w:val="74493C73"/>
    <w:rsid w:val="747F58E7"/>
    <w:rsid w:val="7495214B"/>
    <w:rsid w:val="7496678D"/>
    <w:rsid w:val="74B93ECA"/>
    <w:rsid w:val="74CC6652"/>
    <w:rsid w:val="74EB1494"/>
    <w:rsid w:val="74F55BA9"/>
    <w:rsid w:val="74F71921"/>
    <w:rsid w:val="74F773E5"/>
    <w:rsid w:val="74FE7FE0"/>
    <w:rsid w:val="750C6A4F"/>
    <w:rsid w:val="751D6EAE"/>
    <w:rsid w:val="75330480"/>
    <w:rsid w:val="755F74C6"/>
    <w:rsid w:val="75A3785E"/>
    <w:rsid w:val="75A62E29"/>
    <w:rsid w:val="75A90D63"/>
    <w:rsid w:val="75B07D22"/>
    <w:rsid w:val="75D25EEA"/>
    <w:rsid w:val="75D73501"/>
    <w:rsid w:val="75DC0B17"/>
    <w:rsid w:val="75DD24BF"/>
    <w:rsid w:val="75E8126A"/>
    <w:rsid w:val="760836BA"/>
    <w:rsid w:val="760D6F22"/>
    <w:rsid w:val="762027B2"/>
    <w:rsid w:val="763B5B08"/>
    <w:rsid w:val="765D196F"/>
    <w:rsid w:val="76634D94"/>
    <w:rsid w:val="768A5F2A"/>
    <w:rsid w:val="768B0D8B"/>
    <w:rsid w:val="768E0063"/>
    <w:rsid w:val="76A74DDD"/>
    <w:rsid w:val="76AF7FDA"/>
    <w:rsid w:val="76B80C3C"/>
    <w:rsid w:val="76D0242A"/>
    <w:rsid w:val="76D417EE"/>
    <w:rsid w:val="76DD4B47"/>
    <w:rsid w:val="76E61C4D"/>
    <w:rsid w:val="76F31C74"/>
    <w:rsid w:val="76FA5D8E"/>
    <w:rsid w:val="77004391"/>
    <w:rsid w:val="770420D4"/>
    <w:rsid w:val="77075720"/>
    <w:rsid w:val="770C2D36"/>
    <w:rsid w:val="771953B8"/>
    <w:rsid w:val="771F2A69"/>
    <w:rsid w:val="77336515"/>
    <w:rsid w:val="7763043E"/>
    <w:rsid w:val="77901BB9"/>
    <w:rsid w:val="779B2CD1"/>
    <w:rsid w:val="779C40BA"/>
    <w:rsid w:val="77C00613"/>
    <w:rsid w:val="77D221D2"/>
    <w:rsid w:val="78122D8D"/>
    <w:rsid w:val="781E71C5"/>
    <w:rsid w:val="782544BF"/>
    <w:rsid w:val="783469E8"/>
    <w:rsid w:val="783562BD"/>
    <w:rsid w:val="7836450F"/>
    <w:rsid w:val="78450D3A"/>
    <w:rsid w:val="78496FBD"/>
    <w:rsid w:val="7866291A"/>
    <w:rsid w:val="786B5A9C"/>
    <w:rsid w:val="78746DE5"/>
    <w:rsid w:val="787E7C64"/>
    <w:rsid w:val="78911745"/>
    <w:rsid w:val="789E3E62"/>
    <w:rsid w:val="78BC253A"/>
    <w:rsid w:val="78BD522F"/>
    <w:rsid w:val="78C338C8"/>
    <w:rsid w:val="78DA3778"/>
    <w:rsid w:val="79004B1D"/>
    <w:rsid w:val="79134850"/>
    <w:rsid w:val="79426EE3"/>
    <w:rsid w:val="794C71C1"/>
    <w:rsid w:val="796609EE"/>
    <w:rsid w:val="79786DA9"/>
    <w:rsid w:val="797F5A41"/>
    <w:rsid w:val="798C63B0"/>
    <w:rsid w:val="79975481"/>
    <w:rsid w:val="79A851F6"/>
    <w:rsid w:val="79C67B14"/>
    <w:rsid w:val="79EB30D7"/>
    <w:rsid w:val="7A0B19CB"/>
    <w:rsid w:val="7A140880"/>
    <w:rsid w:val="7A2111EE"/>
    <w:rsid w:val="7A2B5BC9"/>
    <w:rsid w:val="7A2F6CAF"/>
    <w:rsid w:val="7A3525A4"/>
    <w:rsid w:val="7A6D61E2"/>
    <w:rsid w:val="7A6D7F90"/>
    <w:rsid w:val="7A756E44"/>
    <w:rsid w:val="7A905722"/>
    <w:rsid w:val="7AA975E0"/>
    <w:rsid w:val="7ACD16AF"/>
    <w:rsid w:val="7AE83ABA"/>
    <w:rsid w:val="7AEC7106"/>
    <w:rsid w:val="7B0A57DF"/>
    <w:rsid w:val="7B0F54EB"/>
    <w:rsid w:val="7B143268"/>
    <w:rsid w:val="7B160627"/>
    <w:rsid w:val="7B177000"/>
    <w:rsid w:val="7B1A0118"/>
    <w:rsid w:val="7B2014A6"/>
    <w:rsid w:val="7B2368A0"/>
    <w:rsid w:val="7B3C1F59"/>
    <w:rsid w:val="7B3F192C"/>
    <w:rsid w:val="7B454A69"/>
    <w:rsid w:val="7B4A207F"/>
    <w:rsid w:val="7B6C561B"/>
    <w:rsid w:val="7B810197"/>
    <w:rsid w:val="7BC02341"/>
    <w:rsid w:val="7BD55DBA"/>
    <w:rsid w:val="7BDE3614"/>
    <w:rsid w:val="7BDF0A19"/>
    <w:rsid w:val="7BF22E42"/>
    <w:rsid w:val="7C1508DF"/>
    <w:rsid w:val="7C1D7794"/>
    <w:rsid w:val="7C1E2304"/>
    <w:rsid w:val="7C4D4FF4"/>
    <w:rsid w:val="7C52568F"/>
    <w:rsid w:val="7C52743D"/>
    <w:rsid w:val="7C5B09E8"/>
    <w:rsid w:val="7C5C02BC"/>
    <w:rsid w:val="7C686C61"/>
    <w:rsid w:val="7C7F3FAA"/>
    <w:rsid w:val="7C9424C4"/>
    <w:rsid w:val="7CA0464C"/>
    <w:rsid w:val="7CC16371"/>
    <w:rsid w:val="7D034BDB"/>
    <w:rsid w:val="7D3E79C1"/>
    <w:rsid w:val="7D5316BF"/>
    <w:rsid w:val="7D5B7F2D"/>
    <w:rsid w:val="7D625DA6"/>
    <w:rsid w:val="7D7002AC"/>
    <w:rsid w:val="7D721306"/>
    <w:rsid w:val="7D8C2E23"/>
    <w:rsid w:val="7D952517"/>
    <w:rsid w:val="7DDA593C"/>
    <w:rsid w:val="7DE642E1"/>
    <w:rsid w:val="7E152E18"/>
    <w:rsid w:val="7E2D0162"/>
    <w:rsid w:val="7E3808B5"/>
    <w:rsid w:val="7E5020A2"/>
    <w:rsid w:val="7E5043EB"/>
    <w:rsid w:val="7E611BB9"/>
    <w:rsid w:val="7E655BDB"/>
    <w:rsid w:val="7E6B47E6"/>
    <w:rsid w:val="7E775881"/>
    <w:rsid w:val="7E867872"/>
    <w:rsid w:val="7E8B2E70"/>
    <w:rsid w:val="7EA83C8C"/>
    <w:rsid w:val="7EAF0B77"/>
    <w:rsid w:val="7ECB797B"/>
    <w:rsid w:val="7EDE320A"/>
    <w:rsid w:val="7EDE76AE"/>
    <w:rsid w:val="7EE12CFA"/>
    <w:rsid w:val="7EF33E37"/>
    <w:rsid w:val="7EFC5D86"/>
    <w:rsid w:val="7F007624"/>
    <w:rsid w:val="7F2F3A66"/>
    <w:rsid w:val="7F342657"/>
    <w:rsid w:val="7F361298"/>
    <w:rsid w:val="7F4F44E6"/>
    <w:rsid w:val="7F5434CC"/>
    <w:rsid w:val="7F5E434B"/>
    <w:rsid w:val="7F741DC0"/>
    <w:rsid w:val="7F7F4D53"/>
    <w:rsid w:val="7F8D69DE"/>
    <w:rsid w:val="7F9B4DDA"/>
    <w:rsid w:val="7FA44454"/>
    <w:rsid w:val="7FB7536A"/>
    <w:rsid w:val="9FD7F28B"/>
    <w:rsid w:val="BE9F9243"/>
    <w:rsid w:val="DF7880FA"/>
    <w:rsid w:val="E76DBE54"/>
    <w:rsid w:val="FCFA9FFA"/>
    <w:rsid w:val="FDFEDC82"/>
    <w:rsid w:val="FE5F6018"/>
    <w:rsid w:val="FE5FECED"/>
    <w:rsid w:val="FEEB1656"/>
    <w:rsid w:val="FF6BDE7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qFormat="1" w:uiPriority="99" w:semiHidden="0" w:name="index 8"/>
    <w:lsdException w:unhideWhenUsed="0" w:uiPriority="0" w:semiHidden="0" w:name="index 9"/>
    <w:lsdException w:qFormat="1" w:unhideWhenUsed="0" w:uiPriority="39" w:semiHidden="0" w:name="toc 1"/>
    <w:lsdException w:qFormat="1"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qFormat/>
    <w:uiPriority w:val="9"/>
    <w:pPr>
      <w:keepNext/>
      <w:keepLines/>
      <w:spacing w:before="260" w:after="260" w:line="416" w:lineRule="auto"/>
      <w:outlineLvl w:val="1"/>
    </w:pPr>
    <w:rPr>
      <w:rFonts w:ascii="Cambria" w:hAnsi="Cambria" w:eastAsia="宋体" w:cs="Times New Roman"/>
      <w:b/>
      <w:bCs/>
      <w:sz w:val="32"/>
      <w:szCs w:val="32"/>
    </w:rPr>
  </w:style>
  <w:style w:type="paragraph" w:styleId="5">
    <w:name w:val="heading 3"/>
    <w:basedOn w:val="1"/>
    <w:next w:val="1"/>
    <w:unhideWhenUsed/>
    <w:qFormat/>
    <w:uiPriority w:val="0"/>
    <w:pPr>
      <w:spacing w:beforeAutospacing="1" w:afterAutospacing="1"/>
      <w:jc w:val="left"/>
      <w:outlineLvl w:val="2"/>
    </w:pPr>
    <w:rPr>
      <w:rFonts w:hint="eastAsia" w:ascii="宋体" w:hAnsi="宋体"/>
      <w:b/>
      <w:bCs/>
      <w:kern w:val="0"/>
      <w:sz w:val="27"/>
      <w:szCs w:val="27"/>
    </w:rPr>
  </w:style>
  <w:style w:type="paragraph" w:styleId="2">
    <w:name w:val="heading 4"/>
    <w:basedOn w:val="1"/>
    <w:next w:val="1"/>
    <w:qFormat/>
    <w:uiPriority w:val="0"/>
    <w:pPr>
      <w:keepNext/>
      <w:keepLines/>
      <w:widowControl/>
      <w:spacing w:before="120" w:after="120" w:line="360" w:lineRule="auto"/>
      <w:jc w:val="center"/>
      <w:outlineLvl w:val="3"/>
    </w:pPr>
    <w:rPr>
      <w:rFonts w:eastAsia="Ђˎ̥"/>
      <w:kern w:val="0"/>
      <w:sz w:val="28"/>
      <w:szCs w:val="20"/>
    </w:rPr>
  </w:style>
  <w:style w:type="character" w:default="1" w:styleId="32">
    <w:name w:val="Default Paragraph Font"/>
    <w:semiHidden/>
    <w:qFormat/>
    <w:uiPriority w:val="0"/>
  </w:style>
  <w:style w:type="table" w:default="1" w:styleId="30">
    <w:name w:val="Normal Table"/>
    <w:semiHidden/>
    <w:qFormat/>
    <w:uiPriority w:val="0"/>
    <w:tblPr>
      <w:tblCellMar>
        <w:top w:w="0" w:type="dxa"/>
        <w:left w:w="108" w:type="dxa"/>
        <w:bottom w:w="0" w:type="dxa"/>
        <w:right w:w="108" w:type="dxa"/>
      </w:tblCellMar>
    </w:tblPr>
  </w:style>
  <w:style w:type="paragraph" w:styleId="6">
    <w:name w:val="index 8"/>
    <w:basedOn w:val="1"/>
    <w:next w:val="1"/>
    <w:unhideWhenUsed/>
    <w:qFormat/>
    <w:uiPriority w:val="99"/>
    <w:pPr>
      <w:ind w:left="1400" w:leftChars="1400"/>
    </w:pPr>
  </w:style>
  <w:style w:type="paragraph" w:styleId="7">
    <w:name w:val="List Number"/>
    <w:basedOn w:val="1"/>
    <w:qFormat/>
    <w:uiPriority w:val="0"/>
    <w:pPr>
      <w:numPr>
        <w:ilvl w:val="0"/>
        <w:numId w:val="1"/>
      </w:numPr>
    </w:pPr>
  </w:style>
  <w:style w:type="paragraph" w:styleId="8">
    <w:name w:val="Normal Indent"/>
    <w:basedOn w:val="1"/>
    <w:next w:val="1"/>
    <w:qFormat/>
    <w:uiPriority w:val="0"/>
    <w:pPr>
      <w:ind w:firstLine="420"/>
    </w:pPr>
    <w:rPr>
      <w:szCs w:val="20"/>
    </w:rPr>
  </w:style>
  <w:style w:type="paragraph" w:styleId="9">
    <w:name w:val="caption"/>
    <w:basedOn w:val="1"/>
    <w:next w:val="1"/>
    <w:qFormat/>
    <w:uiPriority w:val="0"/>
    <w:pPr>
      <w:spacing w:before="152" w:after="160"/>
    </w:pPr>
    <w:rPr>
      <w:rFonts w:ascii="Arial" w:hAnsi="Arial" w:eastAsia="黑体" w:cs="Arial"/>
      <w:sz w:val="20"/>
      <w:szCs w:val="20"/>
    </w:rPr>
  </w:style>
  <w:style w:type="paragraph" w:styleId="10">
    <w:name w:val="annotation text"/>
    <w:basedOn w:val="1"/>
    <w:qFormat/>
    <w:uiPriority w:val="0"/>
    <w:pPr>
      <w:adjustRightInd w:val="0"/>
      <w:spacing w:line="360" w:lineRule="atLeast"/>
      <w:jc w:val="left"/>
      <w:textAlignment w:val="baseline"/>
    </w:pPr>
    <w:rPr>
      <w:kern w:val="0"/>
      <w:sz w:val="24"/>
      <w:szCs w:val="20"/>
    </w:rPr>
  </w:style>
  <w:style w:type="paragraph" w:styleId="11">
    <w:name w:val="index 6"/>
    <w:basedOn w:val="1"/>
    <w:next w:val="1"/>
    <w:qFormat/>
    <w:uiPriority w:val="0"/>
    <w:pPr>
      <w:widowControl/>
      <w:spacing w:before="100" w:after="200" w:line="276" w:lineRule="auto"/>
      <w:ind w:left="1260" w:hanging="210"/>
      <w:jc w:val="left"/>
    </w:pPr>
    <w:rPr>
      <w:rFonts w:ascii="Calibri" w:hAnsi="Calibri" w:eastAsia="楷体_GB2312"/>
      <w:kern w:val="0"/>
      <w:sz w:val="24"/>
      <w:szCs w:val="20"/>
    </w:rPr>
  </w:style>
  <w:style w:type="paragraph" w:styleId="12">
    <w:name w:val="Body Text 3"/>
    <w:basedOn w:val="1"/>
    <w:qFormat/>
    <w:uiPriority w:val="0"/>
    <w:pPr>
      <w:spacing w:line="500" w:lineRule="exact"/>
    </w:pPr>
    <w:rPr>
      <w:b/>
      <w:bCs/>
      <w:kern w:val="0"/>
      <w:sz w:val="24"/>
    </w:rPr>
  </w:style>
  <w:style w:type="paragraph" w:styleId="13">
    <w:name w:val="Body Text"/>
    <w:basedOn w:val="1"/>
    <w:next w:val="1"/>
    <w:qFormat/>
    <w:uiPriority w:val="0"/>
    <w:pPr>
      <w:spacing w:line="380" w:lineRule="exact"/>
    </w:pPr>
    <w:rPr>
      <w:kern w:val="0"/>
      <w:sz w:val="24"/>
    </w:rPr>
  </w:style>
  <w:style w:type="paragraph" w:styleId="14">
    <w:name w:val="Body Text Indent"/>
    <w:basedOn w:val="1"/>
    <w:qFormat/>
    <w:uiPriority w:val="0"/>
    <w:pPr>
      <w:ind w:firstLine="830" w:firstLineChars="352"/>
    </w:pPr>
    <w:rPr>
      <w:rFonts w:ascii="仿宋_GB2312" w:eastAsia="仿宋_GB2312"/>
      <w:kern w:val="0"/>
      <w:sz w:val="32"/>
      <w:szCs w:val="20"/>
    </w:rPr>
  </w:style>
  <w:style w:type="paragraph" w:styleId="15">
    <w:name w:val="List 2"/>
    <w:basedOn w:val="1"/>
    <w:qFormat/>
    <w:uiPriority w:val="0"/>
    <w:pPr>
      <w:ind w:left="100" w:leftChars="200" w:hanging="200" w:hangingChars="200"/>
    </w:pPr>
    <w:rPr>
      <w:rFonts w:ascii="Verdana" w:hAnsi="Verdana"/>
      <w:sz w:val="28"/>
    </w:rPr>
  </w:style>
  <w:style w:type="paragraph" w:styleId="16">
    <w:name w:val="toc 3"/>
    <w:basedOn w:val="1"/>
    <w:next w:val="1"/>
    <w:qFormat/>
    <w:uiPriority w:val="0"/>
    <w:pPr>
      <w:ind w:left="840" w:leftChars="400"/>
    </w:pPr>
  </w:style>
  <w:style w:type="paragraph" w:styleId="17">
    <w:name w:val="Plain Text"/>
    <w:basedOn w:val="1"/>
    <w:next w:val="1"/>
    <w:qFormat/>
    <w:uiPriority w:val="0"/>
    <w:rPr>
      <w:rFonts w:ascii="宋体" w:hAnsi="Courier New"/>
      <w:kern w:val="0"/>
      <w:sz w:val="20"/>
      <w:szCs w:val="21"/>
    </w:rPr>
  </w:style>
  <w:style w:type="paragraph" w:styleId="18">
    <w:name w:val="Date"/>
    <w:basedOn w:val="1"/>
    <w:next w:val="1"/>
    <w:qFormat/>
    <w:uiPriority w:val="0"/>
    <w:rPr>
      <w:sz w:val="24"/>
    </w:rPr>
  </w:style>
  <w:style w:type="paragraph" w:styleId="19">
    <w:name w:val="footer"/>
    <w:basedOn w:val="1"/>
    <w:next w:val="1"/>
    <w:qFormat/>
    <w:uiPriority w:val="0"/>
    <w:pPr>
      <w:tabs>
        <w:tab w:val="center" w:pos="4153"/>
        <w:tab w:val="right" w:pos="8306"/>
      </w:tabs>
      <w:snapToGrid w:val="0"/>
      <w:jc w:val="left"/>
    </w:pPr>
    <w:rPr>
      <w:kern w:val="0"/>
      <w:sz w:val="18"/>
      <w:szCs w:val="18"/>
    </w:rPr>
  </w:style>
  <w:style w:type="paragraph" w:styleId="20">
    <w:name w:val="header"/>
    <w:basedOn w:val="1"/>
    <w:next w:val="13"/>
    <w:qFormat/>
    <w:uiPriority w:val="0"/>
    <w:pPr>
      <w:pBdr>
        <w:bottom w:val="single" w:color="auto" w:sz="6" w:space="1"/>
      </w:pBdr>
      <w:tabs>
        <w:tab w:val="center" w:pos="4153"/>
        <w:tab w:val="right" w:pos="8306"/>
      </w:tabs>
      <w:snapToGrid w:val="0"/>
      <w:jc w:val="center"/>
    </w:pPr>
    <w:rPr>
      <w:kern w:val="0"/>
      <w:sz w:val="18"/>
      <w:szCs w:val="18"/>
    </w:rPr>
  </w:style>
  <w:style w:type="paragraph" w:styleId="21">
    <w:name w:val="toc 1"/>
    <w:basedOn w:val="1"/>
    <w:next w:val="1"/>
    <w:qFormat/>
    <w:uiPriority w:val="39"/>
  </w:style>
  <w:style w:type="paragraph" w:styleId="22">
    <w:name w:val="List"/>
    <w:basedOn w:val="1"/>
    <w:qFormat/>
    <w:uiPriority w:val="0"/>
    <w:pPr>
      <w:ind w:left="200" w:hanging="200" w:hangingChars="200"/>
    </w:pPr>
    <w:rPr>
      <w:rFonts w:ascii="Times New Roman" w:hAnsi="Times New Roman" w:eastAsia="宋体" w:cs="Times New Roman"/>
      <w:sz w:val="28"/>
    </w:rPr>
  </w:style>
  <w:style w:type="paragraph" w:styleId="23">
    <w:name w:val="toc 2"/>
    <w:basedOn w:val="1"/>
    <w:next w:val="1"/>
    <w:unhideWhenUsed/>
    <w:qFormat/>
    <w:uiPriority w:val="39"/>
    <w:pPr>
      <w:ind w:left="420" w:leftChars="200"/>
    </w:pPr>
  </w:style>
  <w:style w:type="paragraph" w:styleId="24">
    <w:name w:val="Body Text 2"/>
    <w:basedOn w:val="1"/>
    <w:qFormat/>
    <w:uiPriority w:val="0"/>
    <w:pPr>
      <w:spacing w:after="120" w:line="480" w:lineRule="auto"/>
    </w:pPr>
    <w:rPr>
      <w:kern w:val="0"/>
      <w:sz w:val="20"/>
    </w:rPr>
  </w:style>
  <w:style w:type="paragraph" w:styleId="25">
    <w:name w:val="HTML Preformatted"/>
    <w:basedOn w:val="1"/>
    <w:qFormat/>
    <w:uiPriority w:val="0"/>
    <w:rPr>
      <w:rFonts w:ascii="Courier New" w:hAnsi="Courier New" w:cs="Courier New"/>
      <w:sz w:val="20"/>
      <w:szCs w:val="20"/>
    </w:rPr>
  </w:style>
  <w:style w:type="paragraph" w:styleId="2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27">
    <w:name w:val="Title"/>
    <w:basedOn w:val="1"/>
    <w:qFormat/>
    <w:uiPriority w:val="0"/>
    <w:pPr>
      <w:spacing w:before="240" w:after="60"/>
      <w:jc w:val="center"/>
      <w:outlineLvl w:val="0"/>
    </w:pPr>
    <w:rPr>
      <w:rFonts w:ascii="Arial" w:hAnsi="Arial"/>
      <w:b/>
      <w:bCs/>
      <w:sz w:val="32"/>
      <w:szCs w:val="32"/>
    </w:rPr>
  </w:style>
  <w:style w:type="paragraph" w:styleId="28">
    <w:name w:val="Body Text First Indent"/>
    <w:basedOn w:val="13"/>
    <w:qFormat/>
    <w:uiPriority w:val="0"/>
    <w:pPr>
      <w:widowControl/>
      <w:wordWrap w:val="0"/>
      <w:topLinePunct/>
      <w:spacing w:after="0" w:line="600" w:lineRule="exact"/>
      <w:ind w:firstLine="880" w:firstLineChars="200"/>
      <w:jc w:val="left"/>
      <w:textAlignment w:val="baseline"/>
    </w:pPr>
    <w:rPr>
      <w:rFonts w:ascii="Times New Roman" w:hAnsi="Times New Roman" w:eastAsia="仿宋_GB2312" w:cs="Times New Roman"/>
      <w:sz w:val="32"/>
      <w:szCs w:val="24"/>
      <w:lang w:eastAsia="en-US"/>
    </w:rPr>
  </w:style>
  <w:style w:type="paragraph" w:styleId="29">
    <w:name w:val="Body Text First Indent 2"/>
    <w:basedOn w:val="14"/>
    <w:next w:val="1"/>
    <w:qFormat/>
    <w:uiPriority w:val="0"/>
    <w:pPr>
      <w:ind w:firstLine="420" w:firstLineChars="200"/>
    </w:pPr>
    <w:rPr>
      <w:rFonts w:ascii="Times New Roman" w:hAnsi="Times New Roman" w:eastAsia="宋体" w:cs="Times New Roman"/>
    </w:rPr>
  </w:style>
  <w:style w:type="table" w:styleId="31">
    <w:name w:val="Table Grid"/>
    <w:basedOn w:val="30"/>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33">
    <w:name w:val="Strong"/>
    <w:basedOn w:val="32"/>
    <w:qFormat/>
    <w:uiPriority w:val="0"/>
    <w:rPr>
      <w:b/>
    </w:rPr>
  </w:style>
  <w:style w:type="character" w:styleId="34">
    <w:name w:val="page number"/>
    <w:basedOn w:val="32"/>
    <w:qFormat/>
    <w:uiPriority w:val="0"/>
    <w:rPr>
      <w:rFonts w:ascii="Times New Roman" w:hAnsi="Times New Roman" w:eastAsia="宋体" w:cs="Times New Roman"/>
    </w:rPr>
  </w:style>
  <w:style w:type="character" w:styleId="35">
    <w:name w:val="Hyperlink"/>
    <w:basedOn w:val="32"/>
    <w:unhideWhenUsed/>
    <w:qFormat/>
    <w:uiPriority w:val="99"/>
    <w:rPr>
      <w:color w:val="0000FF"/>
      <w:u w:val="single"/>
    </w:rPr>
  </w:style>
  <w:style w:type="character" w:styleId="36">
    <w:name w:val="annotation reference"/>
    <w:qFormat/>
    <w:uiPriority w:val="0"/>
    <w:rPr>
      <w:rFonts w:ascii="Times New Roman" w:hAnsi="Times New Roman" w:eastAsia="宋体" w:cs="Times New Roman"/>
      <w:sz w:val="21"/>
      <w:szCs w:val="21"/>
    </w:rPr>
  </w:style>
  <w:style w:type="paragraph" w:customStyle="1" w:styleId="37">
    <w:name w:val="_Style 1"/>
    <w:basedOn w:val="1"/>
    <w:qFormat/>
    <w:uiPriority w:val="99"/>
    <w:pPr>
      <w:ind w:firstLine="420" w:firstLineChars="200"/>
    </w:pPr>
  </w:style>
  <w:style w:type="paragraph" w:customStyle="1" w:styleId="38">
    <w:name w:val="Default"/>
    <w:next w:val="39"/>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9">
    <w:name w:val="正文文字 6"/>
    <w:next w:val="1"/>
    <w:qFormat/>
    <w:uiPriority w:val="0"/>
    <w:pPr>
      <w:widowControl w:val="0"/>
      <w:ind w:left="240"/>
      <w:jc w:val="both"/>
    </w:pPr>
    <w:rPr>
      <w:rFonts w:ascii="宋体" w:hAnsi="Calibri" w:eastAsia="宋体" w:cs="Times New Roman"/>
      <w:b/>
      <w:bCs/>
      <w:kern w:val="2"/>
      <w:sz w:val="32"/>
      <w:szCs w:val="32"/>
      <w:lang w:val="en-US" w:eastAsia="zh-CN" w:bidi="ar-SA"/>
    </w:rPr>
  </w:style>
  <w:style w:type="paragraph" w:customStyle="1" w:styleId="40">
    <w:name w:val="表格文字"/>
    <w:basedOn w:val="14"/>
    <w:qFormat/>
    <w:uiPriority w:val="99"/>
    <w:pPr>
      <w:spacing w:before="25" w:after="25"/>
      <w:jc w:val="left"/>
    </w:pPr>
    <w:rPr>
      <w:bCs/>
      <w:spacing w:val="10"/>
      <w:kern w:val="0"/>
      <w:sz w:val="24"/>
    </w:rPr>
  </w:style>
  <w:style w:type="paragraph" w:customStyle="1" w:styleId="41">
    <w:name w:val="正文1"/>
    <w:qFormat/>
    <w:uiPriority w:val="0"/>
    <w:pPr>
      <w:widowControl w:val="0"/>
      <w:jc w:val="both"/>
    </w:pPr>
    <w:rPr>
      <w:rFonts w:ascii="Calibri" w:hAnsi="Calibri" w:eastAsia="微软雅黑" w:cs="Times New Roman"/>
      <w:kern w:val="2"/>
      <w:sz w:val="18"/>
      <w:szCs w:val="18"/>
      <w:lang w:val="en-US" w:eastAsia="zh-CN" w:bidi="ar-SA"/>
    </w:rPr>
  </w:style>
  <w:style w:type="paragraph" w:customStyle="1" w:styleId="42">
    <w:name w:val="正文文字 Char"/>
    <w:basedOn w:val="1"/>
    <w:next w:val="2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customStyle="1" w:styleId="43">
    <w:name w:val="纯文本1"/>
    <w:basedOn w:val="1"/>
    <w:qFormat/>
    <w:uiPriority w:val="0"/>
    <w:pPr>
      <w:suppressAutoHyphens/>
    </w:pPr>
    <w:rPr>
      <w:rFonts w:ascii="宋体" w:hAnsi="宋体" w:eastAsia="宋体" w:cs="Calibri"/>
      <w:kern w:val="1"/>
      <w:sz w:val="20"/>
      <w:szCs w:val="21"/>
      <w:lang w:eastAsia="ar-SA"/>
    </w:rPr>
  </w:style>
  <w:style w:type="paragraph" w:customStyle="1" w:styleId="44">
    <w:name w:val="表内文字"/>
    <w:basedOn w:val="1"/>
    <w:qFormat/>
    <w:uiPriority w:val="0"/>
    <w:pPr>
      <w:snapToGrid w:val="0"/>
      <w:spacing w:before="50" w:after="50"/>
      <w:jc w:val="center"/>
    </w:pPr>
    <w:rPr>
      <w:rFonts w:ascii="仿宋_GB2312" w:hAnsi="宋体" w:eastAsia="仿宋_GB2312" w:cs="Times New Roman"/>
      <w:color w:val="000000"/>
      <w:szCs w:val="21"/>
    </w:rPr>
  </w:style>
  <w:style w:type="paragraph" w:styleId="45">
    <w:name w:val="List Paragraph"/>
    <w:basedOn w:val="1"/>
    <w:qFormat/>
    <w:uiPriority w:val="34"/>
    <w:pPr>
      <w:ind w:firstLine="420" w:firstLineChars="200"/>
    </w:pPr>
  </w:style>
  <w:style w:type="character" w:customStyle="1" w:styleId="46">
    <w:name w:val="NormalCharacter"/>
    <w:semiHidden/>
    <w:qFormat/>
    <w:uiPriority w:val="0"/>
    <w:rPr>
      <w:rFonts w:ascii="Times New Roman" w:hAnsi="Times New Roman" w:eastAsia="宋体" w:cstheme="minorBidi"/>
      <w:kern w:val="2"/>
      <w:sz w:val="21"/>
      <w:szCs w:val="24"/>
      <w:lang w:val="en-US" w:eastAsia="zh-CN" w:bidi="ar-SA"/>
    </w:rPr>
  </w:style>
  <w:style w:type="character" w:customStyle="1" w:styleId="47">
    <w:name w:val="p141"/>
    <w:qFormat/>
    <w:uiPriority w:val="0"/>
    <w:rPr>
      <w:sz w:val="21"/>
      <w:szCs w:val="21"/>
    </w:rPr>
  </w:style>
  <w:style w:type="paragraph" w:customStyle="1" w:styleId="48">
    <w:name w:val="Other|1"/>
    <w:basedOn w:val="1"/>
    <w:qFormat/>
    <w:uiPriority w:val="0"/>
    <w:pPr>
      <w:spacing w:line="402" w:lineRule="exact"/>
      <w:jc w:val="left"/>
    </w:pPr>
    <w:rPr>
      <w:rFonts w:ascii="宋体" w:hAnsi="宋体" w:eastAsia="宋体" w:cs="Times New Roman"/>
      <w:kern w:val="0"/>
      <w:sz w:val="20"/>
      <w:szCs w:val="20"/>
      <w:lang w:val="zh-TW" w:eastAsia="zh-TW"/>
    </w:rPr>
  </w:style>
  <w:style w:type="character" w:customStyle="1" w:styleId="49">
    <w:name w:val="font31"/>
    <w:basedOn w:val="32"/>
    <w:qFormat/>
    <w:uiPriority w:val="0"/>
    <w:rPr>
      <w:rFonts w:hint="eastAsia" w:ascii="宋体" w:hAnsi="宋体" w:eastAsia="宋体" w:cs="宋体"/>
      <w:color w:val="000000"/>
      <w:sz w:val="22"/>
      <w:szCs w:val="22"/>
      <w:u w:val="none"/>
    </w:rPr>
  </w:style>
  <w:style w:type="table" w:customStyle="1" w:styleId="50">
    <w:name w:val="Table Normal"/>
    <w:semiHidden/>
    <w:unhideWhenUsed/>
    <w:qFormat/>
    <w:uiPriority w:val="0"/>
    <w:tblPr>
      <w:tblCellMar>
        <w:top w:w="0" w:type="dxa"/>
        <w:left w:w="0" w:type="dxa"/>
        <w:bottom w:w="0" w:type="dxa"/>
        <w:right w:w="0" w:type="dxa"/>
      </w:tblCellMar>
    </w:tblPr>
  </w:style>
  <w:style w:type="paragraph" w:customStyle="1" w:styleId="51">
    <w:name w:val="Body text|3"/>
    <w:basedOn w:val="1"/>
    <w:qFormat/>
    <w:uiPriority w:val="0"/>
    <w:pPr>
      <w:spacing w:after="460"/>
      <w:jc w:val="center"/>
    </w:pPr>
    <w:rPr>
      <w:rFonts w:ascii="宋体" w:hAnsi="宋体" w:eastAsia="宋体" w:cs="Times New Roman"/>
      <w:kern w:val="0"/>
      <w:sz w:val="34"/>
      <w:szCs w:val="34"/>
    </w:rPr>
  </w:style>
  <w:style w:type="paragraph" w:customStyle="1" w:styleId="52">
    <w:name w:val="Body text|1"/>
    <w:basedOn w:val="1"/>
    <w:qFormat/>
    <w:uiPriority w:val="0"/>
    <w:pPr>
      <w:spacing w:line="353" w:lineRule="auto"/>
      <w:ind w:firstLine="400"/>
      <w:jc w:val="left"/>
    </w:pPr>
    <w:rPr>
      <w:rFonts w:ascii="宋体" w:hAnsi="宋体" w:eastAsia="宋体" w:cs="Times New Roman"/>
      <w:kern w:val="0"/>
      <w:sz w:val="30"/>
      <w:szCs w:val="30"/>
    </w:rPr>
  </w:style>
  <w:style w:type="paragraph" w:customStyle="1" w:styleId="53">
    <w:name w:val="样式 首行缩进:  2 字符"/>
    <w:basedOn w:val="1"/>
    <w:qFormat/>
    <w:uiPriority w:val="0"/>
    <w:pPr>
      <w:spacing w:line="400" w:lineRule="exact"/>
      <w:ind w:firstLine="200" w:firstLineChars="200"/>
    </w:pPr>
    <w:rPr>
      <w:rFonts w:cs="宋体"/>
      <w:sz w:val="24"/>
    </w:rPr>
  </w:style>
  <w:style w:type="paragraph" w:customStyle="1" w:styleId="54">
    <w:name w:val="大目录"/>
    <w:basedOn w:val="1"/>
    <w:qFormat/>
    <w:uiPriority w:val="0"/>
    <w:pPr>
      <w:spacing w:line="540" w:lineRule="exact"/>
      <w:jc w:val="center"/>
    </w:pPr>
    <w:rPr>
      <w:b/>
      <w:sz w:val="48"/>
      <w:szCs w:val="48"/>
    </w:rPr>
  </w:style>
  <w:style w:type="character" w:customStyle="1" w:styleId="55">
    <w:name w:val="15"/>
    <w:basedOn w:val="32"/>
    <w:qFormat/>
    <w:uiPriority w:val="0"/>
    <w:rPr>
      <w:rFonts w:hint="eastAsia" w:ascii="宋体" w:hAnsi="宋体" w:eastAsia="宋体" w:cs="宋体"/>
      <w:color w:val="FF0000"/>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06d7310-0f95-4456-9b47-118194a88ab2}">
  <ds:schemaRefs/>
</ds:datastoreItem>
</file>

<file path=docProps/app.xml><?xml version="1.0" encoding="utf-8"?>
<Properties xmlns="http://schemas.openxmlformats.org/officeDocument/2006/extended-properties" xmlns:vt="http://schemas.openxmlformats.org/officeDocument/2006/docPropsVTypes">
  <Template>Normal.dotm</Template>
  <Pages>29</Pages>
  <Words>60</Words>
  <Characters>82</Characters>
  <Lines>0</Lines>
  <Paragraphs>0</Paragraphs>
  <TotalTime>10</TotalTime>
  <ScaleCrop>false</ScaleCrop>
  <LinksUpToDate>false</LinksUpToDate>
  <CharactersWithSpaces>85</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2014-10-30T04:08:00Z</dcterms:created>
  <dc:creator>LD</dc:creator>
  <cp:lastModifiedBy>路小路</cp:lastModifiedBy>
  <cp:lastPrinted>2026-09-15T03:23:00Z</cp:lastPrinted>
  <dcterms:modified xsi:type="dcterms:W3CDTF">2026-10-29T09:01:57Z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4246E490E4F3412B8CA172B38FEB9498_13</vt:lpwstr>
  </property>
  <property fmtid="{D5CDD505-2E9C-101B-9397-08002B2CF9AE}" pid="4" name="commondata">
    <vt:lpwstr>eyJoZGlkIjoiZWExNWU1N2QxY2UxZWI4YzNlODg4ODFmNzk0YTgzMDQifQ==</vt:lpwstr>
  </property>
  <property fmtid="{D5CDD505-2E9C-101B-9397-08002B2CF9AE}" pid="5" name="KSOTemplateDocerSaveRecord">
    <vt:lpwstr>eyJoZGlkIjoiZmIxOThhMzE5M2MzYzgxMWZlNjBlMTFmYmZiYTc1YjQiLCJ1c2VySWQiOiIyODQ5NTIzNzYifQ==</vt:lpwstr>
  </property>
</Properties>
</file>