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4D06D5">
      <w:pPr>
        <w:spacing w:before="312" w:beforeLines="100" w:after="156" w:afterLines="50" w:line="600" w:lineRule="exact"/>
        <w:jc w:val="center"/>
        <w:rPr>
          <w:rFonts w:hint="eastAsia" w:ascii="宋体" w:hAnsi="宋体" w:eastAsia="宋体"/>
          <w:b/>
          <w:sz w:val="72"/>
          <w:szCs w:val="72"/>
          <w:lang w:eastAsia="zh-CN"/>
        </w:rPr>
      </w:pPr>
    </w:p>
    <w:p w14:paraId="345907D3">
      <w:pPr>
        <w:spacing w:before="312" w:beforeLines="100" w:after="156" w:afterLines="50" w:line="600" w:lineRule="exact"/>
        <w:jc w:val="center"/>
        <w:rPr>
          <w:rFonts w:hint="eastAsia" w:ascii="宋体" w:hAnsi="宋体"/>
          <w:b/>
          <w:sz w:val="72"/>
          <w:szCs w:val="72"/>
        </w:rPr>
      </w:pPr>
    </w:p>
    <w:p w14:paraId="14ADFCB2">
      <w:pPr>
        <w:spacing w:before="312" w:beforeLines="100" w:after="156" w:afterLines="50" w:line="600" w:lineRule="exact"/>
        <w:jc w:val="center"/>
        <w:rPr>
          <w:rFonts w:hint="eastAsia" w:ascii="宋体" w:hAnsi="宋体" w:eastAsia="宋体"/>
          <w:b/>
          <w:sz w:val="72"/>
          <w:szCs w:val="72"/>
          <w:lang w:val="en-US" w:eastAsia="zh-CN"/>
        </w:rPr>
      </w:pPr>
      <w:r>
        <w:rPr>
          <w:rFonts w:hint="eastAsia" w:ascii="宋体" w:hAnsi="宋体"/>
          <w:b/>
          <w:sz w:val="72"/>
          <w:szCs w:val="72"/>
        </w:rPr>
        <w:t>采购项目需求</w:t>
      </w:r>
    </w:p>
    <w:p w14:paraId="304E344A">
      <w:pPr>
        <w:spacing w:before="312" w:beforeLines="100" w:after="156" w:afterLines="50" w:line="600" w:lineRule="exact"/>
        <w:jc w:val="center"/>
        <w:rPr>
          <w:rFonts w:hint="eastAsia" w:ascii="宋体" w:hAnsi="宋体"/>
          <w:b/>
          <w:sz w:val="72"/>
          <w:szCs w:val="72"/>
        </w:rPr>
      </w:pPr>
    </w:p>
    <w:p w14:paraId="69A40B1D">
      <w:pPr>
        <w:spacing w:before="312" w:beforeLines="100" w:after="156" w:afterLines="50" w:line="600" w:lineRule="exact"/>
        <w:jc w:val="center"/>
        <w:rPr>
          <w:rFonts w:hint="eastAsia" w:ascii="宋体" w:hAnsi="宋体"/>
          <w:b/>
          <w:sz w:val="72"/>
          <w:szCs w:val="72"/>
        </w:rPr>
      </w:pPr>
    </w:p>
    <w:p w14:paraId="1A77BABC">
      <w:pPr>
        <w:spacing w:before="312" w:beforeLines="100" w:after="156" w:afterLines="50" w:line="600" w:lineRule="exact"/>
        <w:jc w:val="center"/>
        <w:rPr>
          <w:rFonts w:hint="eastAsia" w:ascii="宋体" w:hAnsi="宋体"/>
          <w:b/>
          <w:sz w:val="72"/>
          <w:szCs w:val="72"/>
        </w:rPr>
      </w:pPr>
    </w:p>
    <w:p w14:paraId="434AFEC0">
      <w:pPr>
        <w:spacing w:line="400" w:lineRule="exact"/>
        <w:jc w:val="center"/>
        <w:rPr>
          <w:rFonts w:hint="eastAsia" w:ascii="宋体" w:hAnsi="宋体"/>
          <w:b/>
          <w:sz w:val="32"/>
          <w:szCs w:val="32"/>
        </w:rPr>
      </w:pPr>
    </w:p>
    <w:p w14:paraId="7C62A841">
      <w:pPr>
        <w:spacing w:line="360" w:lineRule="auto"/>
        <w:jc w:val="center"/>
        <w:rPr>
          <w:rFonts w:hint="eastAsia" w:ascii="宋体" w:hAnsi="宋体"/>
          <w:b/>
          <w:sz w:val="32"/>
          <w:szCs w:val="32"/>
        </w:rPr>
      </w:pPr>
    </w:p>
    <w:p w14:paraId="6D06032C">
      <w:pPr>
        <w:pStyle w:val="17"/>
        <w:keepNext w:val="0"/>
        <w:keepLines w:val="0"/>
        <w:pageBreakBefore w:val="0"/>
        <w:widowControl w:val="0"/>
        <w:kinsoku/>
        <w:wordWrap/>
        <w:overflowPunct/>
        <w:topLinePunct w:val="0"/>
        <w:autoSpaceDE/>
        <w:autoSpaceDN/>
        <w:bidi w:val="0"/>
        <w:adjustRightInd/>
        <w:snapToGrid w:val="0"/>
        <w:spacing w:before="50" w:after="120" w:line="360" w:lineRule="auto"/>
        <w:ind w:firstLine="1285" w:firstLineChars="400"/>
        <w:textAlignment w:val="auto"/>
        <w:rPr>
          <w:rFonts w:hint="eastAsia" w:ascii="Times New Roman" w:hAnsi="宋体" w:eastAsia="宋体" w:cs="Times New Roman"/>
          <w:b/>
          <w:kern w:val="2"/>
          <w:sz w:val="32"/>
          <w:szCs w:val="32"/>
          <w:lang w:val="en-US" w:eastAsia="zh-CN" w:bidi="ar-SA"/>
        </w:rPr>
      </w:pPr>
      <w:r>
        <w:rPr>
          <w:rFonts w:hint="eastAsia" w:ascii="宋体" w:hAnsi="宋体" w:eastAsia="宋体"/>
          <w:b/>
          <w:sz w:val="32"/>
          <w:szCs w:val="32"/>
          <w:lang w:eastAsia="zh-CN"/>
        </w:rPr>
        <w:t>项目名称：</w:t>
      </w:r>
      <w:r>
        <w:rPr>
          <w:rFonts w:hint="eastAsia" w:ascii="宋体" w:hAnsi="宋体" w:eastAsia="宋体"/>
          <w:b/>
          <w:sz w:val="32"/>
          <w:szCs w:val="32"/>
          <w:lang w:val="en-US" w:eastAsia="zh-CN"/>
        </w:rPr>
        <w:t>检验科标准菌株采购项目</w:t>
      </w:r>
    </w:p>
    <w:p w14:paraId="0FE7D269">
      <w:pPr>
        <w:pStyle w:val="17"/>
        <w:keepNext w:val="0"/>
        <w:keepLines w:val="0"/>
        <w:pageBreakBefore w:val="0"/>
        <w:widowControl w:val="0"/>
        <w:kinsoku/>
        <w:wordWrap/>
        <w:overflowPunct/>
        <w:topLinePunct w:val="0"/>
        <w:autoSpaceDE/>
        <w:autoSpaceDN/>
        <w:bidi w:val="0"/>
        <w:adjustRightInd/>
        <w:snapToGrid w:val="0"/>
        <w:spacing w:before="50" w:after="120" w:line="360" w:lineRule="auto"/>
        <w:ind w:firstLine="1285" w:firstLineChars="400"/>
        <w:textAlignment w:val="auto"/>
        <w:rPr>
          <w:rFonts w:hint="eastAsia" w:ascii="宋体" w:hAnsi="宋体"/>
          <w:b/>
          <w:color w:val="FF0000"/>
          <w:sz w:val="32"/>
          <w:szCs w:val="32"/>
          <w:lang w:eastAsia="zh-CN"/>
        </w:rPr>
      </w:pPr>
      <w:r>
        <w:rPr>
          <w:rFonts w:hint="eastAsia" w:ascii="宋体" w:hAnsi="宋体"/>
          <w:b/>
          <w:sz w:val="32"/>
          <w:szCs w:val="32"/>
          <w:lang w:eastAsia="zh-CN"/>
        </w:rPr>
        <w:t>项目编号：GXSZ2026-0</w:t>
      </w:r>
      <w:r>
        <w:rPr>
          <w:rFonts w:hint="eastAsia" w:hAnsi="宋体"/>
          <w:b/>
          <w:sz w:val="32"/>
          <w:szCs w:val="32"/>
          <w:lang w:val="en-US" w:eastAsia="zh-CN"/>
        </w:rPr>
        <w:t>14</w:t>
      </w:r>
      <w:r>
        <w:rPr>
          <w:rFonts w:hint="eastAsia" w:ascii="宋体" w:hAnsi="宋体"/>
          <w:b/>
          <w:sz w:val="32"/>
          <w:szCs w:val="32"/>
          <w:lang w:eastAsia="zh-CN"/>
        </w:rPr>
        <w:t>-JYB</w:t>
      </w:r>
    </w:p>
    <w:p w14:paraId="28764F66">
      <w:pPr>
        <w:keepNext w:val="0"/>
        <w:keepLines w:val="0"/>
        <w:pageBreakBefore w:val="0"/>
        <w:widowControl w:val="0"/>
        <w:kinsoku/>
        <w:wordWrap/>
        <w:overflowPunct/>
        <w:topLinePunct w:val="0"/>
        <w:autoSpaceDE/>
        <w:autoSpaceDN/>
        <w:bidi w:val="0"/>
        <w:adjustRightInd/>
        <w:spacing w:line="360" w:lineRule="auto"/>
        <w:ind w:firstLine="1285" w:firstLineChars="400"/>
        <w:textAlignment w:val="auto"/>
        <w:rPr>
          <w:rFonts w:hint="eastAsia" w:ascii="宋体" w:hAnsi="宋体"/>
          <w:b/>
          <w:sz w:val="32"/>
          <w:szCs w:val="32"/>
        </w:rPr>
      </w:pPr>
      <w:r>
        <w:rPr>
          <w:rFonts w:hint="eastAsia" w:ascii="宋体" w:hAnsi="宋体"/>
          <w:b/>
          <w:sz w:val="32"/>
          <w:szCs w:val="32"/>
        </w:rPr>
        <w:t>采购单位：</w:t>
      </w:r>
      <w:r>
        <w:rPr>
          <w:rFonts w:hint="eastAsia" w:hAnsi="宋体"/>
          <w:b/>
          <w:sz w:val="32"/>
          <w:szCs w:val="32"/>
          <w:lang w:eastAsia="zh-CN"/>
        </w:rPr>
        <w:t>广西壮族自治区生殖</w:t>
      </w:r>
      <w:r>
        <w:rPr>
          <w:rFonts w:hint="eastAsia" w:ascii="宋体" w:hAnsi="宋体"/>
          <w:b/>
          <w:sz w:val="32"/>
          <w:szCs w:val="32"/>
        </w:rPr>
        <w:t>医院</w:t>
      </w:r>
    </w:p>
    <w:p w14:paraId="0F46C876">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宋体" w:hAnsi="宋体"/>
          <w:b/>
          <w:sz w:val="32"/>
          <w:szCs w:val="32"/>
        </w:rPr>
      </w:pPr>
    </w:p>
    <w:p w14:paraId="0A46851E">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宋体" w:hAnsi="宋体"/>
          <w:b/>
          <w:sz w:val="32"/>
          <w:szCs w:val="32"/>
        </w:rPr>
      </w:pPr>
    </w:p>
    <w:p w14:paraId="31D4DE08">
      <w:pPr>
        <w:spacing w:line="400" w:lineRule="exact"/>
        <w:jc w:val="center"/>
        <w:rPr>
          <w:rFonts w:hint="eastAsia" w:ascii="宋体" w:hAnsi="宋体"/>
          <w:b/>
          <w:sz w:val="32"/>
          <w:szCs w:val="32"/>
        </w:rPr>
      </w:pPr>
    </w:p>
    <w:p w14:paraId="24F97C84">
      <w:pPr>
        <w:spacing w:line="400" w:lineRule="exact"/>
        <w:jc w:val="both"/>
        <w:rPr>
          <w:rFonts w:hint="eastAsia" w:ascii="宋体" w:hAnsi="宋体"/>
          <w:b/>
          <w:sz w:val="32"/>
          <w:szCs w:val="32"/>
        </w:rPr>
      </w:pPr>
    </w:p>
    <w:p w14:paraId="732B3909">
      <w:pPr>
        <w:spacing w:line="400" w:lineRule="exact"/>
        <w:jc w:val="center"/>
        <w:rPr>
          <w:rFonts w:hint="eastAsia" w:ascii="宋体" w:hAnsi="宋体"/>
          <w:b/>
          <w:sz w:val="32"/>
          <w:szCs w:val="32"/>
        </w:rPr>
      </w:pPr>
    </w:p>
    <w:p w14:paraId="3DAAB2A5">
      <w:pPr>
        <w:spacing w:line="400" w:lineRule="exact"/>
        <w:jc w:val="center"/>
        <w:rPr>
          <w:rFonts w:hint="eastAsia" w:ascii="宋体" w:hAnsi="宋体"/>
          <w:b/>
          <w:sz w:val="32"/>
          <w:szCs w:val="32"/>
        </w:rPr>
      </w:pPr>
      <w:r>
        <w:rPr>
          <w:rFonts w:hint="eastAsia" w:ascii="宋体" w:hAnsi="宋体"/>
          <w:b/>
          <w:sz w:val="32"/>
          <w:szCs w:val="32"/>
          <w:lang w:val="en-US" w:eastAsia="zh-CN"/>
        </w:rPr>
        <w:t>2026</w:t>
      </w:r>
      <w:r>
        <w:rPr>
          <w:rFonts w:hint="eastAsia" w:ascii="宋体" w:hAnsi="宋体"/>
          <w:b/>
          <w:sz w:val="32"/>
          <w:szCs w:val="32"/>
        </w:rPr>
        <w:t>年</w:t>
      </w:r>
      <w:r>
        <w:rPr>
          <w:rFonts w:hint="eastAsia" w:ascii="宋体" w:hAnsi="宋体"/>
          <w:b/>
          <w:sz w:val="32"/>
          <w:szCs w:val="32"/>
          <w:lang w:val="en-US" w:eastAsia="zh-CN"/>
        </w:rPr>
        <w:t>9</w:t>
      </w:r>
      <w:r>
        <w:rPr>
          <w:rFonts w:hint="eastAsia" w:ascii="宋体" w:hAnsi="宋体"/>
          <w:b/>
          <w:sz w:val="32"/>
          <w:szCs w:val="32"/>
        </w:rPr>
        <w:t>月</w:t>
      </w:r>
    </w:p>
    <w:p w14:paraId="4ED003AD">
      <w:pPr>
        <w:spacing w:line="400" w:lineRule="exact"/>
        <w:jc w:val="both"/>
        <w:rPr>
          <w:rFonts w:hint="eastAsia" w:ascii="宋体" w:hAnsi="宋体"/>
          <w:b/>
          <w:sz w:val="44"/>
          <w:szCs w:val="44"/>
        </w:rPr>
        <w:sectPr>
          <w:headerReference r:id="rId3" w:type="default"/>
          <w:footerReference r:id="rId4" w:type="default"/>
          <w:pgSz w:w="11906" w:h="16838"/>
          <w:pgMar w:top="1701" w:right="1417" w:bottom="1417" w:left="1701" w:header="851" w:footer="992" w:gutter="0"/>
          <w:pgNumType w:fmt="decimal" w:start="1"/>
          <w:cols w:space="425" w:num="1"/>
          <w:docGrid w:type="lines" w:linePitch="312" w:charSpace="0"/>
        </w:sectPr>
      </w:pPr>
    </w:p>
    <w:p w14:paraId="378F59EA">
      <w:pPr>
        <w:spacing w:line="400" w:lineRule="exact"/>
        <w:jc w:val="center"/>
        <w:rPr>
          <w:rFonts w:hint="eastAsia" w:ascii="宋体" w:hAnsi="宋体"/>
          <w:b/>
          <w:sz w:val="32"/>
          <w:szCs w:val="32"/>
        </w:rPr>
      </w:pPr>
      <w:r>
        <w:rPr>
          <w:rFonts w:hint="eastAsia" w:ascii="宋体" w:hAnsi="宋体"/>
          <w:b/>
          <w:sz w:val="32"/>
          <w:szCs w:val="32"/>
        </w:rPr>
        <w:t>目   录</w:t>
      </w:r>
    </w:p>
    <w:p w14:paraId="65CA51B4">
      <w:pPr>
        <w:pStyle w:val="20"/>
        <w:tabs>
          <w:tab w:val="right" w:leader="dot" w:pos="8788"/>
        </w:tabs>
        <w:rPr>
          <w:rFonts w:hint="eastAsia" w:ascii="Times New Roman" w:hAnsi="Times New Roman" w:eastAsia="宋体" w:cs="Times New Roman"/>
          <w:sz w:val="28"/>
          <w:szCs w:val="28"/>
          <w:highlight w:val="none"/>
          <w:lang w:val="en-US" w:eastAsia="zh-CN"/>
        </w:rPr>
      </w:pPr>
    </w:p>
    <w:p w14:paraId="4130A916">
      <w:pPr>
        <w:pStyle w:val="20"/>
        <w:tabs>
          <w:tab w:val="right" w:leader="dot" w:pos="8788"/>
        </w:tabs>
        <w:rPr>
          <w:sz w:val="28"/>
          <w:szCs w:val="28"/>
        </w:rPr>
      </w:pPr>
      <w:r>
        <w:rPr>
          <w:rFonts w:hint="eastAsia" w:ascii="Times New Roman" w:hAnsi="Times New Roman" w:eastAsia="宋体" w:cs="Times New Roman"/>
          <w:sz w:val="28"/>
          <w:szCs w:val="28"/>
          <w:highlight w:val="none"/>
          <w:lang w:val="en-US" w:eastAsia="zh-CN"/>
        </w:rPr>
        <w:fldChar w:fldCharType="begin"/>
      </w:r>
      <w:r>
        <w:rPr>
          <w:rFonts w:hint="eastAsia" w:ascii="Times New Roman" w:hAnsi="Times New Roman" w:eastAsia="宋体" w:cs="Times New Roman"/>
          <w:sz w:val="28"/>
          <w:szCs w:val="28"/>
          <w:highlight w:val="none"/>
          <w:lang w:val="en-US" w:eastAsia="zh-CN"/>
        </w:rPr>
        <w:instrText xml:space="preserve"> TOC \o "1-3" \h \z \u </w:instrText>
      </w:r>
      <w:r>
        <w:rPr>
          <w:rFonts w:hint="eastAsia" w:ascii="Times New Roman" w:hAnsi="Times New Roman" w:eastAsia="宋体" w:cs="Times New Roman"/>
          <w:sz w:val="28"/>
          <w:szCs w:val="28"/>
          <w:highlight w:val="none"/>
          <w:lang w:val="en-US" w:eastAsia="zh-CN"/>
        </w:rPr>
        <w:fldChar w:fldCharType="separate"/>
      </w:r>
      <w:r>
        <w:rPr>
          <w:rFonts w:hint="eastAsia" w:ascii="Times New Roman" w:hAnsi="Times New Roman" w:eastAsia="宋体" w:cs="Times New Roman"/>
          <w:sz w:val="28"/>
          <w:szCs w:val="28"/>
          <w:highlight w:val="none"/>
          <w:lang w:val="en-US" w:eastAsia="zh-CN"/>
        </w:rPr>
        <w:fldChar w:fldCharType="begin"/>
      </w:r>
      <w:r>
        <w:rPr>
          <w:rFonts w:hint="eastAsia" w:ascii="Times New Roman" w:hAnsi="Times New Roman" w:eastAsia="宋体" w:cs="Times New Roman"/>
          <w:sz w:val="28"/>
          <w:szCs w:val="28"/>
          <w:highlight w:val="none"/>
          <w:lang w:val="en-US" w:eastAsia="zh-CN"/>
        </w:rPr>
        <w:instrText xml:space="preserve"> HYPERLINK \l _Toc17140 </w:instrText>
      </w:r>
      <w:r>
        <w:rPr>
          <w:rFonts w:hint="eastAsia" w:ascii="Times New Roman" w:hAnsi="Times New Roman" w:eastAsia="宋体" w:cs="Times New Roman"/>
          <w:sz w:val="28"/>
          <w:szCs w:val="28"/>
          <w:highlight w:val="none"/>
          <w:lang w:val="en-US" w:eastAsia="zh-CN"/>
        </w:rPr>
        <w:fldChar w:fldCharType="separate"/>
      </w:r>
      <w:r>
        <w:rPr>
          <w:rFonts w:hint="eastAsia"/>
          <w:sz w:val="28"/>
          <w:szCs w:val="28"/>
          <w:lang w:val="en-US" w:eastAsia="zh-CN"/>
        </w:rPr>
        <w:t>第一章</w:t>
      </w:r>
      <w:r>
        <w:rPr>
          <w:rFonts w:hint="eastAsia" w:eastAsia="宋体"/>
          <w:sz w:val="28"/>
          <w:szCs w:val="28"/>
          <w:lang w:val="en-US" w:eastAsia="zh-CN"/>
        </w:rPr>
        <w:t xml:space="preserve"> 采购公告</w:t>
      </w:r>
      <w:r>
        <w:rPr>
          <w:sz w:val="28"/>
          <w:szCs w:val="28"/>
        </w:rPr>
        <w:tab/>
      </w:r>
      <w:r>
        <w:rPr>
          <w:sz w:val="28"/>
          <w:szCs w:val="28"/>
        </w:rPr>
        <w:fldChar w:fldCharType="begin"/>
      </w:r>
      <w:r>
        <w:rPr>
          <w:sz w:val="28"/>
          <w:szCs w:val="28"/>
        </w:rPr>
        <w:instrText xml:space="preserve"> PAGEREF _Toc17140 \h </w:instrText>
      </w:r>
      <w:r>
        <w:rPr>
          <w:sz w:val="28"/>
          <w:szCs w:val="28"/>
        </w:rPr>
        <w:fldChar w:fldCharType="separate"/>
      </w:r>
      <w:r>
        <w:rPr>
          <w:sz w:val="28"/>
          <w:szCs w:val="28"/>
        </w:rPr>
        <w:t>3</w:t>
      </w:r>
      <w:r>
        <w:rPr>
          <w:sz w:val="28"/>
          <w:szCs w:val="28"/>
        </w:rPr>
        <w:fldChar w:fldCharType="end"/>
      </w:r>
      <w:r>
        <w:rPr>
          <w:rFonts w:hint="eastAsia" w:ascii="Times New Roman" w:hAnsi="Times New Roman" w:eastAsia="宋体" w:cs="Times New Roman"/>
          <w:sz w:val="28"/>
          <w:szCs w:val="28"/>
          <w:highlight w:val="none"/>
          <w:lang w:val="en-US" w:eastAsia="zh-CN"/>
        </w:rPr>
        <w:fldChar w:fldCharType="end"/>
      </w:r>
    </w:p>
    <w:p w14:paraId="1A8B6A9F">
      <w:pPr>
        <w:pStyle w:val="20"/>
        <w:tabs>
          <w:tab w:val="right" w:leader="dot" w:pos="8788"/>
        </w:tabs>
        <w:rPr>
          <w:sz w:val="28"/>
          <w:szCs w:val="28"/>
        </w:rPr>
      </w:pPr>
      <w:r>
        <w:rPr>
          <w:rFonts w:hint="eastAsia" w:ascii="Times New Roman" w:hAnsi="Times New Roman" w:eastAsia="宋体" w:cs="Times New Roman"/>
          <w:sz w:val="28"/>
          <w:szCs w:val="28"/>
          <w:highlight w:val="none"/>
          <w:lang w:val="en-US" w:eastAsia="zh-CN"/>
        </w:rPr>
        <w:fldChar w:fldCharType="begin"/>
      </w:r>
      <w:r>
        <w:rPr>
          <w:rFonts w:hint="eastAsia" w:ascii="Times New Roman" w:hAnsi="Times New Roman" w:eastAsia="宋体" w:cs="Times New Roman"/>
          <w:sz w:val="28"/>
          <w:szCs w:val="28"/>
          <w:highlight w:val="none"/>
          <w:lang w:val="en-US" w:eastAsia="zh-CN"/>
        </w:rPr>
        <w:instrText xml:space="preserve"> HYPERLINK \l _Toc30074 </w:instrText>
      </w:r>
      <w:r>
        <w:rPr>
          <w:rFonts w:hint="eastAsia" w:ascii="Times New Roman" w:hAnsi="Times New Roman" w:eastAsia="宋体" w:cs="Times New Roman"/>
          <w:sz w:val="28"/>
          <w:szCs w:val="28"/>
          <w:highlight w:val="none"/>
          <w:lang w:val="en-US" w:eastAsia="zh-CN"/>
        </w:rPr>
        <w:fldChar w:fldCharType="separate"/>
      </w:r>
      <w:r>
        <w:rPr>
          <w:rFonts w:hint="eastAsia"/>
          <w:sz w:val="28"/>
          <w:szCs w:val="28"/>
          <w:lang w:val="en-US" w:eastAsia="zh-CN"/>
        </w:rPr>
        <w:t>第二</w:t>
      </w:r>
      <w:r>
        <w:rPr>
          <w:rFonts w:hint="eastAsia" w:eastAsia="宋体"/>
          <w:sz w:val="28"/>
          <w:szCs w:val="28"/>
          <w:lang w:val="en-US" w:eastAsia="zh-CN"/>
        </w:rPr>
        <w:t xml:space="preserve">章 </w:t>
      </w:r>
      <w:r>
        <w:rPr>
          <w:rFonts w:hint="eastAsia"/>
          <w:sz w:val="28"/>
          <w:szCs w:val="28"/>
          <w:lang w:val="en-US" w:eastAsia="zh-CN"/>
        </w:rPr>
        <w:t>项目</w:t>
      </w:r>
      <w:r>
        <w:rPr>
          <w:rFonts w:hint="eastAsia" w:eastAsia="宋体"/>
          <w:sz w:val="28"/>
          <w:szCs w:val="28"/>
          <w:lang w:val="en-US" w:eastAsia="zh-CN"/>
        </w:rPr>
        <w:t>需求</w:t>
      </w:r>
      <w:r>
        <w:rPr>
          <w:sz w:val="28"/>
          <w:szCs w:val="28"/>
        </w:rPr>
        <w:tab/>
      </w:r>
      <w:r>
        <w:rPr>
          <w:sz w:val="28"/>
          <w:szCs w:val="28"/>
        </w:rPr>
        <w:fldChar w:fldCharType="begin"/>
      </w:r>
      <w:r>
        <w:rPr>
          <w:sz w:val="28"/>
          <w:szCs w:val="28"/>
        </w:rPr>
        <w:instrText xml:space="preserve"> PAGEREF _Toc30074 \h </w:instrText>
      </w:r>
      <w:r>
        <w:rPr>
          <w:sz w:val="28"/>
          <w:szCs w:val="28"/>
        </w:rPr>
        <w:fldChar w:fldCharType="separate"/>
      </w:r>
      <w:r>
        <w:rPr>
          <w:sz w:val="28"/>
          <w:szCs w:val="28"/>
        </w:rPr>
        <w:t>6</w:t>
      </w:r>
      <w:r>
        <w:rPr>
          <w:sz w:val="28"/>
          <w:szCs w:val="28"/>
        </w:rPr>
        <w:fldChar w:fldCharType="end"/>
      </w:r>
      <w:r>
        <w:rPr>
          <w:rFonts w:hint="eastAsia" w:ascii="Times New Roman" w:hAnsi="Times New Roman" w:eastAsia="宋体" w:cs="Times New Roman"/>
          <w:sz w:val="28"/>
          <w:szCs w:val="28"/>
          <w:highlight w:val="none"/>
          <w:lang w:val="en-US" w:eastAsia="zh-CN"/>
        </w:rPr>
        <w:fldChar w:fldCharType="end"/>
      </w:r>
    </w:p>
    <w:p w14:paraId="5E0DA633">
      <w:pPr>
        <w:pStyle w:val="20"/>
        <w:tabs>
          <w:tab w:val="right" w:leader="dot" w:pos="8788"/>
        </w:tabs>
        <w:rPr>
          <w:sz w:val="28"/>
          <w:szCs w:val="28"/>
        </w:rPr>
      </w:pPr>
      <w:r>
        <w:rPr>
          <w:rFonts w:hint="eastAsia" w:ascii="Times New Roman" w:hAnsi="Times New Roman" w:eastAsia="宋体" w:cs="Times New Roman"/>
          <w:sz w:val="28"/>
          <w:szCs w:val="28"/>
          <w:highlight w:val="none"/>
          <w:lang w:val="en-US" w:eastAsia="zh-CN"/>
        </w:rPr>
        <w:fldChar w:fldCharType="begin"/>
      </w:r>
      <w:r>
        <w:rPr>
          <w:rFonts w:hint="eastAsia" w:ascii="Times New Roman" w:hAnsi="Times New Roman" w:eastAsia="宋体" w:cs="Times New Roman"/>
          <w:sz w:val="28"/>
          <w:szCs w:val="28"/>
          <w:highlight w:val="none"/>
          <w:lang w:val="en-US" w:eastAsia="zh-CN"/>
        </w:rPr>
        <w:instrText xml:space="preserve"> HYPERLINK \l _Toc18067 </w:instrText>
      </w:r>
      <w:r>
        <w:rPr>
          <w:rFonts w:hint="eastAsia" w:ascii="Times New Roman" w:hAnsi="Times New Roman" w:eastAsia="宋体" w:cs="Times New Roman"/>
          <w:sz w:val="28"/>
          <w:szCs w:val="28"/>
          <w:highlight w:val="none"/>
          <w:lang w:val="en-US" w:eastAsia="zh-CN"/>
        </w:rPr>
        <w:fldChar w:fldCharType="separate"/>
      </w:r>
      <w:r>
        <w:rPr>
          <w:rFonts w:hint="eastAsia" w:ascii="Times New Roman" w:hAnsi="Times New Roman" w:eastAsia="宋体" w:cs="Times New Roman"/>
          <w:sz w:val="28"/>
          <w:szCs w:val="28"/>
          <w:highlight w:val="none"/>
          <w:lang w:val="en-US" w:eastAsia="zh-CN"/>
        </w:rPr>
        <w:t>第三章 响应文件格式</w:t>
      </w:r>
      <w:r>
        <w:rPr>
          <w:sz w:val="28"/>
          <w:szCs w:val="28"/>
        </w:rPr>
        <w:tab/>
      </w:r>
      <w:r>
        <w:rPr>
          <w:sz w:val="28"/>
          <w:szCs w:val="28"/>
        </w:rPr>
        <w:fldChar w:fldCharType="begin"/>
      </w:r>
      <w:r>
        <w:rPr>
          <w:sz w:val="28"/>
          <w:szCs w:val="28"/>
        </w:rPr>
        <w:instrText xml:space="preserve"> PAGEREF _Toc18067 \h </w:instrText>
      </w:r>
      <w:r>
        <w:rPr>
          <w:sz w:val="28"/>
          <w:szCs w:val="28"/>
        </w:rPr>
        <w:fldChar w:fldCharType="separate"/>
      </w:r>
      <w:r>
        <w:rPr>
          <w:sz w:val="28"/>
          <w:szCs w:val="28"/>
        </w:rPr>
        <w:t>9</w:t>
      </w:r>
      <w:r>
        <w:rPr>
          <w:sz w:val="28"/>
          <w:szCs w:val="28"/>
        </w:rPr>
        <w:fldChar w:fldCharType="end"/>
      </w:r>
      <w:r>
        <w:rPr>
          <w:rFonts w:hint="eastAsia" w:ascii="Times New Roman" w:hAnsi="Times New Roman" w:eastAsia="宋体" w:cs="Times New Roman"/>
          <w:sz w:val="28"/>
          <w:szCs w:val="28"/>
          <w:highlight w:val="none"/>
          <w:lang w:val="en-US" w:eastAsia="zh-CN"/>
        </w:rPr>
        <w:fldChar w:fldCharType="end"/>
      </w:r>
    </w:p>
    <w:p w14:paraId="73BAD2EA">
      <w:pPr>
        <w:pStyle w:val="20"/>
        <w:tabs>
          <w:tab w:val="right" w:leader="dot" w:pos="8788"/>
        </w:tabs>
        <w:rPr>
          <w:sz w:val="28"/>
          <w:szCs w:val="28"/>
        </w:rPr>
      </w:pPr>
      <w:r>
        <w:rPr>
          <w:rFonts w:hint="eastAsia" w:ascii="Times New Roman" w:hAnsi="Times New Roman" w:eastAsia="宋体" w:cs="Times New Roman"/>
          <w:sz w:val="28"/>
          <w:szCs w:val="28"/>
          <w:highlight w:val="none"/>
          <w:lang w:val="en-US" w:eastAsia="zh-CN"/>
        </w:rPr>
        <w:fldChar w:fldCharType="begin"/>
      </w:r>
      <w:r>
        <w:rPr>
          <w:rFonts w:hint="eastAsia" w:ascii="Times New Roman" w:hAnsi="Times New Roman" w:eastAsia="宋体" w:cs="Times New Roman"/>
          <w:sz w:val="28"/>
          <w:szCs w:val="28"/>
          <w:highlight w:val="none"/>
          <w:lang w:val="en-US" w:eastAsia="zh-CN"/>
        </w:rPr>
        <w:instrText xml:space="preserve"> HYPERLINK \l _Toc22671 </w:instrText>
      </w:r>
      <w:r>
        <w:rPr>
          <w:rFonts w:hint="eastAsia" w:ascii="Times New Roman" w:hAnsi="Times New Roman" w:eastAsia="宋体" w:cs="Times New Roman"/>
          <w:sz w:val="28"/>
          <w:szCs w:val="28"/>
          <w:highlight w:val="none"/>
          <w:lang w:val="en-US" w:eastAsia="zh-CN"/>
        </w:rPr>
        <w:fldChar w:fldCharType="separate"/>
      </w:r>
      <w:r>
        <w:rPr>
          <w:rFonts w:hint="eastAsia" w:ascii="Times New Roman" w:hAnsi="Times New Roman" w:cs="Times New Roman"/>
          <w:sz w:val="28"/>
          <w:szCs w:val="28"/>
          <w:highlight w:val="none"/>
          <w:lang w:val="en-US" w:eastAsia="zh-CN"/>
        </w:rPr>
        <w:t>第</w:t>
      </w:r>
      <w:r>
        <w:rPr>
          <w:rFonts w:hint="eastAsia" w:cs="Times New Roman"/>
          <w:sz w:val="28"/>
          <w:szCs w:val="28"/>
          <w:highlight w:val="none"/>
          <w:lang w:val="en-US" w:eastAsia="zh-CN"/>
        </w:rPr>
        <w:t>四</w:t>
      </w:r>
      <w:r>
        <w:rPr>
          <w:rFonts w:hint="eastAsia" w:ascii="Times New Roman" w:hAnsi="Times New Roman" w:cs="Times New Roman"/>
          <w:sz w:val="28"/>
          <w:szCs w:val="28"/>
          <w:highlight w:val="none"/>
          <w:lang w:val="en-US" w:eastAsia="zh-CN"/>
        </w:rPr>
        <w:t>章 合同主要条款</w:t>
      </w:r>
      <w:r>
        <w:rPr>
          <w:sz w:val="28"/>
          <w:szCs w:val="28"/>
        </w:rPr>
        <w:tab/>
      </w:r>
      <w:r>
        <w:rPr>
          <w:sz w:val="28"/>
          <w:szCs w:val="28"/>
        </w:rPr>
        <w:fldChar w:fldCharType="begin"/>
      </w:r>
      <w:r>
        <w:rPr>
          <w:sz w:val="28"/>
          <w:szCs w:val="28"/>
        </w:rPr>
        <w:instrText xml:space="preserve"> PAGEREF _Toc22671 \h </w:instrText>
      </w:r>
      <w:r>
        <w:rPr>
          <w:sz w:val="28"/>
          <w:szCs w:val="28"/>
        </w:rPr>
        <w:fldChar w:fldCharType="separate"/>
      </w:r>
      <w:r>
        <w:rPr>
          <w:sz w:val="28"/>
          <w:szCs w:val="28"/>
        </w:rPr>
        <w:t>12</w:t>
      </w:r>
      <w:r>
        <w:rPr>
          <w:sz w:val="28"/>
          <w:szCs w:val="28"/>
        </w:rPr>
        <w:fldChar w:fldCharType="end"/>
      </w:r>
      <w:r>
        <w:rPr>
          <w:rFonts w:hint="eastAsia" w:ascii="Times New Roman" w:hAnsi="Times New Roman" w:eastAsia="宋体" w:cs="Times New Roman"/>
          <w:sz w:val="28"/>
          <w:szCs w:val="28"/>
          <w:highlight w:val="none"/>
          <w:lang w:val="en-US" w:eastAsia="zh-CN"/>
        </w:rPr>
        <w:fldChar w:fldCharType="end"/>
      </w:r>
    </w:p>
    <w:p w14:paraId="29AD163D">
      <w:pPr>
        <w:pStyle w:val="20"/>
        <w:tabs>
          <w:tab w:val="right" w:leader="dot" w:pos="8788"/>
        </w:tabs>
        <w:rPr>
          <w:rFonts w:hint="eastAsia" w:ascii="宋体" w:hAnsi="宋体" w:eastAsia="宋体" w:cs="宋体"/>
          <w:sz w:val="30"/>
          <w:szCs w:val="30"/>
        </w:rPr>
      </w:pPr>
      <w:r>
        <w:rPr>
          <w:rFonts w:hint="eastAsia" w:ascii="Times New Roman" w:hAnsi="Times New Roman" w:eastAsia="宋体" w:cs="Times New Roman"/>
          <w:sz w:val="28"/>
          <w:szCs w:val="28"/>
          <w:highlight w:val="none"/>
          <w:lang w:val="en-US" w:eastAsia="zh-CN"/>
        </w:rPr>
        <w:fldChar w:fldCharType="end"/>
      </w:r>
      <w:bookmarkStart w:id="0" w:name="_Toc9294"/>
      <w:bookmarkStart w:id="1" w:name="_Toc499576933"/>
    </w:p>
    <w:p w14:paraId="50AF129E">
      <w:pPr>
        <w:rPr>
          <w:rFonts w:hint="eastAsia" w:ascii="宋体" w:hAnsi="宋体" w:eastAsia="宋体" w:cs="宋体"/>
          <w:sz w:val="30"/>
          <w:szCs w:val="30"/>
        </w:rPr>
      </w:pPr>
      <w:r>
        <w:rPr>
          <w:rFonts w:hint="eastAsia" w:ascii="宋体" w:hAnsi="宋体" w:eastAsia="宋体" w:cs="宋体"/>
          <w:sz w:val="30"/>
          <w:szCs w:val="30"/>
        </w:rPr>
        <w:br w:type="page"/>
      </w:r>
    </w:p>
    <w:p w14:paraId="615365A3">
      <w:pPr>
        <w:pStyle w:val="3"/>
        <w:keepNext/>
        <w:keepLines/>
        <w:pageBreakBefore/>
        <w:widowControl w:val="0"/>
        <w:numPr>
          <w:ilvl w:val="0"/>
          <w:numId w:val="0"/>
        </w:numPr>
        <w:kinsoku/>
        <w:wordWrap/>
        <w:overflowPunct/>
        <w:topLinePunct w:val="0"/>
        <w:autoSpaceDE/>
        <w:autoSpaceDN/>
        <w:bidi w:val="0"/>
        <w:adjustRightInd/>
        <w:snapToGrid/>
        <w:spacing w:line="400" w:lineRule="exact"/>
        <w:ind w:leftChars="0"/>
        <w:jc w:val="center"/>
        <w:textAlignment w:val="auto"/>
        <w:outlineLvl w:val="0"/>
        <w:rPr>
          <w:rFonts w:hint="eastAsia" w:ascii="宋体" w:hAnsi="宋体" w:eastAsia="宋体" w:cs="Times New Roman"/>
          <w:szCs w:val="21"/>
          <w:lang w:val="en-US" w:eastAsia="zh-CN"/>
        </w:rPr>
      </w:pPr>
      <w:bookmarkStart w:id="2" w:name="_Toc17140"/>
      <w:r>
        <w:rPr>
          <w:rFonts w:hint="eastAsia"/>
          <w:sz w:val="36"/>
          <w:szCs w:val="36"/>
          <w:lang w:val="en-US" w:eastAsia="zh-CN"/>
        </w:rPr>
        <w:t>第一章</w:t>
      </w:r>
      <w:r>
        <w:rPr>
          <w:rFonts w:hint="eastAsia" w:eastAsia="宋体"/>
          <w:sz w:val="36"/>
          <w:szCs w:val="36"/>
          <w:lang w:val="en-US" w:eastAsia="zh-CN"/>
        </w:rPr>
        <w:t xml:space="preserve"> 采购公告</w:t>
      </w:r>
      <w:bookmarkEnd w:id="0"/>
      <w:bookmarkEnd w:id="1"/>
      <w:bookmarkEnd w:id="2"/>
    </w:p>
    <w:p w14:paraId="5650C92D">
      <w:pPr>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根据医院工作需要，现对检验科标准菌株采购项目进行</w:t>
      </w:r>
      <w:r>
        <w:rPr>
          <w:rFonts w:hint="eastAsia" w:ascii="宋体" w:hAnsi="宋体" w:cs="Times New Roman"/>
          <w:szCs w:val="21"/>
          <w:lang w:val="en-US" w:eastAsia="zh-CN"/>
        </w:rPr>
        <w:t>院内询价</w:t>
      </w:r>
      <w:r>
        <w:rPr>
          <w:rFonts w:hint="eastAsia" w:ascii="宋体" w:hAnsi="宋体" w:eastAsia="宋体" w:cs="Times New Roman"/>
          <w:szCs w:val="21"/>
          <w:lang w:val="en-US" w:eastAsia="zh-CN"/>
        </w:rPr>
        <w:t>采购，欢迎符合条件的供应商前来参加采购活动，有关事项公告如下：</w:t>
      </w:r>
    </w:p>
    <w:p w14:paraId="33994151">
      <w:pPr>
        <w:keepNext w:val="0"/>
        <w:keepLines w:val="0"/>
        <w:pageBreakBefore w:val="0"/>
        <w:widowControl w:val="0"/>
        <w:kinsoku/>
        <w:wordWrap/>
        <w:overflowPunct/>
        <w:topLinePunct w:val="0"/>
        <w:autoSpaceDE/>
        <w:autoSpaceDN/>
        <w:bidi w:val="0"/>
        <w:adjustRightInd/>
        <w:spacing w:line="400" w:lineRule="exact"/>
        <w:ind w:firstLine="422" w:firstLineChars="200"/>
        <w:jc w:val="left"/>
        <w:textAlignment w:val="auto"/>
        <w:rPr>
          <w:rFonts w:hint="eastAsia" w:ascii="宋体" w:hAnsi="宋体" w:eastAsia="宋体" w:cs="Times New Roman"/>
          <w:b/>
          <w:szCs w:val="21"/>
          <w:highlight w:val="none"/>
          <w:lang w:val="en-US" w:eastAsia="zh-CN"/>
        </w:rPr>
      </w:pPr>
      <w:r>
        <w:rPr>
          <w:rFonts w:hint="eastAsia" w:ascii="宋体" w:hAnsi="宋体" w:eastAsia="宋体" w:cs="Times New Roman"/>
          <w:b/>
          <w:szCs w:val="21"/>
          <w:highlight w:val="none"/>
          <w:lang w:val="en-US" w:eastAsia="zh-CN"/>
        </w:rPr>
        <w:t>一、项目基本情况</w:t>
      </w:r>
    </w:p>
    <w:p w14:paraId="7F2AE70D">
      <w:pPr>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1.项目名称：检验科标准菌株采购项目</w:t>
      </w:r>
    </w:p>
    <w:p w14:paraId="21F5BAD0">
      <w:pPr>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2.项目编号：GXSZ2026-014-JYB</w:t>
      </w:r>
    </w:p>
    <w:p w14:paraId="7C907703">
      <w:pPr>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hint="default" w:ascii="宋体" w:hAnsi="宋体" w:eastAsia="宋体" w:cs="Times New Roman"/>
          <w:szCs w:val="21"/>
          <w:lang w:val="en-US" w:eastAsia="zh-CN"/>
        </w:rPr>
      </w:pPr>
      <w:r>
        <w:rPr>
          <w:rFonts w:hint="eastAsia" w:ascii="宋体" w:hAnsi="宋体" w:eastAsia="宋体" w:cs="Times New Roman"/>
          <w:szCs w:val="21"/>
          <w:lang w:val="en-US" w:eastAsia="zh-CN"/>
        </w:rPr>
        <w:t>3.采购方式：</w:t>
      </w:r>
      <w:r>
        <w:rPr>
          <w:rFonts w:hint="eastAsia" w:ascii="宋体" w:hAnsi="宋体" w:cs="Times New Roman"/>
          <w:szCs w:val="21"/>
          <w:lang w:val="en-US" w:eastAsia="zh-CN"/>
        </w:rPr>
        <w:t>院内询价</w:t>
      </w:r>
    </w:p>
    <w:p w14:paraId="09318853">
      <w:pPr>
        <w:spacing w:line="400" w:lineRule="exact"/>
        <w:ind w:firstLine="420" w:firstLineChars="200"/>
        <w:rPr>
          <w:rFonts w:hint="eastAsia" w:ascii="宋体" w:hAnsi="宋体"/>
          <w:szCs w:val="21"/>
        </w:rPr>
      </w:pPr>
      <w:r>
        <w:rPr>
          <w:rFonts w:hint="eastAsia" w:ascii="宋体" w:hAnsi="宋体" w:eastAsia="宋体" w:cs="Times New Roman"/>
          <w:szCs w:val="21"/>
          <w:lang w:val="en-US" w:eastAsia="zh-CN"/>
        </w:rPr>
        <w:t xml:space="preserve">4.预算金额：人民币（大写）壹万贰仟元整 </w:t>
      </w:r>
      <w:r>
        <w:rPr>
          <w:rFonts w:hint="eastAsia" w:ascii="宋体" w:hAnsi="宋体"/>
          <w:szCs w:val="21"/>
        </w:rPr>
        <w:t xml:space="preserve"> </w:t>
      </w:r>
      <w:r>
        <w:rPr>
          <w:rFonts w:hint="eastAsia" w:ascii="宋体" w:hAnsi="宋体" w:eastAsia="宋体" w:cs="宋体"/>
          <w:sz w:val="21"/>
          <w:szCs w:val="21"/>
          <w:lang w:val="en-US" w:eastAsia="zh-CN"/>
        </w:rPr>
        <w:t>(¥12</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000.00)</w:t>
      </w:r>
    </w:p>
    <w:p w14:paraId="324FA741">
      <w:pPr>
        <w:spacing w:line="400" w:lineRule="exact"/>
        <w:ind w:firstLine="420" w:firstLineChars="200"/>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5.采购内容：详见</w:t>
      </w:r>
      <w:r>
        <w:rPr>
          <w:rFonts w:hint="eastAsia" w:ascii="宋体" w:hAnsi="宋体" w:cs="Times New Roman"/>
          <w:szCs w:val="21"/>
          <w:lang w:val="en-US" w:eastAsia="zh-CN"/>
        </w:rPr>
        <w:t>《采购项目需求》第二章内容。</w:t>
      </w:r>
    </w:p>
    <w:p w14:paraId="7DA9C303">
      <w:pPr>
        <w:numPr>
          <w:ilvl w:val="0"/>
          <w:numId w:val="0"/>
        </w:numPr>
        <w:spacing w:line="400" w:lineRule="exact"/>
        <w:ind w:firstLine="422" w:firstLineChars="200"/>
        <w:rPr>
          <w:rFonts w:hint="eastAsia" w:ascii="宋体" w:hAnsi="宋体" w:cs="宋体"/>
          <w:b/>
          <w:bCs/>
          <w:highlight w:val="none"/>
        </w:rPr>
      </w:pPr>
      <w:r>
        <w:rPr>
          <w:rFonts w:hint="eastAsia" w:ascii="宋体" w:hAnsi="宋体" w:cs="宋体"/>
          <w:b/>
          <w:bCs/>
          <w:highlight w:val="none"/>
        </w:rPr>
        <w:t>二、供应商的资格要求</w:t>
      </w:r>
    </w:p>
    <w:p w14:paraId="3BFB70C4">
      <w:pPr>
        <w:spacing w:line="400" w:lineRule="exact"/>
        <w:ind w:firstLine="420" w:firstLineChars="200"/>
        <w:rPr>
          <w:rFonts w:hint="eastAsia" w:ascii="宋体" w:hAnsi="宋体" w:eastAsia="宋体"/>
          <w:szCs w:val="21"/>
          <w:highlight w:val="none"/>
          <w:lang w:eastAsia="zh-CN"/>
        </w:rPr>
      </w:pPr>
      <w:r>
        <w:rPr>
          <w:rFonts w:hint="eastAsia" w:ascii="宋体" w:hAnsi="宋体"/>
          <w:szCs w:val="21"/>
          <w:highlight w:val="none"/>
        </w:rPr>
        <w:t>1.满足《中华人民共和国政府采购法》第二十二条规定</w:t>
      </w:r>
      <w:r>
        <w:rPr>
          <w:rFonts w:hint="eastAsia" w:ascii="宋体" w:hAnsi="宋体"/>
          <w:szCs w:val="21"/>
          <w:highlight w:val="none"/>
          <w:lang w:eastAsia="zh-CN"/>
        </w:rPr>
        <w:t>：</w:t>
      </w:r>
    </w:p>
    <w:p w14:paraId="348C1D4C">
      <w:pPr>
        <w:spacing w:line="400" w:lineRule="exact"/>
        <w:ind w:firstLine="420" w:firstLineChars="200"/>
        <w:rPr>
          <w:rFonts w:hint="eastAsia" w:ascii="宋体" w:hAnsi="宋体"/>
          <w:szCs w:val="21"/>
          <w:highlight w:val="none"/>
        </w:rPr>
      </w:pPr>
      <w:r>
        <w:rPr>
          <w:rFonts w:hint="eastAsia" w:ascii="宋体" w:hAnsi="宋体"/>
          <w:szCs w:val="21"/>
          <w:highlight w:val="none"/>
        </w:rPr>
        <w:t>（1）具有独立承担民事责任的能力；</w:t>
      </w:r>
    </w:p>
    <w:p w14:paraId="243C48A0">
      <w:pPr>
        <w:spacing w:line="400" w:lineRule="exact"/>
        <w:ind w:firstLine="420" w:firstLineChars="200"/>
        <w:rPr>
          <w:rFonts w:hint="eastAsia" w:ascii="宋体" w:hAnsi="宋体"/>
          <w:szCs w:val="21"/>
          <w:highlight w:val="none"/>
        </w:rPr>
      </w:pPr>
      <w:r>
        <w:rPr>
          <w:rFonts w:hint="eastAsia" w:ascii="宋体" w:hAnsi="宋体"/>
          <w:szCs w:val="21"/>
          <w:highlight w:val="none"/>
        </w:rPr>
        <w:t>（2）具有良好的商业信誉和健全的财务会计制度；</w:t>
      </w:r>
    </w:p>
    <w:p w14:paraId="1DCB4FAE">
      <w:pPr>
        <w:spacing w:line="400" w:lineRule="exact"/>
        <w:ind w:firstLine="420" w:firstLineChars="200"/>
        <w:rPr>
          <w:rFonts w:hint="eastAsia" w:ascii="宋体" w:hAnsi="宋体"/>
          <w:szCs w:val="21"/>
          <w:highlight w:val="none"/>
        </w:rPr>
      </w:pPr>
      <w:r>
        <w:rPr>
          <w:rFonts w:hint="eastAsia" w:ascii="宋体" w:hAnsi="宋体"/>
          <w:szCs w:val="21"/>
          <w:highlight w:val="none"/>
        </w:rPr>
        <w:t>（3）具有履行合同所必需的设备和专业技术能力；</w:t>
      </w:r>
    </w:p>
    <w:p w14:paraId="707F2453">
      <w:pPr>
        <w:spacing w:line="400" w:lineRule="exact"/>
        <w:ind w:firstLine="420" w:firstLineChars="200"/>
        <w:rPr>
          <w:rFonts w:hint="eastAsia" w:ascii="宋体" w:hAnsi="宋体"/>
          <w:szCs w:val="21"/>
          <w:highlight w:val="none"/>
        </w:rPr>
      </w:pPr>
      <w:r>
        <w:rPr>
          <w:rFonts w:hint="eastAsia" w:ascii="宋体" w:hAnsi="宋体"/>
          <w:szCs w:val="21"/>
          <w:highlight w:val="none"/>
        </w:rPr>
        <w:t>（4）有依法缴纳税收和社会保障资金的良好记录；</w:t>
      </w:r>
    </w:p>
    <w:p w14:paraId="495AE131">
      <w:pPr>
        <w:spacing w:line="400" w:lineRule="exact"/>
        <w:ind w:firstLine="420" w:firstLineChars="200"/>
        <w:rPr>
          <w:rFonts w:hint="eastAsia" w:ascii="宋体" w:hAnsi="宋体"/>
          <w:szCs w:val="21"/>
          <w:highlight w:val="none"/>
        </w:rPr>
      </w:pPr>
      <w:r>
        <w:rPr>
          <w:rFonts w:hint="eastAsia" w:ascii="宋体" w:hAnsi="宋体"/>
          <w:szCs w:val="21"/>
          <w:highlight w:val="none"/>
        </w:rPr>
        <w:t xml:space="preserve">（5）参加本次采购活动前三年内，在经营活动中没有重大违法记录； </w:t>
      </w:r>
    </w:p>
    <w:p w14:paraId="24155F74">
      <w:pPr>
        <w:spacing w:line="400" w:lineRule="exact"/>
        <w:ind w:firstLine="420" w:firstLineChars="200"/>
        <w:rPr>
          <w:rFonts w:hint="eastAsia" w:ascii="宋体" w:hAnsi="宋体"/>
          <w:szCs w:val="21"/>
          <w:highlight w:val="none"/>
        </w:rPr>
      </w:pPr>
      <w:r>
        <w:rPr>
          <w:rFonts w:hint="eastAsia" w:ascii="宋体" w:hAnsi="宋体"/>
          <w:szCs w:val="21"/>
          <w:highlight w:val="none"/>
        </w:rPr>
        <w:t>（6）法律、行政法规规定的其他条件。</w:t>
      </w:r>
    </w:p>
    <w:p w14:paraId="7D7D654E">
      <w:pPr>
        <w:spacing w:line="400" w:lineRule="exact"/>
        <w:ind w:firstLine="420" w:firstLineChars="200"/>
        <w:rPr>
          <w:rFonts w:hint="eastAsia" w:ascii="宋体" w:hAnsi="宋体" w:cs="Arial"/>
          <w:szCs w:val="21"/>
          <w:highlight w:val="none"/>
        </w:rPr>
      </w:pPr>
      <w:r>
        <w:rPr>
          <w:rFonts w:hint="eastAsia" w:ascii="宋体" w:hAnsi="宋体" w:cs="Arial"/>
          <w:szCs w:val="21"/>
          <w:highlight w:val="none"/>
        </w:rPr>
        <w:t>2.国内注册（指按工商管理有关规定要求核准登记的）依法取得营业执照，经营范围达到本次采购需求的供应商。</w:t>
      </w:r>
    </w:p>
    <w:p w14:paraId="31CE0FAB">
      <w:pPr>
        <w:spacing w:line="400" w:lineRule="exact"/>
        <w:ind w:firstLine="420" w:firstLineChars="200"/>
        <w:rPr>
          <w:rFonts w:hint="eastAsia" w:ascii="宋体" w:hAnsi="宋体" w:cs="Arial"/>
          <w:szCs w:val="21"/>
          <w:highlight w:val="none"/>
          <w:lang w:val="en-US" w:eastAsia="zh-CN"/>
        </w:rPr>
      </w:pPr>
      <w:r>
        <w:rPr>
          <w:rFonts w:hint="eastAsia" w:ascii="宋体" w:hAnsi="宋体" w:cs="Arial"/>
          <w:szCs w:val="21"/>
          <w:highlight w:val="none"/>
          <w:lang w:val="en-US" w:eastAsia="zh-CN"/>
        </w:rPr>
        <w:t>3.本项目的特定资格要求：无。</w:t>
      </w:r>
    </w:p>
    <w:p w14:paraId="12DB9DC4">
      <w:pPr>
        <w:spacing w:line="400" w:lineRule="exact"/>
        <w:ind w:firstLine="420" w:firstLineChars="200"/>
        <w:rPr>
          <w:rFonts w:hint="default" w:ascii="宋体" w:hAnsi="宋体" w:eastAsia="宋体" w:cs="Arial"/>
          <w:szCs w:val="21"/>
          <w:highlight w:val="none"/>
          <w:lang w:val="en-US" w:eastAsia="zh-CN"/>
        </w:rPr>
      </w:pPr>
      <w:r>
        <w:rPr>
          <w:rFonts w:hint="eastAsia" w:ascii="宋体" w:hAnsi="宋体" w:eastAsia="宋体" w:cs="Arial"/>
          <w:szCs w:val="21"/>
          <w:highlight w:val="none"/>
          <w:lang w:val="en-US" w:eastAsia="zh-CN"/>
        </w:rPr>
        <w:t>4.本项目不允许外包、分包、转包，不接受联合体供应商参与本项目采购活动。</w:t>
      </w:r>
    </w:p>
    <w:p w14:paraId="14296CF5">
      <w:pPr>
        <w:numPr>
          <w:ilvl w:val="0"/>
          <w:numId w:val="0"/>
        </w:numPr>
        <w:spacing w:line="400" w:lineRule="exact"/>
        <w:ind w:firstLine="422" w:firstLineChars="200"/>
        <w:rPr>
          <w:rFonts w:hint="eastAsia" w:ascii="宋体" w:hAnsi="宋体" w:cs="宋体"/>
          <w:b/>
          <w:bCs/>
          <w:color w:val="auto"/>
          <w:highlight w:val="none"/>
        </w:rPr>
      </w:pPr>
      <w:r>
        <w:rPr>
          <w:rFonts w:hint="eastAsia" w:ascii="宋体" w:hAnsi="宋体" w:cs="宋体"/>
          <w:b/>
          <w:bCs/>
          <w:color w:val="auto"/>
          <w:highlight w:val="none"/>
          <w:lang w:val="en-US" w:eastAsia="zh-CN"/>
        </w:rPr>
        <w:t>三、</w:t>
      </w:r>
      <w:r>
        <w:rPr>
          <w:rFonts w:hint="eastAsia" w:ascii="宋体" w:hAnsi="宋体" w:cs="宋体"/>
          <w:b/>
          <w:bCs/>
          <w:color w:val="auto"/>
          <w:highlight w:val="none"/>
        </w:rPr>
        <w:t>报名所需资料</w:t>
      </w:r>
    </w:p>
    <w:p w14:paraId="4FAEC39D">
      <w:pPr>
        <w:spacing w:line="400" w:lineRule="exact"/>
        <w:ind w:firstLine="420" w:firstLineChars="200"/>
        <w:rPr>
          <w:rFonts w:hint="eastAsia" w:ascii="宋体" w:hAnsi="宋体" w:cs="Arial"/>
          <w:color w:val="auto"/>
          <w:szCs w:val="21"/>
          <w:highlight w:val="none"/>
        </w:rPr>
      </w:pPr>
      <w:r>
        <w:rPr>
          <w:rFonts w:hint="eastAsia" w:ascii="宋体" w:hAnsi="宋体" w:cs="Arial"/>
          <w:color w:val="auto"/>
          <w:szCs w:val="21"/>
          <w:highlight w:val="none"/>
          <w:lang w:val="en-US" w:eastAsia="zh-CN"/>
        </w:rPr>
        <w:t>1.</w:t>
      </w:r>
      <w:r>
        <w:rPr>
          <w:rFonts w:hint="eastAsia" w:ascii="宋体" w:hAnsi="宋体" w:cs="Arial"/>
          <w:color w:val="auto"/>
          <w:szCs w:val="21"/>
          <w:highlight w:val="none"/>
        </w:rPr>
        <w:t>响应文件</w:t>
      </w:r>
      <w:r>
        <w:rPr>
          <w:rFonts w:hint="eastAsia" w:ascii="宋体" w:hAnsi="宋体" w:cs="Arial"/>
          <w:color w:val="auto"/>
          <w:szCs w:val="21"/>
          <w:highlight w:val="none"/>
          <w:lang w:eastAsia="zh-CN"/>
        </w:rPr>
        <w:t>：</w:t>
      </w:r>
      <w:r>
        <w:rPr>
          <w:rFonts w:hint="eastAsia" w:ascii="宋体" w:hAnsi="宋体" w:cs="Arial"/>
          <w:color w:val="auto"/>
          <w:szCs w:val="21"/>
          <w:highlight w:val="none"/>
          <w:lang w:val="en-US" w:eastAsia="zh-CN"/>
        </w:rPr>
        <w:t>详见</w:t>
      </w:r>
      <w:r>
        <w:rPr>
          <w:rFonts w:hint="eastAsia" w:ascii="宋体" w:hAnsi="宋体" w:cs="Times New Roman"/>
          <w:szCs w:val="21"/>
          <w:lang w:val="en-US" w:eastAsia="zh-CN"/>
        </w:rPr>
        <w:t>《采购项目需求》第三章内容。</w:t>
      </w:r>
    </w:p>
    <w:p w14:paraId="4EBF62FE">
      <w:pPr>
        <w:spacing w:line="400" w:lineRule="exact"/>
        <w:ind w:firstLine="420" w:firstLineChars="200"/>
        <w:rPr>
          <w:rFonts w:hint="default" w:ascii="宋体" w:hAnsi="宋体" w:cs="Arial"/>
          <w:szCs w:val="21"/>
          <w:highlight w:val="none"/>
          <w:lang w:val="en-US" w:eastAsia="zh-CN"/>
        </w:rPr>
      </w:pPr>
      <w:r>
        <w:rPr>
          <w:rFonts w:hint="eastAsia" w:ascii="宋体" w:hAnsi="宋体" w:cs="Arial"/>
          <w:color w:val="auto"/>
          <w:szCs w:val="21"/>
          <w:highlight w:val="none"/>
          <w:lang w:val="en-US" w:eastAsia="zh-CN"/>
        </w:rPr>
        <w:t>2.报名表：详见《采购项目需求》的第一章《采购项目报名表》，</w:t>
      </w:r>
      <w:r>
        <w:rPr>
          <w:rFonts w:hint="eastAsia" w:ascii="宋体" w:hAnsi="宋体" w:cs="Arial"/>
          <w:szCs w:val="21"/>
          <w:highlight w:val="none"/>
        </w:rPr>
        <w:t>本表不需要密封，签字盖章后</w:t>
      </w:r>
      <w:r>
        <w:rPr>
          <w:rFonts w:hint="eastAsia" w:ascii="宋体" w:hAnsi="宋体" w:cs="Arial"/>
          <w:szCs w:val="21"/>
          <w:highlight w:val="none"/>
          <w:lang w:val="en-US" w:eastAsia="zh-CN"/>
        </w:rPr>
        <w:t>生效</w:t>
      </w:r>
      <w:r>
        <w:rPr>
          <w:rFonts w:hint="eastAsia" w:ascii="宋体" w:hAnsi="宋体" w:cs="Arial"/>
          <w:szCs w:val="21"/>
          <w:highlight w:val="none"/>
        </w:rPr>
        <w:t>。</w:t>
      </w:r>
    </w:p>
    <w:p w14:paraId="2157028E">
      <w:pPr>
        <w:spacing w:line="400" w:lineRule="exact"/>
        <w:ind w:firstLine="422" w:firstLineChars="200"/>
        <w:rPr>
          <w:rFonts w:hint="eastAsia" w:ascii="宋体" w:hAnsi="宋体"/>
          <w:b/>
          <w:szCs w:val="21"/>
          <w:highlight w:val="none"/>
        </w:rPr>
      </w:pPr>
      <w:r>
        <w:rPr>
          <w:rFonts w:hint="eastAsia" w:ascii="宋体" w:hAnsi="宋体"/>
          <w:b/>
          <w:szCs w:val="21"/>
          <w:highlight w:val="none"/>
          <w:lang w:val="en-US" w:eastAsia="zh-CN"/>
        </w:rPr>
        <w:t>四</w:t>
      </w:r>
      <w:r>
        <w:rPr>
          <w:rFonts w:hint="eastAsia" w:ascii="宋体" w:hAnsi="宋体"/>
          <w:b/>
          <w:szCs w:val="21"/>
          <w:highlight w:val="none"/>
        </w:rPr>
        <w:t>、响应文件递交截止时间和地点</w:t>
      </w:r>
    </w:p>
    <w:p w14:paraId="7E6F8A4A">
      <w:pPr>
        <w:snapToGrid w:val="0"/>
        <w:spacing w:line="400" w:lineRule="exact"/>
        <w:ind w:firstLine="420" w:firstLineChars="200"/>
        <w:rPr>
          <w:rFonts w:ascii="宋体" w:hAnsi="宋体"/>
          <w:szCs w:val="21"/>
          <w:highlight w:val="none"/>
        </w:rPr>
      </w:pPr>
      <w:r>
        <w:rPr>
          <w:rFonts w:hint="eastAsia" w:ascii="宋体" w:hAnsi="宋体"/>
          <w:szCs w:val="21"/>
          <w:highlight w:val="none"/>
        </w:rPr>
        <w:t>1.</w:t>
      </w:r>
      <w:r>
        <w:rPr>
          <w:rFonts w:hint="eastAsia" w:ascii="宋体" w:hAnsi="宋体"/>
          <w:szCs w:val="21"/>
          <w:highlight w:val="none"/>
          <w:lang w:val="en-US" w:eastAsia="zh-CN"/>
        </w:rPr>
        <w:t>递交时间</w:t>
      </w:r>
      <w:r>
        <w:rPr>
          <w:rFonts w:hint="eastAsia" w:ascii="宋体" w:hAnsi="宋体"/>
          <w:szCs w:val="21"/>
          <w:highlight w:val="none"/>
        </w:rPr>
        <w:t>：2026年</w:t>
      </w:r>
      <w:r>
        <w:rPr>
          <w:rFonts w:hint="eastAsia" w:ascii="宋体" w:hAnsi="宋体"/>
          <w:szCs w:val="21"/>
          <w:highlight w:val="yellow"/>
          <w:lang w:val="en-US" w:eastAsia="zh-CN"/>
        </w:rPr>
        <w:t xml:space="preserve"> </w:t>
      </w:r>
      <w:r>
        <w:rPr>
          <w:rFonts w:hint="eastAsia" w:ascii="宋体" w:hAnsi="宋体"/>
          <w:szCs w:val="21"/>
          <w:highlight w:val="yellow"/>
        </w:rPr>
        <w:t>月</w:t>
      </w:r>
      <w:r>
        <w:rPr>
          <w:rFonts w:hint="eastAsia" w:ascii="宋体" w:hAnsi="宋体"/>
          <w:szCs w:val="21"/>
          <w:highlight w:val="yellow"/>
          <w:lang w:val="en-US" w:eastAsia="zh-CN"/>
        </w:rPr>
        <w:t xml:space="preserve"> </w:t>
      </w:r>
      <w:r>
        <w:rPr>
          <w:rFonts w:hint="eastAsia" w:ascii="宋体" w:hAnsi="宋体"/>
          <w:szCs w:val="21"/>
          <w:highlight w:val="yellow"/>
        </w:rPr>
        <w:t>日</w:t>
      </w:r>
      <w:r>
        <w:rPr>
          <w:rFonts w:hint="eastAsia" w:ascii="宋体" w:hAnsi="宋体"/>
          <w:szCs w:val="21"/>
          <w:highlight w:val="none"/>
        </w:rPr>
        <w:t>至2026年</w:t>
      </w:r>
      <w:r>
        <w:rPr>
          <w:rFonts w:hint="eastAsia" w:ascii="宋体" w:hAnsi="宋体"/>
          <w:szCs w:val="21"/>
          <w:highlight w:val="none"/>
          <w:lang w:val="en-US" w:eastAsia="zh-CN"/>
        </w:rPr>
        <w:t xml:space="preserve"> </w:t>
      </w:r>
      <w:r>
        <w:rPr>
          <w:rFonts w:hint="eastAsia" w:ascii="宋体" w:hAnsi="宋体"/>
          <w:szCs w:val="21"/>
          <w:highlight w:val="yellow"/>
        </w:rPr>
        <w:t>月</w:t>
      </w:r>
      <w:r>
        <w:rPr>
          <w:rFonts w:hint="eastAsia" w:ascii="宋体" w:hAnsi="宋体"/>
          <w:szCs w:val="21"/>
          <w:highlight w:val="yellow"/>
          <w:lang w:val="en-US" w:eastAsia="zh-CN"/>
        </w:rPr>
        <w:t xml:space="preserve"> </w:t>
      </w:r>
      <w:r>
        <w:rPr>
          <w:rFonts w:hint="eastAsia" w:ascii="宋体" w:hAnsi="宋体"/>
          <w:szCs w:val="21"/>
          <w:highlight w:val="yellow"/>
        </w:rPr>
        <w:t>日</w:t>
      </w:r>
      <w:r>
        <w:rPr>
          <w:rFonts w:hint="eastAsia" w:ascii="宋体" w:hAnsi="宋体"/>
          <w:szCs w:val="21"/>
          <w:highlight w:val="none"/>
        </w:rPr>
        <w:t>（北京时间，正常上班时间：上午8:00-12:00，下午13:30-16:30，双休日和法定节假日不办理业务）</w:t>
      </w:r>
    </w:p>
    <w:p w14:paraId="5D8FA86E">
      <w:pPr>
        <w:snapToGrid w:val="0"/>
        <w:spacing w:line="400" w:lineRule="exact"/>
        <w:ind w:firstLine="420" w:firstLineChars="200"/>
        <w:rPr>
          <w:rFonts w:hint="eastAsia" w:ascii="宋体" w:hAnsi="宋体" w:cs="Arial"/>
          <w:szCs w:val="21"/>
          <w:highlight w:val="none"/>
        </w:rPr>
      </w:pPr>
      <w:r>
        <w:rPr>
          <w:rFonts w:hint="eastAsia" w:ascii="宋体" w:hAnsi="宋体"/>
          <w:szCs w:val="21"/>
          <w:highlight w:val="none"/>
        </w:rPr>
        <w:t>2.递交地点：</w:t>
      </w:r>
      <w:r>
        <w:rPr>
          <w:rFonts w:hint="eastAsia" w:ascii="宋体" w:hAnsi="宋体"/>
          <w:szCs w:val="21"/>
          <w:highlight w:val="none"/>
          <w:lang w:val="en-US" w:eastAsia="zh-CN"/>
        </w:rPr>
        <w:t>广西</w:t>
      </w:r>
      <w:r>
        <w:rPr>
          <w:rFonts w:hint="eastAsia" w:ascii="宋体" w:hAnsi="宋体" w:cs="Arial"/>
          <w:szCs w:val="21"/>
          <w:highlight w:val="none"/>
        </w:rPr>
        <w:t>南宁市青秀区青环路85号宇浩国际A座8楼招标采购办公室。</w:t>
      </w:r>
    </w:p>
    <w:p w14:paraId="606B47EA">
      <w:pPr>
        <w:spacing w:line="400" w:lineRule="exact"/>
        <w:ind w:firstLine="422" w:firstLineChars="200"/>
        <w:rPr>
          <w:rFonts w:hint="default" w:ascii="宋体" w:hAnsi="宋体" w:eastAsia="宋体"/>
          <w:b/>
          <w:bCs/>
          <w:szCs w:val="21"/>
          <w:highlight w:val="none"/>
          <w:lang w:val="en-US" w:eastAsia="zh-CN"/>
        </w:rPr>
      </w:pPr>
      <w:r>
        <w:rPr>
          <w:rFonts w:hint="eastAsia" w:ascii="宋体" w:hAnsi="宋体"/>
          <w:b/>
          <w:szCs w:val="21"/>
          <w:highlight w:val="none"/>
        </w:rPr>
        <w:t>※3</w:t>
      </w:r>
      <w:r>
        <w:rPr>
          <w:rFonts w:ascii="宋体" w:hAnsi="宋体"/>
          <w:b/>
          <w:szCs w:val="21"/>
          <w:highlight w:val="none"/>
        </w:rPr>
        <w:t>.</w:t>
      </w:r>
      <w:r>
        <w:rPr>
          <w:rFonts w:hint="eastAsia" w:ascii="宋体" w:hAnsi="宋体" w:eastAsia="宋体" w:cs="Times New Roman"/>
          <w:b/>
          <w:szCs w:val="21"/>
          <w:highlight w:val="none"/>
        </w:rPr>
        <w:t>特别说明：（1）供应商所提交的材料须加盖单位公章方为有效；（2）《采购项目报名表》不需要密封，随同响应文件统一递交；（</w:t>
      </w:r>
      <w:r>
        <w:rPr>
          <w:rFonts w:hint="eastAsia" w:ascii="宋体" w:hAnsi="宋体" w:cs="Times New Roman"/>
          <w:b/>
          <w:szCs w:val="21"/>
          <w:highlight w:val="none"/>
          <w:lang w:val="en-US" w:eastAsia="zh-CN"/>
        </w:rPr>
        <w:t>3</w:t>
      </w:r>
      <w:r>
        <w:rPr>
          <w:rFonts w:hint="eastAsia" w:ascii="宋体" w:hAnsi="宋体" w:eastAsia="宋体" w:cs="Times New Roman"/>
          <w:b/>
          <w:szCs w:val="21"/>
          <w:highlight w:val="none"/>
        </w:rPr>
        <w:t>）响应文件密封有效，采用现场递交方式送达，未按要求密封、逾时送达的，采购人将予以拒收；（</w:t>
      </w:r>
      <w:r>
        <w:rPr>
          <w:rFonts w:hint="eastAsia" w:ascii="宋体" w:hAnsi="宋体" w:cs="Times New Roman"/>
          <w:b/>
          <w:szCs w:val="21"/>
          <w:highlight w:val="none"/>
          <w:lang w:val="en-US" w:eastAsia="zh-CN"/>
        </w:rPr>
        <w:t>4</w:t>
      </w:r>
      <w:r>
        <w:rPr>
          <w:rFonts w:hint="eastAsia" w:ascii="宋体" w:hAnsi="宋体" w:eastAsia="宋体" w:cs="Times New Roman"/>
          <w:b/>
          <w:szCs w:val="21"/>
          <w:highlight w:val="none"/>
        </w:rPr>
        <w:t>）询价时间由采购人另行电话通知。</w:t>
      </w:r>
    </w:p>
    <w:p w14:paraId="5FA6C7C3">
      <w:pPr>
        <w:spacing w:line="400" w:lineRule="exact"/>
        <w:ind w:firstLine="422" w:firstLineChars="200"/>
        <w:rPr>
          <w:rFonts w:hint="eastAsia" w:ascii="宋体" w:hAnsi="宋体"/>
          <w:b/>
          <w:szCs w:val="21"/>
          <w:highlight w:val="none"/>
        </w:rPr>
      </w:pPr>
      <w:r>
        <w:rPr>
          <w:rFonts w:hint="eastAsia" w:ascii="宋体" w:hAnsi="宋体"/>
          <w:b/>
          <w:szCs w:val="21"/>
          <w:highlight w:val="none"/>
          <w:lang w:val="en-US" w:eastAsia="zh-CN"/>
        </w:rPr>
        <w:t>五</w:t>
      </w:r>
      <w:r>
        <w:rPr>
          <w:rFonts w:hint="eastAsia" w:ascii="宋体" w:hAnsi="宋体"/>
          <w:b/>
          <w:szCs w:val="21"/>
          <w:highlight w:val="none"/>
        </w:rPr>
        <w:t>、联系事项</w:t>
      </w:r>
    </w:p>
    <w:p w14:paraId="643CC4F9">
      <w:pPr>
        <w:snapToGrid w:val="0"/>
        <w:spacing w:line="400" w:lineRule="exact"/>
        <w:ind w:firstLine="420" w:firstLineChars="200"/>
        <w:rPr>
          <w:rFonts w:hint="eastAsia" w:ascii="宋体" w:hAnsi="宋体" w:cs="Arial"/>
          <w:szCs w:val="21"/>
          <w:highlight w:val="none"/>
        </w:rPr>
      </w:pPr>
      <w:r>
        <w:rPr>
          <w:rFonts w:hint="eastAsia" w:ascii="宋体" w:hAnsi="宋体" w:cs="Arial"/>
          <w:szCs w:val="21"/>
          <w:highlight w:val="none"/>
        </w:rPr>
        <w:t>1.采购人：广西壮族自治区生殖医院</w:t>
      </w:r>
    </w:p>
    <w:p w14:paraId="7B793649">
      <w:pPr>
        <w:snapToGrid w:val="0"/>
        <w:spacing w:line="400" w:lineRule="exact"/>
        <w:ind w:firstLine="420" w:firstLineChars="200"/>
        <w:rPr>
          <w:rFonts w:hint="eastAsia" w:ascii="宋体" w:hAnsi="宋体"/>
          <w:color w:val="000000"/>
          <w:szCs w:val="21"/>
          <w:highlight w:val="none"/>
        </w:rPr>
      </w:pPr>
      <w:r>
        <w:rPr>
          <w:rFonts w:hint="eastAsia" w:ascii="宋体" w:hAnsi="宋体" w:cs="Arial"/>
          <w:szCs w:val="21"/>
          <w:highlight w:val="none"/>
        </w:rPr>
        <w:t>2.联系人：</w:t>
      </w:r>
      <w:r>
        <w:rPr>
          <w:rFonts w:hint="eastAsia" w:ascii="宋体" w:hAnsi="宋体" w:cs="Arial"/>
          <w:szCs w:val="21"/>
          <w:highlight w:val="none"/>
          <w:lang w:val="en-US" w:eastAsia="zh-CN"/>
        </w:rPr>
        <w:t>尹</w:t>
      </w:r>
      <w:r>
        <w:rPr>
          <w:rFonts w:hint="eastAsia" w:ascii="宋体" w:hAnsi="宋体" w:cs="Arial"/>
          <w:szCs w:val="21"/>
          <w:highlight w:val="none"/>
        </w:rPr>
        <w:t>老师（招标采购办公室）、</w:t>
      </w:r>
      <w:r>
        <w:rPr>
          <w:rFonts w:hint="eastAsia" w:ascii="宋体" w:hAnsi="宋体" w:cs="Arial"/>
          <w:szCs w:val="21"/>
          <w:highlight w:val="none"/>
          <w:lang w:val="en-US" w:eastAsia="zh-CN"/>
        </w:rPr>
        <w:t>刘</w:t>
      </w:r>
      <w:r>
        <w:rPr>
          <w:rFonts w:hint="eastAsia" w:ascii="宋体" w:hAnsi="宋体" w:cs="Arial"/>
          <w:szCs w:val="21"/>
          <w:highlight w:val="none"/>
        </w:rPr>
        <w:t>老师（监察室）</w:t>
      </w:r>
    </w:p>
    <w:p w14:paraId="33EBE036">
      <w:pPr>
        <w:snapToGrid w:val="0"/>
        <w:spacing w:line="400" w:lineRule="exact"/>
        <w:ind w:firstLine="420" w:firstLineChars="200"/>
        <w:rPr>
          <w:rFonts w:hint="eastAsia" w:ascii="宋体" w:hAnsi="宋体" w:cs="Arial"/>
          <w:szCs w:val="21"/>
          <w:highlight w:val="none"/>
        </w:rPr>
      </w:pPr>
      <w:r>
        <w:rPr>
          <w:rFonts w:hint="eastAsia" w:ascii="宋体" w:hAnsi="宋体" w:cs="Arial"/>
          <w:szCs w:val="21"/>
          <w:highlight w:val="none"/>
        </w:rPr>
        <w:t>3.联系电话：0771-2239975（招标采购办公室）、2239681（监察室）</w:t>
      </w:r>
    </w:p>
    <w:p w14:paraId="1AEC5C53">
      <w:pPr>
        <w:spacing w:line="400" w:lineRule="exact"/>
        <w:ind w:firstLine="422" w:firstLineChars="200"/>
        <w:rPr>
          <w:rFonts w:hint="eastAsia" w:ascii="宋体" w:hAnsi="宋体"/>
          <w:b/>
          <w:szCs w:val="21"/>
          <w:highlight w:val="none"/>
        </w:rPr>
      </w:pPr>
      <w:r>
        <w:rPr>
          <w:rFonts w:hint="eastAsia" w:ascii="宋体" w:hAnsi="宋体"/>
          <w:b/>
          <w:szCs w:val="21"/>
          <w:highlight w:val="none"/>
          <w:lang w:val="en-US" w:eastAsia="zh-CN"/>
        </w:rPr>
        <w:t>六</w:t>
      </w:r>
      <w:r>
        <w:rPr>
          <w:rFonts w:hint="eastAsia" w:ascii="宋体" w:hAnsi="宋体"/>
          <w:b/>
          <w:szCs w:val="21"/>
          <w:highlight w:val="none"/>
        </w:rPr>
        <w:t>、网上公告媒体查询</w:t>
      </w:r>
    </w:p>
    <w:p w14:paraId="6FC3DA40">
      <w:pPr>
        <w:snapToGrid w:val="0"/>
        <w:spacing w:line="400" w:lineRule="exact"/>
        <w:ind w:firstLine="420" w:firstLineChars="200"/>
        <w:rPr>
          <w:rFonts w:hint="eastAsia" w:ascii="宋体" w:hAnsi="宋体" w:cs="Arial"/>
          <w:szCs w:val="21"/>
          <w:highlight w:val="none"/>
        </w:rPr>
      </w:pPr>
      <w:r>
        <w:rPr>
          <w:rFonts w:hint="eastAsia" w:ascii="宋体" w:hAnsi="宋体" w:cs="Arial"/>
          <w:szCs w:val="21"/>
          <w:highlight w:val="none"/>
        </w:rPr>
        <w:fldChar w:fldCharType="begin"/>
      </w:r>
      <w:r>
        <w:rPr>
          <w:rFonts w:hint="eastAsia" w:ascii="宋体" w:hAnsi="宋体" w:cs="Arial"/>
          <w:szCs w:val="21"/>
          <w:highlight w:val="none"/>
        </w:rPr>
        <w:instrText xml:space="preserve"> HYPERLINK "http://www.gxszjk.com/index.html" </w:instrText>
      </w:r>
      <w:r>
        <w:rPr>
          <w:rFonts w:hint="eastAsia" w:ascii="宋体" w:hAnsi="宋体" w:cs="Arial"/>
          <w:szCs w:val="21"/>
          <w:highlight w:val="none"/>
        </w:rPr>
        <w:fldChar w:fldCharType="separate"/>
      </w:r>
      <w:r>
        <w:rPr>
          <w:rFonts w:hint="eastAsia" w:ascii="宋体" w:hAnsi="宋体" w:cs="Arial"/>
          <w:szCs w:val="21"/>
          <w:highlight w:val="none"/>
        </w:rPr>
        <w:t>www.gxszyy.cn</w:t>
      </w:r>
      <w:r>
        <w:rPr>
          <w:rFonts w:hint="eastAsia" w:ascii="宋体" w:hAnsi="宋体" w:cs="Arial"/>
          <w:szCs w:val="21"/>
          <w:highlight w:val="none"/>
        </w:rPr>
        <w:fldChar w:fldCharType="end"/>
      </w:r>
      <w:r>
        <w:rPr>
          <w:rFonts w:hint="eastAsia" w:ascii="宋体" w:hAnsi="宋体" w:cs="Arial"/>
          <w:szCs w:val="21"/>
          <w:highlight w:val="none"/>
        </w:rPr>
        <w:t>（广西壮族自治区生殖医院）</w:t>
      </w:r>
    </w:p>
    <w:p w14:paraId="720805E0">
      <w:pPr>
        <w:pStyle w:val="18"/>
        <w:spacing w:line="400" w:lineRule="exact"/>
        <w:rPr>
          <w:rFonts w:hint="eastAsia" w:ascii="宋体" w:hAnsi="宋体" w:cs="Arial"/>
          <w:szCs w:val="21"/>
          <w:highlight w:val="none"/>
        </w:rPr>
      </w:pPr>
    </w:p>
    <w:p w14:paraId="5323CDE0">
      <w:pPr>
        <w:widowControl/>
        <w:adjustRightInd w:val="0"/>
        <w:snapToGrid w:val="0"/>
        <w:spacing w:line="400" w:lineRule="exact"/>
        <w:ind w:firstLine="6300" w:firstLineChars="3000"/>
        <w:jc w:val="right"/>
        <w:rPr>
          <w:rFonts w:ascii="宋体" w:hAnsi="宋体"/>
          <w:szCs w:val="21"/>
          <w:highlight w:val="none"/>
        </w:rPr>
      </w:pPr>
      <w:r>
        <w:rPr>
          <w:rFonts w:hint="eastAsia" w:ascii="宋体" w:hAnsi="宋体"/>
          <w:szCs w:val="21"/>
          <w:highlight w:val="none"/>
        </w:rPr>
        <w:t>广西壮族自治区生殖医院</w:t>
      </w:r>
    </w:p>
    <w:p w14:paraId="27F40787">
      <w:pPr>
        <w:widowControl/>
        <w:adjustRightInd w:val="0"/>
        <w:snapToGrid w:val="0"/>
        <w:spacing w:line="400" w:lineRule="exact"/>
        <w:ind w:firstLine="6300" w:firstLineChars="3000"/>
        <w:jc w:val="center"/>
        <w:rPr>
          <w:rFonts w:hint="eastAsia" w:ascii="宋体" w:hAnsi="宋体"/>
          <w:szCs w:val="21"/>
          <w:highlight w:val="yellow"/>
        </w:rPr>
      </w:pPr>
      <w:r>
        <w:rPr>
          <w:rFonts w:hint="eastAsia" w:ascii="宋体" w:hAnsi="宋体"/>
          <w:szCs w:val="21"/>
          <w:highlight w:val="none"/>
        </w:rPr>
        <w:t xml:space="preserve">   2026年</w:t>
      </w:r>
      <w:r>
        <w:rPr>
          <w:rFonts w:hint="eastAsia" w:ascii="宋体" w:hAnsi="宋体"/>
          <w:szCs w:val="21"/>
          <w:highlight w:val="yellow"/>
          <w:lang w:val="en-US" w:eastAsia="zh-CN"/>
        </w:rPr>
        <w:t xml:space="preserve"> </w:t>
      </w:r>
      <w:r>
        <w:rPr>
          <w:rFonts w:hint="eastAsia" w:ascii="宋体" w:hAnsi="宋体"/>
          <w:szCs w:val="21"/>
          <w:highlight w:val="yellow"/>
        </w:rPr>
        <w:t>月</w:t>
      </w:r>
      <w:r>
        <w:rPr>
          <w:rFonts w:hint="eastAsia" w:ascii="宋体" w:hAnsi="宋体"/>
          <w:szCs w:val="21"/>
          <w:highlight w:val="yellow"/>
          <w:lang w:val="en-US" w:eastAsia="zh-CN"/>
        </w:rPr>
        <w:t xml:space="preserve"> </w:t>
      </w:r>
      <w:r>
        <w:rPr>
          <w:rFonts w:hint="eastAsia" w:ascii="宋体" w:hAnsi="宋体"/>
          <w:szCs w:val="21"/>
          <w:highlight w:val="yellow"/>
        </w:rPr>
        <w:t>日</w:t>
      </w:r>
    </w:p>
    <w:p w14:paraId="7E2E5FBD">
      <w:pPr>
        <w:rPr>
          <w:rFonts w:hint="eastAsia" w:ascii="宋体" w:hAnsi="宋体"/>
          <w:szCs w:val="21"/>
          <w:highlight w:val="yellow"/>
        </w:rPr>
      </w:pPr>
      <w:r>
        <w:rPr>
          <w:rFonts w:hint="eastAsia" w:ascii="宋体" w:hAnsi="宋体"/>
          <w:szCs w:val="21"/>
          <w:highlight w:val="yellow"/>
        </w:rPr>
        <w:br w:type="page"/>
      </w:r>
    </w:p>
    <w:p w14:paraId="53354CF8">
      <w:pPr>
        <w:tabs>
          <w:tab w:val="left" w:pos="2520"/>
        </w:tabs>
        <w:jc w:val="center"/>
        <w:rPr>
          <w:rFonts w:hint="eastAsia" w:ascii="宋体" w:hAnsi="宋体" w:cs="宋体"/>
          <w:b/>
          <w:sz w:val="44"/>
          <w:szCs w:val="44"/>
          <w:lang w:val="en-US" w:eastAsia="zh-CN"/>
        </w:rPr>
      </w:pPr>
      <w:r>
        <w:rPr>
          <w:rFonts w:hint="eastAsia" w:ascii="宋体" w:hAnsi="宋体" w:cs="宋体"/>
          <w:b/>
          <w:sz w:val="44"/>
          <w:szCs w:val="44"/>
          <w:lang w:val="en-US" w:eastAsia="zh-CN"/>
        </w:rPr>
        <w:t>广西壮族自治区生殖医院</w:t>
      </w:r>
    </w:p>
    <w:p w14:paraId="0E3BF17D">
      <w:pPr>
        <w:keepNext w:val="0"/>
        <w:keepLines w:val="0"/>
        <w:pageBreakBefore w:val="0"/>
        <w:widowControl w:val="0"/>
        <w:tabs>
          <w:tab w:val="left" w:pos="2520"/>
        </w:tabs>
        <w:kinsoku/>
        <w:wordWrap/>
        <w:overflowPunct/>
        <w:topLinePunct w:val="0"/>
        <w:autoSpaceDE/>
        <w:autoSpaceDN/>
        <w:bidi w:val="0"/>
        <w:adjustRightInd/>
        <w:snapToGrid/>
        <w:jc w:val="center"/>
        <w:textAlignment w:val="auto"/>
        <w:rPr>
          <w:rFonts w:ascii="宋体" w:hAnsi="宋体" w:cs="宋体"/>
          <w:b/>
          <w:sz w:val="44"/>
          <w:szCs w:val="44"/>
        </w:rPr>
      </w:pPr>
      <w:r>
        <w:rPr>
          <w:rFonts w:hint="eastAsia" w:ascii="宋体" w:hAnsi="宋体" w:cs="宋体"/>
          <w:b/>
          <w:sz w:val="44"/>
          <w:szCs w:val="44"/>
          <w:lang w:val="en-US" w:eastAsia="zh-CN"/>
        </w:rPr>
        <w:t>采购项目</w:t>
      </w:r>
      <w:r>
        <w:rPr>
          <w:rFonts w:hint="eastAsia" w:ascii="宋体" w:hAnsi="宋体" w:cs="宋体"/>
          <w:b/>
          <w:sz w:val="44"/>
          <w:szCs w:val="44"/>
        </w:rPr>
        <w:t>报名表</w:t>
      </w:r>
    </w:p>
    <w:tbl>
      <w:tblPr>
        <w:tblStyle w:val="29"/>
        <w:tblW w:w="5000" w:type="pct"/>
        <w:jc w:val="center"/>
        <w:tblBorders>
          <w:top w:val="thinThickSmallGap" w:color="auto" w:sz="12" w:space="0"/>
          <w:left w:val="thinThickSmallGap" w:color="auto" w:sz="12" w:space="0"/>
          <w:bottom w:val="thinThickSmallGap" w:color="auto" w:sz="12" w:space="0"/>
          <w:right w:val="thinThickSmallGap"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9004"/>
      </w:tblGrid>
      <w:tr w14:paraId="03C84B69">
        <w:tblPrEx>
          <w:tblBorders>
            <w:top w:val="thinThickSmallGap" w:color="auto" w:sz="12" w:space="0"/>
            <w:left w:val="thinThickSmallGap" w:color="auto" w:sz="12" w:space="0"/>
            <w:bottom w:val="thinThickSmallGap" w:color="auto" w:sz="12" w:space="0"/>
            <w:right w:val="thinThickSmallGap" w:color="auto" w:sz="12" w:space="0"/>
            <w:insideH w:val="single" w:color="auto" w:sz="4" w:space="0"/>
            <w:insideV w:val="single" w:color="auto" w:sz="4" w:space="0"/>
          </w:tblBorders>
          <w:tblCellMar>
            <w:top w:w="0" w:type="dxa"/>
            <w:left w:w="108" w:type="dxa"/>
            <w:bottom w:w="0" w:type="dxa"/>
            <w:right w:w="108" w:type="dxa"/>
          </w:tblCellMar>
        </w:tblPrEx>
        <w:trPr>
          <w:trHeight w:val="1065" w:hRule="atLeast"/>
          <w:jc w:val="center"/>
        </w:trPr>
        <w:tc>
          <w:tcPr>
            <w:tcW w:w="5000" w:type="pct"/>
            <w:vAlign w:val="center"/>
          </w:tcPr>
          <w:p w14:paraId="6AD37A66">
            <w:pPr>
              <w:pStyle w:val="5"/>
              <w:widowControl/>
              <w:spacing w:beforeAutospacing="0" w:afterAutospacing="0" w:line="480" w:lineRule="auto"/>
              <w:textAlignment w:val="baseline"/>
              <w:rPr>
                <w:rFonts w:hint="eastAsia" w:ascii="仿宋" w:hAnsi="仿宋" w:eastAsia="仿宋" w:cs="仿宋"/>
                <w:b w:val="0"/>
                <w:bCs w:val="0"/>
                <w:kern w:val="2"/>
                <w:sz w:val="28"/>
                <w:szCs w:val="28"/>
                <w:lang w:val="en-US" w:eastAsia="zh-CN" w:bidi="ar-SA"/>
              </w:rPr>
            </w:pPr>
            <w:bookmarkStart w:id="3" w:name="_Toc22895"/>
            <w:r>
              <w:rPr>
                <w:rFonts w:ascii="仿宋" w:hAnsi="仿宋" w:eastAsia="仿宋" w:cs="仿宋"/>
                <w:b w:val="0"/>
                <w:bCs w:val="0"/>
                <w:kern w:val="2"/>
                <w:sz w:val="28"/>
                <w:szCs w:val="28"/>
              </w:rPr>
              <w:t>项目名称</w:t>
            </w:r>
            <w:r>
              <w:rPr>
                <w:rFonts w:hint="eastAsia" w:ascii="仿宋" w:hAnsi="仿宋" w:eastAsia="仿宋" w:cs="仿宋"/>
                <w:b w:val="0"/>
                <w:bCs w:val="0"/>
                <w:kern w:val="2"/>
                <w:sz w:val="28"/>
                <w:szCs w:val="28"/>
                <w:lang w:val="en-US" w:eastAsia="zh-CN" w:bidi="ar-SA"/>
              </w:rPr>
              <w:t>：</w:t>
            </w:r>
            <w:bookmarkEnd w:id="3"/>
            <w:r>
              <w:rPr>
                <w:rFonts w:hint="eastAsia" w:ascii="仿宋" w:hAnsi="仿宋" w:eastAsia="仿宋" w:cs="仿宋"/>
                <w:b w:val="0"/>
                <w:bCs w:val="0"/>
                <w:kern w:val="2"/>
                <w:sz w:val="28"/>
                <w:szCs w:val="28"/>
                <w:lang w:val="en-US" w:eastAsia="zh-CN" w:bidi="ar-SA"/>
              </w:rPr>
              <w:t>检验科标准菌株采购项目</w:t>
            </w:r>
          </w:p>
          <w:p w14:paraId="3C5289AE">
            <w:pPr>
              <w:adjustRightInd w:val="0"/>
              <w:snapToGrid w:val="0"/>
              <w:spacing w:line="480" w:lineRule="auto"/>
              <w:jc w:val="left"/>
              <w:rPr>
                <w:rFonts w:hint="default"/>
                <w:sz w:val="28"/>
                <w:szCs w:val="28"/>
              </w:rPr>
            </w:pPr>
            <w:r>
              <w:rPr>
                <w:rFonts w:hint="eastAsia" w:ascii="仿宋" w:hAnsi="仿宋" w:eastAsia="仿宋" w:cs="仿宋"/>
                <w:sz w:val="28"/>
                <w:szCs w:val="28"/>
                <w:lang w:val="en-US" w:eastAsia="zh-CN"/>
              </w:rPr>
              <w:t>项目编号：GXSZ2026-014-JYB</w:t>
            </w:r>
          </w:p>
        </w:tc>
      </w:tr>
      <w:tr w14:paraId="2791E3CF">
        <w:tblPrEx>
          <w:tblBorders>
            <w:top w:val="thinThickSmallGap" w:color="auto" w:sz="12" w:space="0"/>
            <w:left w:val="thinThickSmallGap" w:color="auto" w:sz="12" w:space="0"/>
            <w:bottom w:val="thinThickSmallGap" w:color="auto" w:sz="12" w:space="0"/>
            <w:right w:val="thinThickSmallGap" w:color="auto" w:sz="12" w:space="0"/>
            <w:insideH w:val="single" w:color="auto" w:sz="4" w:space="0"/>
            <w:insideV w:val="single" w:color="auto" w:sz="4" w:space="0"/>
          </w:tblBorders>
          <w:tblCellMar>
            <w:top w:w="0" w:type="dxa"/>
            <w:left w:w="108" w:type="dxa"/>
            <w:bottom w:w="0" w:type="dxa"/>
            <w:right w:w="108" w:type="dxa"/>
          </w:tblCellMar>
        </w:tblPrEx>
        <w:trPr>
          <w:trHeight w:val="5608" w:hRule="atLeast"/>
          <w:jc w:val="center"/>
        </w:trPr>
        <w:tc>
          <w:tcPr>
            <w:tcW w:w="5000" w:type="pct"/>
            <w:vAlign w:val="center"/>
          </w:tcPr>
          <w:p w14:paraId="14DE68FF">
            <w:pPr>
              <w:spacing w:line="480" w:lineRule="auto"/>
              <w:ind w:firstLine="560" w:firstLineChars="200"/>
              <w:rPr>
                <w:rFonts w:hint="default"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本单位确认参加</w:t>
            </w:r>
            <w:r>
              <w:rPr>
                <w:rFonts w:hint="eastAsia" w:ascii="仿宋" w:hAnsi="仿宋" w:eastAsia="仿宋" w:cs="仿宋"/>
                <w:b/>
                <w:bCs/>
                <w:kern w:val="2"/>
                <w:sz w:val="28"/>
                <w:szCs w:val="28"/>
                <w:u w:val="single"/>
                <w:lang w:val="en-US" w:eastAsia="zh-CN" w:bidi="ar-SA"/>
              </w:rPr>
              <w:t>检验科标准菌株采购项目</w:t>
            </w:r>
            <w:r>
              <w:rPr>
                <w:rFonts w:hint="eastAsia" w:ascii="仿宋" w:hAnsi="仿宋" w:eastAsia="仿宋" w:cs="仿宋"/>
                <w:b w:val="0"/>
                <w:bCs w:val="0"/>
                <w:kern w:val="2"/>
                <w:sz w:val="28"/>
                <w:szCs w:val="28"/>
                <w:lang w:val="en-US" w:eastAsia="zh-CN" w:bidi="ar-SA"/>
              </w:rPr>
              <w:t>院内询价采购活动。</w:t>
            </w:r>
          </w:p>
          <w:p w14:paraId="7392FAA8">
            <w:pPr>
              <w:spacing w:line="480" w:lineRule="auto"/>
              <w:rPr>
                <w:rFonts w:hint="eastAsia" w:ascii="仿宋" w:hAnsi="仿宋" w:eastAsia="仿宋" w:cs="仿宋"/>
                <w:sz w:val="28"/>
                <w:szCs w:val="28"/>
              </w:rPr>
            </w:pPr>
          </w:p>
          <w:p w14:paraId="5229A42D">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仿宋" w:hAnsi="仿宋" w:eastAsia="仿宋" w:cs="仿宋"/>
                <w:sz w:val="28"/>
                <w:szCs w:val="28"/>
              </w:rPr>
            </w:pPr>
            <w:r>
              <w:rPr>
                <w:rFonts w:hint="eastAsia" w:ascii="仿宋" w:hAnsi="仿宋" w:eastAsia="仿宋" w:cs="仿宋"/>
                <w:sz w:val="28"/>
                <w:szCs w:val="28"/>
              </w:rPr>
              <w:t>联系人</w:t>
            </w:r>
            <w:r>
              <w:rPr>
                <w:rFonts w:hint="eastAsia" w:ascii="仿宋" w:hAnsi="仿宋" w:eastAsia="仿宋" w:cs="仿宋"/>
                <w:sz w:val="28"/>
                <w:szCs w:val="28"/>
                <w:lang w:val="en-US" w:eastAsia="zh-CN"/>
              </w:rPr>
              <w:t>姓名</w:t>
            </w:r>
            <w:r>
              <w:rPr>
                <w:rFonts w:hint="eastAsia" w:ascii="仿宋" w:hAnsi="仿宋" w:eastAsia="仿宋" w:cs="仿宋"/>
                <w:sz w:val="28"/>
                <w:szCs w:val="28"/>
              </w:rPr>
              <w:t>：</w:t>
            </w:r>
          </w:p>
          <w:p w14:paraId="64645C70">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仿宋" w:hAnsi="仿宋" w:eastAsia="仿宋" w:cs="仿宋"/>
                <w:sz w:val="28"/>
                <w:szCs w:val="28"/>
                <w:lang w:val="en-US" w:eastAsia="zh-CN"/>
              </w:rPr>
            </w:pPr>
          </w:p>
          <w:p w14:paraId="5F715898">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仿宋" w:hAnsi="仿宋" w:eastAsia="仿宋" w:cs="仿宋"/>
                <w:sz w:val="28"/>
                <w:szCs w:val="28"/>
              </w:rPr>
            </w:pPr>
            <w:r>
              <w:rPr>
                <w:rFonts w:hint="eastAsia" w:ascii="仿宋" w:hAnsi="仿宋" w:eastAsia="仿宋" w:cs="仿宋"/>
                <w:sz w:val="28"/>
                <w:szCs w:val="28"/>
              </w:rPr>
              <w:t>联系人</w:t>
            </w:r>
            <w:r>
              <w:rPr>
                <w:rFonts w:hint="eastAsia" w:ascii="仿宋" w:hAnsi="仿宋" w:eastAsia="仿宋" w:cs="仿宋"/>
                <w:sz w:val="28"/>
                <w:szCs w:val="28"/>
                <w:lang w:val="en-US" w:eastAsia="zh-CN"/>
              </w:rPr>
              <w:t>电话</w:t>
            </w:r>
            <w:r>
              <w:rPr>
                <w:rFonts w:hint="eastAsia" w:ascii="仿宋" w:hAnsi="仿宋" w:eastAsia="仿宋" w:cs="仿宋"/>
                <w:sz w:val="28"/>
                <w:szCs w:val="28"/>
              </w:rPr>
              <w:t>：</w:t>
            </w:r>
          </w:p>
          <w:p w14:paraId="3E7474CB">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仿宋" w:hAnsi="仿宋" w:eastAsia="仿宋" w:cs="仿宋"/>
                <w:b w:val="0"/>
                <w:bCs w:val="0"/>
                <w:kern w:val="2"/>
                <w:sz w:val="28"/>
                <w:szCs w:val="28"/>
                <w:lang w:val="en-US" w:eastAsia="zh-CN" w:bidi="ar-SA"/>
              </w:rPr>
            </w:pPr>
          </w:p>
          <w:p w14:paraId="539A6558">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仿宋" w:hAnsi="仿宋" w:eastAsia="仿宋" w:cs="仿宋"/>
                <w:sz w:val="28"/>
                <w:szCs w:val="28"/>
              </w:rPr>
            </w:pPr>
            <w:r>
              <w:rPr>
                <w:rFonts w:hint="eastAsia" w:ascii="仿宋" w:hAnsi="仿宋" w:eastAsia="仿宋" w:cs="仿宋"/>
                <w:b w:val="0"/>
                <w:bCs w:val="0"/>
                <w:kern w:val="2"/>
                <w:sz w:val="28"/>
                <w:szCs w:val="28"/>
                <w:lang w:val="en-US" w:eastAsia="zh-CN" w:bidi="ar-SA"/>
              </w:rPr>
              <w:t>电子邮箱：</w:t>
            </w:r>
          </w:p>
          <w:p w14:paraId="12659765">
            <w:pPr>
              <w:spacing w:line="480" w:lineRule="auto"/>
              <w:rPr>
                <w:rFonts w:hint="eastAsia" w:ascii="仿宋" w:hAnsi="仿宋" w:eastAsia="仿宋" w:cs="仿宋"/>
                <w:b w:val="0"/>
                <w:bCs w:val="0"/>
                <w:kern w:val="2"/>
                <w:sz w:val="28"/>
                <w:szCs w:val="28"/>
                <w:lang w:val="en-US" w:eastAsia="zh-CN" w:bidi="ar-SA"/>
              </w:rPr>
            </w:pPr>
          </w:p>
          <w:p w14:paraId="6AC17DEA">
            <w:pPr>
              <w:spacing w:line="480" w:lineRule="auto"/>
              <w:rPr>
                <w:rFonts w:hint="eastAsia" w:ascii="仿宋" w:hAnsi="仿宋" w:eastAsia="仿宋" w:cs="仿宋"/>
                <w:sz w:val="28"/>
                <w:szCs w:val="28"/>
                <w:lang w:val="en-US" w:eastAsia="zh-CN"/>
              </w:rPr>
            </w:pPr>
            <w:r>
              <w:rPr>
                <w:rFonts w:hint="eastAsia" w:ascii="仿宋" w:hAnsi="仿宋" w:eastAsia="仿宋" w:cs="仿宋"/>
                <w:b w:val="0"/>
                <w:bCs w:val="0"/>
                <w:kern w:val="2"/>
                <w:sz w:val="28"/>
                <w:szCs w:val="28"/>
                <w:lang w:val="en-US" w:eastAsia="zh-CN" w:bidi="ar-SA"/>
              </w:rPr>
              <w:t>联系地址：</w:t>
            </w:r>
            <w:r>
              <w:rPr>
                <w:rFonts w:hint="eastAsia" w:ascii="仿宋" w:hAnsi="仿宋" w:eastAsia="仿宋" w:cs="仿宋"/>
                <w:sz w:val="28"/>
                <w:szCs w:val="28"/>
                <w:lang w:val="en-US" w:eastAsia="zh-CN"/>
              </w:rPr>
              <w:t xml:space="preserve">  </w:t>
            </w:r>
          </w:p>
          <w:p w14:paraId="349D84F1">
            <w:pPr>
              <w:spacing w:line="480" w:lineRule="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 xml:space="preserve">            </w:t>
            </w:r>
          </w:p>
        </w:tc>
      </w:tr>
      <w:tr w14:paraId="47FD8C07">
        <w:tblPrEx>
          <w:tblBorders>
            <w:top w:val="thinThickSmallGap" w:color="auto" w:sz="12" w:space="0"/>
            <w:left w:val="thinThickSmallGap" w:color="auto" w:sz="12" w:space="0"/>
            <w:bottom w:val="thinThickSmallGap" w:color="auto" w:sz="12" w:space="0"/>
            <w:right w:val="thinThickSmallGap" w:color="auto" w:sz="12" w:space="0"/>
            <w:insideH w:val="single" w:color="auto" w:sz="4" w:space="0"/>
            <w:insideV w:val="single" w:color="auto" w:sz="4" w:space="0"/>
          </w:tblBorders>
          <w:tblCellMar>
            <w:top w:w="0" w:type="dxa"/>
            <w:left w:w="108" w:type="dxa"/>
            <w:bottom w:w="0" w:type="dxa"/>
            <w:right w:w="108" w:type="dxa"/>
          </w:tblCellMar>
        </w:tblPrEx>
        <w:trPr>
          <w:trHeight w:val="3469" w:hRule="atLeast"/>
          <w:jc w:val="center"/>
        </w:trPr>
        <w:tc>
          <w:tcPr>
            <w:tcW w:w="5000" w:type="pct"/>
            <w:vAlign w:val="center"/>
          </w:tcPr>
          <w:p w14:paraId="37B5D6B9">
            <w:pPr>
              <w:spacing w:line="480" w:lineRule="auto"/>
              <w:rPr>
                <w:rFonts w:hint="eastAsia" w:ascii="仿宋" w:hAnsi="仿宋" w:eastAsia="仿宋" w:cs="仿宋"/>
                <w:b w:val="0"/>
                <w:bCs w:val="0"/>
                <w:kern w:val="2"/>
                <w:sz w:val="28"/>
                <w:szCs w:val="28"/>
                <w:lang w:val="en-US" w:eastAsia="zh-CN" w:bidi="ar-SA"/>
              </w:rPr>
            </w:pPr>
          </w:p>
          <w:p w14:paraId="039BBDA5">
            <w:pPr>
              <w:spacing w:line="480" w:lineRule="auto"/>
              <w:rPr>
                <w:rFonts w:hint="eastAsia"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法定代表人（签字）：</w:t>
            </w:r>
          </w:p>
          <w:p w14:paraId="46B44673">
            <w:pPr>
              <w:spacing w:line="480" w:lineRule="auto"/>
              <w:ind w:left="6440" w:hanging="6440" w:hangingChars="2300"/>
              <w:rPr>
                <w:rFonts w:hint="eastAsia" w:ascii="仿宋" w:hAnsi="仿宋" w:eastAsia="仿宋" w:cs="仿宋"/>
                <w:b w:val="0"/>
                <w:bCs w:val="0"/>
                <w:kern w:val="2"/>
                <w:sz w:val="28"/>
                <w:szCs w:val="28"/>
                <w:lang w:val="en-US" w:eastAsia="zh-CN" w:bidi="ar-SA"/>
              </w:rPr>
            </w:pPr>
          </w:p>
          <w:p w14:paraId="61A66584">
            <w:pPr>
              <w:spacing w:line="480" w:lineRule="auto"/>
              <w:ind w:left="6440" w:hanging="6440" w:hangingChars="2300"/>
              <w:rPr>
                <w:rFonts w:hint="eastAsia" w:ascii="仿宋" w:hAnsi="仿宋" w:eastAsia="仿宋" w:cs="仿宋"/>
                <w:sz w:val="28"/>
                <w:szCs w:val="28"/>
                <w:lang w:val="en-US" w:eastAsia="zh-CN"/>
              </w:rPr>
            </w:pPr>
            <w:r>
              <w:rPr>
                <w:rFonts w:hint="eastAsia" w:ascii="仿宋" w:hAnsi="仿宋" w:eastAsia="仿宋" w:cs="仿宋"/>
                <w:b w:val="0"/>
                <w:bCs w:val="0"/>
                <w:kern w:val="2"/>
                <w:sz w:val="28"/>
                <w:szCs w:val="28"/>
                <w:lang w:val="en-US" w:eastAsia="zh-CN" w:bidi="ar-SA"/>
              </w:rPr>
              <w:t>供应商单位名称（盖公章）：</w:t>
            </w:r>
          </w:p>
          <w:p w14:paraId="41FEB404">
            <w:pPr>
              <w:spacing w:line="480" w:lineRule="auto"/>
              <w:rPr>
                <w:rFonts w:hint="eastAsia" w:ascii="仿宋" w:hAnsi="仿宋" w:eastAsia="仿宋" w:cs="仿宋"/>
                <w:sz w:val="28"/>
                <w:szCs w:val="28"/>
                <w:lang w:val="en-US" w:eastAsia="zh-CN"/>
              </w:rPr>
            </w:pPr>
          </w:p>
          <w:p w14:paraId="19068098">
            <w:pPr>
              <w:spacing w:line="480" w:lineRule="auto"/>
              <w:jc w:val="right"/>
              <w:rPr>
                <w:rFonts w:ascii="仿宋" w:hAnsi="仿宋" w:eastAsia="仿宋" w:cs="仿宋"/>
                <w:sz w:val="28"/>
                <w:szCs w:val="28"/>
              </w:rPr>
            </w:pPr>
            <w:r>
              <w:rPr>
                <w:rFonts w:hint="eastAsia" w:ascii="仿宋" w:hAnsi="仿宋" w:eastAsia="仿宋" w:cs="仿宋"/>
                <w:sz w:val="28"/>
                <w:szCs w:val="28"/>
                <w:lang w:val="en-US" w:eastAsia="zh-CN"/>
              </w:rPr>
              <w:t>报名</w:t>
            </w:r>
            <w:r>
              <w:rPr>
                <w:rFonts w:hint="eastAsia" w:ascii="仿宋" w:hAnsi="仿宋" w:eastAsia="仿宋" w:cs="仿宋"/>
                <w:sz w:val="28"/>
                <w:szCs w:val="28"/>
              </w:rPr>
              <w:t>日期</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年</w:t>
            </w:r>
            <w:r>
              <w:rPr>
                <w:rFonts w:hint="eastAsia" w:ascii="仿宋" w:hAnsi="仿宋" w:eastAsia="仿宋" w:cs="仿宋"/>
                <w:sz w:val="28"/>
                <w:szCs w:val="28"/>
                <w:lang w:val="en-US" w:eastAsia="zh-CN"/>
              </w:rPr>
              <w:t xml:space="preserve">    月    </w:t>
            </w:r>
            <w:r>
              <w:rPr>
                <w:rFonts w:hint="eastAsia" w:ascii="仿宋" w:hAnsi="仿宋" w:eastAsia="仿宋" w:cs="仿宋"/>
                <w:sz w:val="28"/>
                <w:szCs w:val="28"/>
              </w:rPr>
              <w:t>日</w:t>
            </w:r>
          </w:p>
        </w:tc>
      </w:tr>
    </w:tbl>
    <w:p w14:paraId="3E47B887">
      <w:pPr>
        <w:pStyle w:val="3"/>
        <w:keepNext/>
        <w:keepLines/>
        <w:pageBreakBefore/>
        <w:widowControl w:val="0"/>
        <w:numPr>
          <w:ilvl w:val="0"/>
          <w:numId w:val="0"/>
        </w:numPr>
        <w:kinsoku/>
        <w:wordWrap/>
        <w:overflowPunct/>
        <w:topLinePunct w:val="0"/>
        <w:autoSpaceDE/>
        <w:autoSpaceDN/>
        <w:bidi w:val="0"/>
        <w:adjustRightInd/>
        <w:snapToGrid/>
        <w:spacing w:line="400" w:lineRule="exact"/>
        <w:ind w:leftChars="0"/>
        <w:jc w:val="center"/>
        <w:textAlignment w:val="auto"/>
        <w:outlineLvl w:val="0"/>
        <w:rPr>
          <w:rFonts w:hint="eastAsia" w:eastAsia="宋体"/>
          <w:sz w:val="36"/>
          <w:szCs w:val="36"/>
          <w:lang w:val="en-US" w:eastAsia="zh-CN"/>
        </w:rPr>
      </w:pPr>
      <w:bookmarkStart w:id="4" w:name="_Toc30074"/>
      <w:r>
        <w:rPr>
          <w:rFonts w:hint="eastAsia"/>
          <w:sz w:val="36"/>
          <w:szCs w:val="36"/>
          <w:lang w:val="en-US" w:eastAsia="zh-CN"/>
        </w:rPr>
        <w:t>第二</w:t>
      </w:r>
      <w:r>
        <w:rPr>
          <w:rFonts w:hint="eastAsia" w:eastAsia="宋体"/>
          <w:sz w:val="36"/>
          <w:szCs w:val="36"/>
          <w:lang w:val="en-US" w:eastAsia="zh-CN"/>
        </w:rPr>
        <w:t xml:space="preserve">章 </w:t>
      </w:r>
      <w:r>
        <w:rPr>
          <w:rFonts w:hint="eastAsia"/>
          <w:sz w:val="36"/>
          <w:szCs w:val="36"/>
          <w:lang w:val="en-US" w:eastAsia="zh-CN"/>
        </w:rPr>
        <w:t>项目</w:t>
      </w:r>
      <w:r>
        <w:rPr>
          <w:rFonts w:hint="eastAsia" w:eastAsia="宋体"/>
          <w:sz w:val="36"/>
          <w:szCs w:val="36"/>
          <w:lang w:val="en-US" w:eastAsia="zh-CN"/>
        </w:rPr>
        <w:t>需求</w:t>
      </w:r>
      <w:bookmarkEnd w:id="4"/>
    </w:p>
    <w:p w14:paraId="030785B8">
      <w:pPr>
        <w:keepNext w:val="0"/>
        <w:keepLines w:val="0"/>
        <w:pageBreakBefore w:val="0"/>
        <w:widowControl w:val="0"/>
        <w:kinsoku/>
        <w:wordWrap/>
        <w:overflowPunct/>
        <w:topLinePunct w:val="0"/>
        <w:autoSpaceDE/>
        <w:autoSpaceDN/>
        <w:bidi w:val="0"/>
        <w:adjustRightInd/>
        <w:spacing w:line="400" w:lineRule="exact"/>
        <w:ind w:firstLine="422" w:firstLineChars="200"/>
        <w:jc w:val="left"/>
        <w:textAlignment w:val="auto"/>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一、项目基本情况</w:t>
      </w:r>
    </w:p>
    <w:p w14:paraId="221115CF">
      <w:pPr>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1.项目名称：</w:t>
      </w:r>
      <w:r>
        <w:rPr>
          <w:rFonts w:hint="eastAsia" w:ascii="宋体" w:hAnsi="宋体" w:eastAsia="宋体" w:cs="Times New Roman"/>
          <w:szCs w:val="21"/>
          <w:lang w:val="en-US" w:eastAsia="zh-CN"/>
        </w:rPr>
        <w:t>检验科标准菌株采购项目</w:t>
      </w:r>
    </w:p>
    <w:p w14:paraId="303FD51E">
      <w:pPr>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2.项目编号：GXSZ2026-0</w:t>
      </w:r>
      <w:r>
        <w:rPr>
          <w:rFonts w:hint="eastAsia" w:ascii="宋体" w:hAnsi="宋体" w:cs="宋体"/>
          <w:sz w:val="21"/>
          <w:szCs w:val="21"/>
          <w:lang w:val="en-US" w:eastAsia="zh-CN"/>
        </w:rPr>
        <w:t>14</w:t>
      </w:r>
      <w:r>
        <w:rPr>
          <w:rFonts w:hint="eastAsia" w:ascii="宋体" w:hAnsi="宋体" w:eastAsia="宋体" w:cs="宋体"/>
          <w:sz w:val="21"/>
          <w:szCs w:val="21"/>
          <w:lang w:val="en-US" w:eastAsia="zh-CN"/>
        </w:rPr>
        <w:t>-JYB</w:t>
      </w:r>
    </w:p>
    <w:p w14:paraId="3B74B6B5">
      <w:pPr>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3.采购方式：院内询价</w:t>
      </w:r>
    </w:p>
    <w:p w14:paraId="637B407C">
      <w:pPr>
        <w:pageBreakBefore w:val="0"/>
        <w:kinsoku/>
        <w:wordWrap/>
        <w:overflowPunct/>
        <w:topLinePunct w:val="0"/>
        <w:autoSpaceDE/>
        <w:autoSpaceDN/>
        <w:bidi w:val="0"/>
        <w:adjustRightInd/>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4.预算金额：人民币（大写）壹万贰仟元整  (¥12</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000.00)</w:t>
      </w:r>
    </w:p>
    <w:p w14:paraId="5237AD88">
      <w:pPr>
        <w:keepNext w:val="0"/>
        <w:keepLines w:val="0"/>
        <w:pageBreakBefore w:val="0"/>
        <w:widowControl/>
        <w:suppressLineNumbers w:val="0"/>
        <w:kinsoku/>
        <w:wordWrap/>
        <w:overflowPunct/>
        <w:topLinePunct w:val="0"/>
        <w:autoSpaceDE/>
        <w:autoSpaceDN/>
        <w:bidi w:val="0"/>
        <w:adjustRightInd/>
        <w:snapToGrid/>
        <w:spacing w:line="400" w:lineRule="exact"/>
        <w:ind w:firstLine="422" w:firstLineChars="200"/>
        <w:jc w:val="left"/>
        <w:textAlignment w:val="center"/>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二、项目需求</w:t>
      </w:r>
    </w:p>
    <w:tbl>
      <w:tblPr>
        <w:tblStyle w:val="29"/>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9"/>
        <w:gridCol w:w="2018"/>
        <w:gridCol w:w="756"/>
        <w:gridCol w:w="932"/>
        <w:gridCol w:w="824"/>
        <w:gridCol w:w="1476"/>
        <w:gridCol w:w="2354"/>
      </w:tblGrid>
      <w:tr w14:paraId="6AC3E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355" w:type="pct"/>
            <w:noWrap w:val="0"/>
            <w:vAlign w:val="center"/>
          </w:tcPr>
          <w:p w14:paraId="2579AC23">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序号</w:t>
            </w:r>
          </w:p>
        </w:tc>
        <w:tc>
          <w:tcPr>
            <w:tcW w:w="1121" w:type="pct"/>
            <w:noWrap w:val="0"/>
            <w:vAlign w:val="center"/>
          </w:tcPr>
          <w:p w14:paraId="4A8B04DE">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名称</w:t>
            </w:r>
          </w:p>
        </w:tc>
        <w:tc>
          <w:tcPr>
            <w:tcW w:w="420" w:type="pct"/>
            <w:noWrap w:val="0"/>
            <w:vAlign w:val="center"/>
          </w:tcPr>
          <w:p w14:paraId="3F27A157">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default" w:ascii="宋体" w:hAnsi="宋体" w:eastAsia="宋体" w:cs="宋体"/>
                <w:b/>
                <w:sz w:val="21"/>
                <w:szCs w:val="21"/>
                <w:highlight w:val="none"/>
                <w:lang w:val="en-US" w:eastAsia="zh-CN"/>
              </w:rPr>
            </w:pPr>
            <w:r>
              <w:rPr>
                <w:rFonts w:hint="eastAsia" w:ascii="宋体" w:hAnsi="宋体" w:cs="宋体"/>
                <w:b/>
                <w:sz w:val="21"/>
                <w:szCs w:val="21"/>
                <w:highlight w:val="none"/>
                <w:lang w:val="en-US" w:eastAsia="zh-CN"/>
              </w:rPr>
              <w:t>规格型号</w:t>
            </w:r>
          </w:p>
        </w:tc>
        <w:tc>
          <w:tcPr>
            <w:tcW w:w="518" w:type="pct"/>
            <w:noWrap w:val="0"/>
            <w:vAlign w:val="center"/>
          </w:tcPr>
          <w:p w14:paraId="79A9BEBA">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b/>
                <w:sz w:val="21"/>
                <w:szCs w:val="21"/>
                <w:highlight w:val="none"/>
                <w:lang w:val="en-US" w:eastAsia="zh-CN"/>
              </w:rPr>
            </w:pPr>
            <w:r>
              <w:rPr>
                <w:rFonts w:hint="eastAsia" w:ascii="宋体" w:hAnsi="宋体" w:eastAsia="宋体" w:cs="宋体"/>
                <w:b/>
                <w:bCs/>
                <w:i w:val="0"/>
                <w:iCs w:val="0"/>
                <w:color w:val="000000"/>
                <w:kern w:val="2"/>
                <w:sz w:val="21"/>
                <w:szCs w:val="21"/>
                <w:u w:val="none"/>
                <w:lang w:val="en-US" w:eastAsia="zh-CN" w:bidi="ar-SA"/>
              </w:rPr>
              <w:t>数量</w:t>
            </w:r>
          </w:p>
        </w:tc>
        <w:tc>
          <w:tcPr>
            <w:tcW w:w="458" w:type="pct"/>
            <w:shd w:val="clear" w:color="auto" w:fill="FFFFFF"/>
            <w:noWrap w:val="0"/>
            <w:vAlign w:val="center"/>
          </w:tcPr>
          <w:p w14:paraId="787C4A86">
            <w:pPr>
              <w:keepNext w:val="0"/>
              <w:keepLines w:val="0"/>
              <w:widowControl/>
              <w:suppressLineNumbers w:val="0"/>
              <w:jc w:val="center"/>
              <w:textAlignment w:val="center"/>
              <w:rPr>
                <w:rFonts w:hint="default" w:ascii="宋体" w:hAnsi="宋体" w:eastAsia="宋体" w:cs="宋体"/>
                <w:b/>
                <w:bCs/>
                <w:i w:val="0"/>
                <w:iCs w:val="0"/>
                <w:color w:val="000000"/>
                <w:kern w:val="2"/>
                <w:sz w:val="21"/>
                <w:szCs w:val="21"/>
                <w:u w:val="none"/>
                <w:lang w:val="en-US" w:eastAsia="zh-CN" w:bidi="ar-SA"/>
              </w:rPr>
            </w:pPr>
            <w:r>
              <w:rPr>
                <w:rFonts w:hint="eastAsia" w:ascii="宋体" w:hAnsi="宋体" w:eastAsia="宋体" w:cs="宋体"/>
                <w:b/>
                <w:bCs/>
                <w:i w:val="0"/>
                <w:iCs w:val="0"/>
                <w:color w:val="000000"/>
                <w:kern w:val="0"/>
                <w:sz w:val="21"/>
                <w:szCs w:val="21"/>
                <w:u w:val="none"/>
                <w:lang w:val="en-US" w:eastAsia="zh-CN" w:bidi="ar"/>
              </w:rPr>
              <w:t>单位</w:t>
            </w:r>
          </w:p>
        </w:tc>
        <w:tc>
          <w:tcPr>
            <w:tcW w:w="820" w:type="pct"/>
            <w:noWrap w:val="0"/>
            <w:vAlign w:val="center"/>
          </w:tcPr>
          <w:p w14:paraId="5AC66D55">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采购预算单价（元）</w:t>
            </w:r>
          </w:p>
        </w:tc>
        <w:tc>
          <w:tcPr>
            <w:tcW w:w="1306" w:type="pct"/>
            <w:noWrap w:val="0"/>
            <w:vAlign w:val="center"/>
          </w:tcPr>
          <w:p w14:paraId="70C51435">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采购总预算（元）</w:t>
            </w:r>
          </w:p>
        </w:tc>
      </w:tr>
      <w:tr w14:paraId="7C7E3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noWrap w:val="0"/>
            <w:vAlign w:val="center"/>
          </w:tcPr>
          <w:p w14:paraId="7A939D2D">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w:t>
            </w:r>
          </w:p>
        </w:tc>
        <w:tc>
          <w:tcPr>
            <w:tcW w:w="1121" w:type="pct"/>
            <w:noWrap w:val="0"/>
            <w:vAlign w:val="center"/>
          </w:tcPr>
          <w:p w14:paraId="6644EDE3">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大肠杆菌 ATCC25922</w:t>
            </w:r>
          </w:p>
        </w:tc>
        <w:tc>
          <w:tcPr>
            <w:tcW w:w="420" w:type="pct"/>
            <w:noWrap w:val="0"/>
            <w:vAlign w:val="center"/>
          </w:tcPr>
          <w:p w14:paraId="1A91E3D9">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2支/盒</w:t>
            </w:r>
          </w:p>
        </w:tc>
        <w:tc>
          <w:tcPr>
            <w:tcW w:w="518" w:type="pct"/>
            <w:noWrap w:val="0"/>
            <w:vAlign w:val="center"/>
          </w:tcPr>
          <w:p w14:paraId="6CF1FF67">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default"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1</w:t>
            </w:r>
          </w:p>
        </w:tc>
        <w:tc>
          <w:tcPr>
            <w:tcW w:w="458" w:type="pct"/>
            <w:noWrap w:val="0"/>
            <w:vAlign w:val="center"/>
          </w:tcPr>
          <w:p w14:paraId="5F6CD69C">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default"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盒</w:t>
            </w:r>
          </w:p>
        </w:tc>
        <w:tc>
          <w:tcPr>
            <w:tcW w:w="820" w:type="pct"/>
            <w:noWrap w:val="0"/>
            <w:vAlign w:val="center"/>
          </w:tcPr>
          <w:p w14:paraId="5A396ABC">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default"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2000</w:t>
            </w:r>
          </w:p>
        </w:tc>
        <w:tc>
          <w:tcPr>
            <w:tcW w:w="1306" w:type="pct"/>
            <w:noWrap w:val="0"/>
            <w:vAlign w:val="center"/>
          </w:tcPr>
          <w:p w14:paraId="5E6ECB22">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2000</w:t>
            </w:r>
          </w:p>
        </w:tc>
      </w:tr>
      <w:tr w14:paraId="618FC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55" w:type="pct"/>
            <w:noWrap w:val="0"/>
            <w:vAlign w:val="center"/>
          </w:tcPr>
          <w:p w14:paraId="5C9C1EFC">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w:t>
            </w:r>
          </w:p>
        </w:tc>
        <w:tc>
          <w:tcPr>
            <w:tcW w:w="1121" w:type="pct"/>
            <w:noWrap w:val="0"/>
            <w:vAlign w:val="center"/>
          </w:tcPr>
          <w:p w14:paraId="0F0B21E4">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铜绿假单胞菌 ATCC27853</w:t>
            </w:r>
          </w:p>
        </w:tc>
        <w:tc>
          <w:tcPr>
            <w:tcW w:w="420" w:type="pct"/>
            <w:noWrap w:val="0"/>
            <w:vAlign w:val="center"/>
          </w:tcPr>
          <w:p w14:paraId="0BDE2B06">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2支/盒</w:t>
            </w:r>
          </w:p>
        </w:tc>
        <w:tc>
          <w:tcPr>
            <w:tcW w:w="518" w:type="pct"/>
            <w:noWrap w:val="0"/>
            <w:vAlign w:val="center"/>
          </w:tcPr>
          <w:p w14:paraId="4671F5E4">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default"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1</w:t>
            </w:r>
          </w:p>
        </w:tc>
        <w:tc>
          <w:tcPr>
            <w:tcW w:w="458" w:type="pct"/>
            <w:noWrap w:val="0"/>
            <w:vAlign w:val="center"/>
          </w:tcPr>
          <w:p w14:paraId="700848E7">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盒</w:t>
            </w:r>
          </w:p>
        </w:tc>
        <w:tc>
          <w:tcPr>
            <w:tcW w:w="820" w:type="pct"/>
            <w:noWrap w:val="0"/>
            <w:vAlign w:val="center"/>
          </w:tcPr>
          <w:p w14:paraId="16DCFE3B">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2000</w:t>
            </w:r>
          </w:p>
        </w:tc>
        <w:tc>
          <w:tcPr>
            <w:tcW w:w="1306" w:type="pct"/>
            <w:noWrap w:val="0"/>
            <w:vAlign w:val="center"/>
          </w:tcPr>
          <w:p w14:paraId="0A58FFE6">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2000</w:t>
            </w:r>
          </w:p>
        </w:tc>
      </w:tr>
      <w:tr w14:paraId="0733B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55" w:type="pct"/>
            <w:noWrap w:val="0"/>
            <w:vAlign w:val="center"/>
          </w:tcPr>
          <w:p w14:paraId="01EF00D5">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default"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3</w:t>
            </w:r>
          </w:p>
        </w:tc>
        <w:tc>
          <w:tcPr>
            <w:tcW w:w="1121" w:type="pct"/>
            <w:noWrap w:val="0"/>
            <w:vAlign w:val="center"/>
          </w:tcPr>
          <w:p w14:paraId="44CAB126">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金黄色葡萄球菌ATCC29213</w:t>
            </w:r>
          </w:p>
        </w:tc>
        <w:tc>
          <w:tcPr>
            <w:tcW w:w="420" w:type="pct"/>
            <w:noWrap w:val="0"/>
            <w:vAlign w:val="center"/>
          </w:tcPr>
          <w:p w14:paraId="66BE97C4">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2支/盒</w:t>
            </w:r>
          </w:p>
        </w:tc>
        <w:tc>
          <w:tcPr>
            <w:tcW w:w="518" w:type="pct"/>
            <w:noWrap w:val="0"/>
            <w:vAlign w:val="center"/>
          </w:tcPr>
          <w:p w14:paraId="2028FE02">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default"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1</w:t>
            </w:r>
          </w:p>
        </w:tc>
        <w:tc>
          <w:tcPr>
            <w:tcW w:w="458" w:type="pct"/>
            <w:noWrap w:val="0"/>
            <w:vAlign w:val="center"/>
          </w:tcPr>
          <w:p w14:paraId="1C20A630">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盒</w:t>
            </w:r>
          </w:p>
        </w:tc>
        <w:tc>
          <w:tcPr>
            <w:tcW w:w="820" w:type="pct"/>
            <w:noWrap w:val="0"/>
            <w:vAlign w:val="center"/>
          </w:tcPr>
          <w:p w14:paraId="4384E3E5">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2000</w:t>
            </w:r>
          </w:p>
        </w:tc>
        <w:tc>
          <w:tcPr>
            <w:tcW w:w="1306" w:type="pct"/>
            <w:noWrap w:val="0"/>
            <w:vAlign w:val="center"/>
          </w:tcPr>
          <w:p w14:paraId="3FE0EFED">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2000</w:t>
            </w:r>
          </w:p>
        </w:tc>
      </w:tr>
      <w:tr w14:paraId="12D8C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55" w:type="pct"/>
            <w:noWrap w:val="0"/>
            <w:vAlign w:val="center"/>
          </w:tcPr>
          <w:p w14:paraId="5197EA7F">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default"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4</w:t>
            </w:r>
          </w:p>
        </w:tc>
        <w:tc>
          <w:tcPr>
            <w:tcW w:w="1121" w:type="pct"/>
            <w:noWrap w:val="0"/>
            <w:vAlign w:val="center"/>
          </w:tcPr>
          <w:p w14:paraId="490AF0C8">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金黄色葡萄球菌ATCC25923</w:t>
            </w:r>
          </w:p>
        </w:tc>
        <w:tc>
          <w:tcPr>
            <w:tcW w:w="420" w:type="pct"/>
            <w:noWrap w:val="0"/>
            <w:vAlign w:val="center"/>
          </w:tcPr>
          <w:p w14:paraId="54D160E6">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2支/盒</w:t>
            </w:r>
          </w:p>
        </w:tc>
        <w:tc>
          <w:tcPr>
            <w:tcW w:w="518" w:type="pct"/>
            <w:noWrap w:val="0"/>
            <w:vAlign w:val="center"/>
          </w:tcPr>
          <w:p w14:paraId="60372ED2">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default"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1</w:t>
            </w:r>
          </w:p>
        </w:tc>
        <w:tc>
          <w:tcPr>
            <w:tcW w:w="458" w:type="pct"/>
            <w:noWrap w:val="0"/>
            <w:vAlign w:val="center"/>
          </w:tcPr>
          <w:p w14:paraId="72DFA2B8">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盒</w:t>
            </w:r>
          </w:p>
        </w:tc>
        <w:tc>
          <w:tcPr>
            <w:tcW w:w="820" w:type="pct"/>
            <w:noWrap w:val="0"/>
            <w:vAlign w:val="center"/>
          </w:tcPr>
          <w:p w14:paraId="799B450D">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2000</w:t>
            </w:r>
          </w:p>
        </w:tc>
        <w:tc>
          <w:tcPr>
            <w:tcW w:w="1306" w:type="pct"/>
            <w:noWrap w:val="0"/>
            <w:vAlign w:val="center"/>
          </w:tcPr>
          <w:p w14:paraId="1BEA5F93">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2000</w:t>
            </w:r>
          </w:p>
        </w:tc>
      </w:tr>
      <w:tr w14:paraId="1D325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55" w:type="pct"/>
            <w:noWrap w:val="0"/>
            <w:vAlign w:val="center"/>
          </w:tcPr>
          <w:p w14:paraId="1A6C86D3">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default"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5</w:t>
            </w:r>
          </w:p>
        </w:tc>
        <w:tc>
          <w:tcPr>
            <w:tcW w:w="1121" w:type="pct"/>
            <w:noWrap w:val="0"/>
            <w:vAlign w:val="center"/>
          </w:tcPr>
          <w:p w14:paraId="6595EC0F">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粪肠球菌ATCC29212</w:t>
            </w:r>
          </w:p>
        </w:tc>
        <w:tc>
          <w:tcPr>
            <w:tcW w:w="420" w:type="pct"/>
            <w:noWrap w:val="0"/>
            <w:vAlign w:val="center"/>
          </w:tcPr>
          <w:p w14:paraId="2003AB33">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2支/盒</w:t>
            </w:r>
          </w:p>
        </w:tc>
        <w:tc>
          <w:tcPr>
            <w:tcW w:w="518" w:type="pct"/>
            <w:noWrap w:val="0"/>
            <w:vAlign w:val="center"/>
          </w:tcPr>
          <w:p w14:paraId="1B4805FA">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default"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1</w:t>
            </w:r>
          </w:p>
        </w:tc>
        <w:tc>
          <w:tcPr>
            <w:tcW w:w="458" w:type="pct"/>
            <w:noWrap w:val="0"/>
            <w:vAlign w:val="center"/>
          </w:tcPr>
          <w:p w14:paraId="11C0C330">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盒</w:t>
            </w:r>
          </w:p>
        </w:tc>
        <w:tc>
          <w:tcPr>
            <w:tcW w:w="820" w:type="pct"/>
            <w:noWrap w:val="0"/>
            <w:vAlign w:val="center"/>
          </w:tcPr>
          <w:p w14:paraId="4C955648">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2000</w:t>
            </w:r>
          </w:p>
        </w:tc>
        <w:tc>
          <w:tcPr>
            <w:tcW w:w="1306" w:type="pct"/>
            <w:noWrap w:val="0"/>
            <w:vAlign w:val="center"/>
          </w:tcPr>
          <w:p w14:paraId="4CE85939">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2000</w:t>
            </w:r>
          </w:p>
        </w:tc>
      </w:tr>
      <w:tr w14:paraId="3B614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55" w:type="pct"/>
            <w:noWrap w:val="0"/>
            <w:vAlign w:val="center"/>
          </w:tcPr>
          <w:p w14:paraId="06B82BF8">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default"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6</w:t>
            </w:r>
          </w:p>
        </w:tc>
        <w:tc>
          <w:tcPr>
            <w:tcW w:w="1121" w:type="pct"/>
            <w:noWrap w:val="0"/>
            <w:vAlign w:val="center"/>
          </w:tcPr>
          <w:p w14:paraId="3EF85C8F">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肺炎链球菌ATCC49619</w:t>
            </w:r>
          </w:p>
        </w:tc>
        <w:tc>
          <w:tcPr>
            <w:tcW w:w="420" w:type="pct"/>
            <w:noWrap w:val="0"/>
            <w:vAlign w:val="center"/>
          </w:tcPr>
          <w:p w14:paraId="1F1A864F">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2支/盒</w:t>
            </w:r>
          </w:p>
        </w:tc>
        <w:tc>
          <w:tcPr>
            <w:tcW w:w="518" w:type="pct"/>
            <w:noWrap w:val="0"/>
            <w:vAlign w:val="center"/>
          </w:tcPr>
          <w:p w14:paraId="680E0DA1">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default"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1</w:t>
            </w:r>
          </w:p>
        </w:tc>
        <w:tc>
          <w:tcPr>
            <w:tcW w:w="458" w:type="pct"/>
            <w:noWrap w:val="0"/>
            <w:vAlign w:val="center"/>
          </w:tcPr>
          <w:p w14:paraId="003466F7">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盒</w:t>
            </w:r>
          </w:p>
        </w:tc>
        <w:tc>
          <w:tcPr>
            <w:tcW w:w="820" w:type="pct"/>
            <w:noWrap w:val="0"/>
            <w:vAlign w:val="center"/>
          </w:tcPr>
          <w:p w14:paraId="49534BC3">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2000</w:t>
            </w:r>
          </w:p>
        </w:tc>
        <w:tc>
          <w:tcPr>
            <w:tcW w:w="1306" w:type="pct"/>
            <w:noWrap w:val="0"/>
            <w:vAlign w:val="center"/>
          </w:tcPr>
          <w:p w14:paraId="7D39EF9E">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2000</w:t>
            </w:r>
          </w:p>
        </w:tc>
      </w:tr>
      <w:tr w14:paraId="23DF5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00" w:type="pct"/>
            <w:gridSpan w:val="7"/>
            <w:noWrap w:val="0"/>
            <w:vAlign w:val="center"/>
          </w:tcPr>
          <w:p w14:paraId="62760093">
            <w:pPr>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宋体" w:hAnsi="宋体" w:cs="宋体"/>
                <w:sz w:val="21"/>
                <w:szCs w:val="21"/>
                <w:highlight w:val="none"/>
                <w:lang w:val="en-US" w:eastAsia="zh-CN"/>
              </w:rPr>
            </w:pPr>
            <w:r>
              <w:rPr>
                <w:rFonts w:hint="eastAsia" w:ascii="宋体" w:hAnsi="宋体" w:cs="宋体"/>
                <w:sz w:val="21"/>
                <w:szCs w:val="21"/>
                <w:highlight w:val="none"/>
                <w:lang w:val="en-US" w:eastAsia="zh-CN"/>
              </w:rPr>
              <w:t>总金额：12000元</w:t>
            </w:r>
          </w:p>
        </w:tc>
      </w:tr>
    </w:tbl>
    <w:p w14:paraId="2D194414">
      <w:pPr>
        <w:pageBreakBefore w:val="0"/>
        <w:kinsoku/>
        <w:wordWrap/>
        <w:overflowPunct/>
        <w:topLinePunct w:val="0"/>
        <w:autoSpaceDE/>
        <w:autoSpaceDN/>
        <w:bidi w:val="0"/>
        <w:adjustRightInd/>
        <w:spacing w:line="400" w:lineRule="exact"/>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备注：报价包含税费、配送费等所有费用。</w:t>
      </w:r>
    </w:p>
    <w:p w14:paraId="773F1D88">
      <w:pPr>
        <w:keepNext w:val="0"/>
        <w:keepLines w:val="0"/>
        <w:pageBreakBefore w:val="0"/>
        <w:widowControl/>
        <w:numPr>
          <w:ilvl w:val="0"/>
          <w:numId w:val="2"/>
        </w:numPr>
        <w:suppressLineNumbers w:val="0"/>
        <w:kinsoku/>
        <w:wordWrap/>
        <w:overflowPunct/>
        <w:topLinePunct w:val="0"/>
        <w:autoSpaceDE/>
        <w:autoSpaceDN/>
        <w:bidi w:val="0"/>
        <w:adjustRightInd/>
        <w:snapToGrid/>
        <w:spacing w:line="400" w:lineRule="exact"/>
        <w:ind w:firstLine="422" w:firstLineChars="200"/>
        <w:jc w:val="left"/>
        <w:textAlignment w:val="center"/>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技术商务需求</w:t>
      </w:r>
    </w:p>
    <w:tbl>
      <w:tblPr>
        <w:tblStyle w:val="29"/>
        <w:tblpPr w:leftFromText="180" w:rightFromText="180" w:vertAnchor="text" w:horzAnchor="page" w:tblpX="1757" w:tblpY="585"/>
        <w:tblOverlap w:val="never"/>
        <w:tblW w:w="8873"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140"/>
        <w:gridCol w:w="6733"/>
      </w:tblGrid>
      <w:tr w14:paraId="3FBB79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873" w:type="dxa"/>
            <w:gridSpan w:val="2"/>
            <w:tcBorders>
              <w:top w:val="single" w:color="auto" w:sz="4" w:space="0"/>
              <w:left w:val="single" w:color="auto" w:sz="4" w:space="0"/>
              <w:bottom w:val="single" w:color="auto" w:sz="4" w:space="0"/>
              <w:right w:val="single" w:color="auto" w:sz="4" w:space="0"/>
            </w:tcBorders>
          </w:tcPr>
          <w:p w14:paraId="59439C08">
            <w:pPr>
              <w:keepNext w:val="0"/>
              <w:keepLines w:val="0"/>
              <w:suppressLineNumbers w:val="0"/>
              <w:snapToGrid w:val="0"/>
              <w:spacing w:before="0" w:beforeAutospacing="0" w:after="0" w:afterAutospacing="0" w:line="360" w:lineRule="exact"/>
              <w:ind w:left="0" w:right="0"/>
              <w:jc w:val="both"/>
              <w:rPr>
                <w:rFonts w:hint="eastAsia" w:asciiTheme="minorEastAsia" w:hAnsiTheme="minorEastAsia" w:eastAsiaTheme="minorEastAsia" w:cstheme="minorEastAsia"/>
                <w:b/>
                <w:sz w:val="21"/>
                <w:szCs w:val="21"/>
                <w:highlight w:val="none"/>
              </w:rPr>
            </w:pPr>
            <w:r>
              <w:rPr>
                <w:rFonts w:hint="eastAsia" w:asciiTheme="minorEastAsia" w:hAnsiTheme="minorEastAsia" w:eastAsiaTheme="minorEastAsia" w:cstheme="minorEastAsia"/>
                <w:b/>
                <w:sz w:val="21"/>
                <w:szCs w:val="21"/>
                <w:highlight w:val="none"/>
                <w:lang w:val="en-US" w:eastAsia="zh-CN"/>
              </w:rPr>
              <w:t>一、</w:t>
            </w:r>
            <w:r>
              <w:rPr>
                <w:rFonts w:hint="eastAsia" w:asciiTheme="minorEastAsia" w:hAnsiTheme="minorEastAsia" w:eastAsiaTheme="minorEastAsia" w:cstheme="minorEastAsia"/>
                <w:b/>
                <w:sz w:val="21"/>
                <w:szCs w:val="21"/>
                <w:highlight w:val="none"/>
              </w:rPr>
              <w:t>技术需求</w:t>
            </w:r>
          </w:p>
        </w:tc>
      </w:tr>
      <w:tr w14:paraId="576C11D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2140" w:type="dxa"/>
            <w:tcBorders>
              <w:top w:val="single" w:color="auto" w:sz="4" w:space="0"/>
              <w:left w:val="single" w:color="auto" w:sz="4" w:space="0"/>
              <w:bottom w:val="single" w:color="auto" w:sz="4" w:space="0"/>
              <w:right w:val="single" w:color="auto" w:sz="4" w:space="0"/>
            </w:tcBorders>
            <w:vAlign w:val="center"/>
          </w:tcPr>
          <w:p w14:paraId="437E3DF8">
            <w:pPr>
              <w:keepNext w:val="0"/>
              <w:keepLines w:val="0"/>
              <w:suppressLineNumbers w:val="0"/>
              <w:snapToGrid w:val="0"/>
              <w:spacing w:before="0" w:beforeAutospacing="0" w:after="0" w:afterAutospacing="0" w:line="360" w:lineRule="exact"/>
              <w:ind w:left="0" w:right="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采购内容</w:t>
            </w:r>
          </w:p>
        </w:tc>
        <w:tc>
          <w:tcPr>
            <w:tcW w:w="6733" w:type="dxa"/>
            <w:tcBorders>
              <w:top w:val="single" w:color="auto" w:sz="4" w:space="0"/>
              <w:left w:val="single" w:color="auto" w:sz="4" w:space="0"/>
              <w:bottom w:val="single" w:color="auto" w:sz="4" w:space="0"/>
              <w:right w:val="single" w:color="auto" w:sz="4" w:space="0"/>
            </w:tcBorders>
            <w:vAlign w:val="center"/>
          </w:tcPr>
          <w:p w14:paraId="2657BB0A">
            <w:pPr>
              <w:keepNext w:val="0"/>
              <w:keepLines w:val="0"/>
              <w:suppressLineNumbers w:val="0"/>
              <w:snapToGrid w:val="0"/>
              <w:spacing w:before="0" w:beforeAutospacing="0" w:after="0" w:afterAutospacing="0" w:line="360" w:lineRule="exact"/>
              <w:ind w:left="0" w:right="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技术需求</w:t>
            </w:r>
          </w:p>
        </w:tc>
      </w:tr>
      <w:tr w14:paraId="2FA4A28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6" w:hRule="atLeast"/>
        </w:trPr>
        <w:tc>
          <w:tcPr>
            <w:tcW w:w="2140" w:type="dxa"/>
            <w:tcBorders>
              <w:left w:val="single" w:color="auto" w:sz="4" w:space="0"/>
              <w:bottom w:val="single" w:color="auto" w:sz="4" w:space="0"/>
              <w:right w:val="single" w:color="auto" w:sz="4" w:space="0"/>
            </w:tcBorders>
            <w:shd w:val="clear" w:color="auto" w:fill="auto"/>
            <w:vAlign w:val="center"/>
          </w:tcPr>
          <w:p w14:paraId="168443BA">
            <w:pPr>
              <w:keepNext w:val="0"/>
              <w:keepLines w:val="0"/>
              <w:widowControl/>
              <w:suppressLineNumbers w:val="0"/>
              <w:spacing w:before="0" w:beforeAutospacing="0" w:after="0" w:afterAutospacing="0"/>
              <w:ind w:left="0" w:leftChars="0" w:right="0" w:rightChars="0"/>
              <w:jc w:val="left"/>
              <w:textAlignment w:val="center"/>
              <w:rPr>
                <w:rFonts w:hint="eastAsia" w:ascii="宋体" w:hAnsi="宋体" w:eastAsia="宋体" w:cs="宋体"/>
                <w:i w:val="0"/>
                <w:iCs w:val="0"/>
                <w:color w:val="FF0000"/>
                <w:kern w:val="2"/>
                <w:sz w:val="18"/>
                <w:szCs w:val="18"/>
                <w:u w:val="none"/>
                <w:lang w:val="en-US" w:eastAsia="zh-CN" w:bidi="ar-SA"/>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大肠杆菌 ATCC25922</w:t>
            </w:r>
          </w:p>
        </w:tc>
        <w:tc>
          <w:tcPr>
            <w:tcW w:w="6733" w:type="dxa"/>
            <w:tcBorders>
              <w:top w:val="single" w:color="auto" w:sz="4" w:space="0"/>
              <w:left w:val="single" w:color="auto" w:sz="4" w:space="0"/>
              <w:bottom w:val="single" w:color="auto" w:sz="4" w:space="0"/>
              <w:right w:val="single" w:color="auto" w:sz="4" w:space="0"/>
            </w:tcBorders>
            <w:shd w:val="clear" w:color="auto" w:fill="auto"/>
            <w:vAlign w:val="center"/>
          </w:tcPr>
          <w:p w14:paraId="2ABB043E">
            <w:pPr>
              <w:keepNext w:val="0"/>
              <w:keepLines w:val="0"/>
              <w:widowControl/>
              <w:suppressLineNumbers w:val="0"/>
              <w:spacing w:before="0" w:beforeAutospacing="0" w:after="0" w:afterAutospacing="0"/>
              <w:ind w:left="0" w:leftChars="0" w:right="0" w:rightChars="0"/>
              <w:jc w:val="left"/>
              <w:textAlignment w:val="center"/>
              <w:rPr>
                <w:rFonts w:hint="eastAsia" w:asciiTheme="minorEastAsia" w:hAnsiTheme="minorEastAsia" w:eastAsiaTheme="minorEastAsia" w:cstheme="minorEastAsia"/>
                <w:color w:val="000000"/>
                <w:kern w:val="0"/>
                <w:sz w:val="21"/>
                <w:szCs w:val="21"/>
                <w:highlight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从ATCC（美国典型菌株保藏中心）获得，供应商能提供合格证和说明书，必须包含菌株溯源信息和自身的传代次数，并有证据表明质控菌株性能满足实验室质控需求。</w:t>
            </w:r>
          </w:p>
        </w:tc>
      </w:tr>
      <w:tr w14:paraId="22DE9D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6" w:hRule="atLeast"/>
        </w:trPr>
        <w:tc>
          <w:tcPr>
            <w:tcW w:w="2140" w:type="dxa"/>
            <w:tcBorders>
              <w:left w:val="single" w:color="auto" w:sz="4" w:space="0"/>
              <w:bottom w:val="single" w:color="auto" w:sz="4" w:space="0"/>
              <w:right w:val="single" w:color="auto" w:sz="4" w:space="0"/>
            </w:tcBorders>
            <w:shd w:val="clear" w:color="auto" w:fill="auto"/>
            <w:vAlign w:val="center"/>
          </w:tcPr>
          <w:p w14:paraId="78447D98">
            <w:pPr>
              <w:keepNext w:val="0"/>
              <w:keepLines w:val="0"/>
              <w:widowControl/>
              <w:suppressLineNumbers w:val="0"/>
              <w:spacing w:before="0" w:beforeAutospacing="0" w:after="0" w:afterAutospacing="0"/>
              <w:ind w:left="0" w:leftChars="0" w:right="0" w:rightChars="0"/>
              <w:jc w:val="left"/>
              <w:textAlignment w:val="center"/>
              <w:rPr>
                <w:rFonts w:hint="eastAsia" w:ascii="宋体" w:hAnsi="宋体" w:eastAsia="宋体" w:cs="宋体"/>
                <w:i w:val="0"/>
                <w:iCs w:val="0"/>
                <w:color w:val="FF0000"/>
                <w:kern w:val="2"/>
                <w:sz w:val="18"/>
                <w:szCs w:val="18"/>
                <w:u w:val="none"/>
                <w:lang w:val="en-US" w:eastAsia="zh-CN" w:bidi="ar-SA"/>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铜绿假单胞菌 ATCC27853</w:t>
            </w:r>
          </w:p>
        </w:tc>
        <w:tc>
          <w:tcPr>
            <w:tcW w:w="6733" w:type="dxa"/>
            <w:tcBorders>
              <w:top w:val="single" w:color="auto" w:sz="4" w:space="0"/>
              <w:left w:val="single" w:color="auto" w:sz="4" w:space="0"/>
              <w:bottom w:val="single" w:color="auto" w:sz="4" w:space="0"/>
              <w:right w:val="single" w:color="auto" w:sz="4" w:space="0"/>
            </w:tcBorders>
            <w:shd w:val="clear" w:color="auto" w:fill="auto"/>
            <w:vAlign w:val="center"/>
          </w:tcPr>
          <w:p w14:paraId="7A3FCB00">
            <w:pPr>
              <w:keepNext w:val="0"/>
              <w:keepLines w:val="0"/>
              <w:widowControl/>
              <w:suppressLineNumbers w:val="0"/>
              <w:spacing w:before="0" w:beforeAutospacing="0" w:after="0" w:afterAutospacing="0"/>
              <w:ind w:left="0" w:leftChars="0" w:right="0" w:rightChars="0"/>
              <w:jc w:val="left"/>
              <w:textAlignment w:val="center"/>
              <w:rPr>
                <w:rFonts w:hint="eastAsia" w:asciiTheme="minorEastAsia" w:hAnsiTheme="minorEastAsia" w:eastAsiaTheme="minorEastAsia" w:cstheme="minorEastAsia"/>
                <w:color w:val="000000"/>
                <w:kern w:val="0"/>
                <w:sz w:val="21"/>
                <w:szCs w:val="21"/>
                <w:highlight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从ATCC（美国典型菌株保藏中心）获得，供应商能提供合格证和说明书，必须包含菌株溯源信息和自身的传代次数，并有证据表明质控菌株性能满足实验室质控需求。</w:t>
            </w:r>
          </w:p>
        </w:tc>
      </w:tr>
      <w:tr w14:paraId="5821BEE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6" w:hRule="atLeast"/>
        </w:trPr>
        <w:tc>
          <w:tcPr>
            <w:tcW w:w="2140" w:type="dxa"/>
            <w:tcBorders>
              <w:left w:val="single" w:color="auto" w:sz="4" w:space="0"/>
              <w:bottom w:val="single" w:color="auto" w:sz="4" w:space="0"/>
              <w:right w:val="single" w:color="auto" w:sz="4" w:space="0"/>
            </w:tcBorders>
            <w:shd w:val="clear" w:color="auto" w:fill="auto"/>
            <w:vAlign w:val="center"/>
          </w:tcPr>
          <w:p w14:paraId="1CFAC897">
            <w:pPr>
              <w:keepNext w:val="0"/>
              <w:keepLines w:val="0"/>
              <w:widowControl/>
              <w:suppressLineNumbers w:val="0"/>
              <w:spacing w:before="0" w:beforeAutospacing="0" w:after="0" w:afterAutospacing="0"/>
              <w:ind w:left="0" w:leftChars="0" w:right="0" w:rightChars="0"/>
              <w:jc w:val="left"/>
              <w:textAlignment w:val="center"/>
              <w:rPr>
                <w:rFonts w:hint="eastAsia" w:ascii="宋体" w:hAnsi="宋体" w:eastAsia="宋体" w:cs="宋体"/>
                <w:i w:val="0"/>
                <w:iCs w:val="0"/>
                <w:color w:val="FF0000"/>
                <w:kern w:val="2"/>
                <w:sz w:val="18"/>
                <w:szCs w:val="18"/>
                <w:u w:val="none"/>
                <w:lang w:val="en-US" w:eastAsia="zh-CN" w:bidi="ar-SA"/>
              </w:rPr>
            </w:pPr>
            <w:r>
              <w:rPr>
                <w:rFonts w:hint="eastAsia" w:asciiTheme="minorEastAsia" w:hAnsiTheme="minorEastAsia" w:eastAsiaTheme="minorEastAsia" w:cstheme="minorEastAsia"/>
                <w:sz w:val="21"/>
                <w:szCs w:val="21"/>
                <w:highlight w:val="none"/>
              </w:rPr>
              <w:t>金黄色葡萄球菌ATCC29213</w:t>
            </w:r>
          </w:p>
        </w:tc>
        <w:tc>
          <w:tcPr>
            <w:tcW w:w="6733" w:type="dxa"/>
            <w:tcBorders>
              <w:top w:val="single" w:color="auto" w:sz="4" w:space="0"/>
              <w:left w:val="single" w:color="auto" w:sz="4" w:space="0"/>
              <w:bottom w:val="single" w:color="auto" w:sz="4" w:space="0"/>
              <w:right w:val="single" w:color="auto" w:sz="4" w:space="0"/>
            </w:tcBorders>
            <w:shd w:val="clear" w:color="auto" w:fill="auto"/>
            <w:vAlign w:val="center"/>
          </w:tcPr>
          <w:p w14:paraId="74D7650F">
            <w:pPr>
              <w:keepNext w:val="0"/>
              <w:keepLines w:val="0"/>
              <w:widowControl/>
              <w:suppressLineNumbers w:val="0"/>
              <w:spacing w:before="0" w:beforeAutospacing="0" w:after="0" w:afterAutospacing="0"/>
              <w:ind w:left="0" w:leftChars="0" w:right="0" w:rightChars="0"/>
              <w:jc w:val="left"/>
              <w:textAlignment w:val="center"/>
              <w:rPr>
                <w:rFonts w:hint="eastAsia" w:asciiTheme="minorEastAsia" w:hAnsiTheme="minorEastAsia" w:eastAsiaTheme="minorEastAsia" w:cstheme="minorEastAsia"/>
                <w:color w:val="000000"/>
                <w:kern w:val="0"/>
                <w:sz w:val="21"/>
                <w:szCs w:val="21"/>
                <w:highlight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从ATCC（美国典型菌株保藏中心）获得，供应商能提供合格证和说明书，必须包含菌株溯源信息和自身的传代次数，并有证据表明质控菌株性能满足实验室质控需求。</w:t>
            </w:r>
          </w:p>
        </w:tc>
      </w:tr>
      <w:tr w14:paraId="7BC60C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6" w:hRule="atLeast"/>
        </w:trPr>
        <w:tc>
          <w:tcPr>
            <w:tcW w:w="2140" w:type="dxa"/>
            <w:tcBorders>
              <w:left w:val="single" w:color="auto" w:sz="4" w:space="0"/>
              <w:bottom w:val="single" w:color="auto" w:sz="4" w:space="0"/>
              <w:right w:val="single" w:color="auto" w:sz="4" w:space="0"/>
            </w:tcBorders>
            <w:shd w:val="clear" w:color="auto" w:fill="auto"/>
            <w:vAlign w:val="center"/>
          </w:tcPr>
          <w:p w14:paraId="1777239F">
            <w:pPr>
              <w:keepNext w:val="0"/>
              <w:keepLines w:val="0"/>
              <w:widowControl/>
              <w:suppressLineNumbers w:val="0"/>
              <w:spacing w:before="0" w:beforeAutospacing="0" w:after="0" w:afterAutospacing="0"/>
              <w:ind w:left="0" w:leftChars="0" w:right="0" w:rightChars="0"/>
              <w:jc w:val="left"/>
              <w:textAlignment w:val="center"/>
              <w:rPr>
                <w:rFonts w:hint="eastAsia" w:ascii="宋体" w:hAnsi="宋体" w:eastAsia="宋体" w:cs="宋体"/>
                <w:i w:val="0"/>
                <w:iCs w:val="0"/>
                <w:color w:val="FF0000"/>
                <w:kern w:val="2"/>
                <w:sz w:val="18"/>
                <w:szCs w:val="18"/>
                <w:u w:val="none"/>
                <w:lang w:val="en-US" w:eastAsia="zh-CN" w:bidi="ar-SA"/>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金黄色葡萄球菌ATCC25923</w:t>
            </w:r>
          </w:p>
        </w:tc>
        <w:tc>
          <w:tcPr>
            <w:tcW w:w="6733" w:type="dxa"/>
            <w:tcBorders>
              <w:top w:val="single" w:color="auto" w:sz="4" w:space="0"/>
              <w:left w:val="single" w:color="auto" w:sz="4" w:space="0"/>
              <w:bottom w:val="single" w:color="auto" w:sz="4" w:space="0"/>
              <w:right w:val="single" w:color="auto" w:sz="4" w:space="0"/>
            </w:tcBorders>
            <w:shd w:val="clear" w:color="auto" w:fill="auto"/>
            <w:vAlign w:val="center"/>
          </w:tcPr>
          <w:p w14:paraId="15D22236">
            <w:pPr>
              <w:keepNext w:val="0"/>
              <w:keepLines w:val="0"/>
              <w:widowControl/>
              <w:suppressLineNumbers w:val="0"/>
              <w:spacing w:before="0" w:beforeAutospacing="0" w:after="0" w:afterAutospacing="0"/>
              <w:ind w:left="0" w:leftChars="0" w:right="0" w:rightChars="0"/>
              <w:jc w:val="left"/>
              <w:textAlignment w:val="center"/>
              <w:rPr>
                <w:rFonts w:hint="eastAsia" w:asciiTheme="minorEastAsia" w:hAnsiTheme="minorEastAsia" w:eastAsiaTheme="minorEastAsia" w:cstheme="minorEastAsia"/>
                <w:color w:val="000000"/>
                <w:kern w:val="0"/>
                <w:sz w:val="21"/>
                <w:szCs w:val="21"/>
                <w:highlight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从ATCC（美国典型菌株保藏中心）获得，供应商能提供合格证和说明书，必须包含菌株溯源信息和自身的传代次数，并有证据表明质控菌株性能满足实验室质控需求。</w:t>
            </w:r>
          </w:p>
        </w:tc>
      </w:tr>
      <w:tr w14:paraId="219539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6" w:hRule="atLeast"/>
        </w:trPr>
        <w:tc>
          <w:tcPr>
            <w:tcW w:w="2140" w:type="dxa"/>
            <w:tcBorders>
              <w:left w:val="single" w:color="auto" w:sz="4" w:space="0"/>
              <w:bottom w:val="single" w:color="auto" w:sz="4" w:space="0"/>
              <w:right w:val="single" w:color="auto" w:sz="4" w:space="0"/>
            </w:tcBorders>
            <w:shd w:val="clear" w:color="auto" w:fill="auto"/>
            <w:vAlign w:val="center"/>
          </w:tcPr>
          <w:p w14:paraId="4252CE73">
            <w:pPr>
              <w:keepNext w:val="0"/>
              <w:keepLines w:val="0"/>
              <w:widowControl/>
              <w:suppressLineNumbers w:val="0"/>
              <w:spacing w:before="0" w:beforeAutospacing="0" w:after="0" w:afterAutospacing="0"/>
              <w:ind w:left="0" w:leftChars="0" w:right="0" w:rightChars="0"/>
              <w:jc w:val="left"/>
              <w:textAlignment w:val="center"/>
              <w:rPr>
                <w:rFonts w:hint="eastAsia" w:ascii="宋体" w:hAnsi="宋体" w:eastAsia="宋体" w:cs="宋体"/>
                <w:i w:val="0"/>
                <w:iCs w:val="0"/>
                <w:color w:val="FF0000"/>
                <w:kern w:val="2"/>
                <w:sz w:val="18"/>
                <w:szCs w:val="18"/>
                <w:u w:val="none"/>
                <w:lang w:val="en-US" w:eastAsia="zh-CN" w:bidi="ar-SA"/>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粪肠球菌ATCC29212</w:t>
            </w:r>
          </w:p>
        </w:tc>
        <w:tc>
          <w:tcPr>
            <w:tcW w:w="6733" w:type="dxa"/>
            <w:tcBorders>
              <w:top w:val="single" w:color="auto" w:sz="4" w:space="0"/>
              <w:left w:val="single" w:color="auto" w:sz="4" w:space="0"/>
              <w:bottom w:val="single" w:color="auto" w:sz="4" w:space="0"/>
              <w:right w:val="single" w:color="auto" w:sz="4" w:space="0"/>
            </w:tcBorders>
            <w:shd w:val="clear" w:color="auto" w:fill="auto"/>
            <w:vAlign w:val="center"/>
          </w:tcPr>
          <w:p w14:paraId="172AB764">
            <w:pPr>
              <w:keepNext w:val="0"/>
              <w:keepLines w:val="0"/>
              <w:widowControl/>
              <w:suppressLineNumbers w:val="0"/>
              <w:spacing w:before="0" w:beforeAutospacing="0" w:after="0" w:afterAutospacing="0"/>
              <w:ind w:left="0" w:leftChars="0" w:right="0" w:rightChars="0"/>
              <w:jc w:val="left"/>
              <w:textAlignment w:val="center"/>
              <w:rPr>
                <w:rFonts w:hint="eastAsia" w:asciiTheme="minorEastAsia" w:hAnsiTheme="minorEastAsia" w:eastAsiaTheme="minorEastAsia" w:cstheme="minorEastAsia"/>
                <w:color w:val="000000"/>
                <w:kern w:val="0"/>
                <w:sz w:val="21"/>
                <w:szCs w:val="21"/>
                <w:highlight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从ATCC（美国典型菌株保藏中心）获得，供应商能提供合格证和说明书，必须包含菌株溯源信息和自身的传代次数，并有证据表明质控菌株性能满足实验室质控需求。</w:t>
            </w:r>
          </w:p>
        </w:tc>
      </w:tr>
      <w:tr w14:paraId="547408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4" w:hRule="atLeast"/>
        </w:trPr>
        <w:tc>
          <w:tcPr>
            <w:tcW w:w="2140" w:type="dxa"/>
            <w:tcBorders>
              <w:left w:val="single" w:color="auto" w:sz="4" w:space="0"/>
              <w:bottom w:val="single" w:color="auto" w:sz="4" w:space="0"/>
              <w:right w:val="single" w:color="auto" w:sz="4" w:space="0"/>
            </w:tcBorders>
            <w:shd w:val="clear" w:color="auto" w:fill="auto"/>
            <w:vAlign w:val="center"/>
          </w:tcPr>
          <w:p w14:paraId="2B7C6253">
            <w:pPr>
              <w:keepNext w:val="0"/>
              <w:keepLines w:val="0"/>
              <w:widowControl/>
              <w:suppressLineNumbers w:val="0"/>
              <w:spacing w:before="0" w:beforeAutospacing="0" w:after="0" w:afterAutospacing="0"/>
              <w:ind w:left="0" w:leftChars="0" w:right="0" w:rightChars="0"/>
              <w:jc w:val="left"/>
              <w:textAlignment w:val="center"/>
              <w:rPr>
                <w:rFonts w:hint="eastAsia" w:ascii="宋体" w:hAnsi="宋体" w:eastAsia="宋体" w:cs="宋体"/>
                <w:i w:val="0"/>
                <w:iCs w:val="0"/>
                <w:color w:val="FF0000"/>
                <w:kern w:val="2"/>
                <w:sz w:val="18"/>
                <w:szCs w:val="18"/>
                <w:u w:val="none"/>
                <w:lang w:val="en-US" w:eastAsia="zh-CN" w:bidi="ar-SA"/>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肺炎链球菌ATCC49619</w:t>
            </w:r>
          </w:p>
        </w:tc>
        <w:tc>
          <w:tcPr>
            <w:tcW w:w="6733" w:type="dxa"/>
            <w:tcBorders>
              <w:top w:val="single" w:color="auto" w:sz="4" w:space="0"/>
              <w:left w:val="single" w:color="auto" w:sz="4" w:space="0"/>
              <w:bottom w:val="single" w:color="auto" w:sz="4" w:space="0"/>
              <w:right w:val="single" w:color="auto" w:sz="4" w:space="0"/>
            </w:tcBorders>
            <w:shd w:val="clear" w:color="auto" w:fill="auto"/>
            <w:vAlign w:val="center"/>
          </w:tcPr>
          <w:p w14:paraId="1D320AFC">
            <w:pPr>
              <w:keepNext w:val="0"/>
              <w:keepLines w:val="0"/>
              <w:widowControl/>
              <w:suppressLineNumbers w:val="0"/>
              <w:spacing w:before="0" w:beforeAutospacing="0" w:after="0" w:afterAutospacing="0"/>
              <w:ind w:left="0" w:leftChars="0" w:right="0" w:rightChars="0"/>
              <w:jc w:val="left"/>
              <w:textAlignment w:val="center"/>
              <w:rPr>
                <w:rFonts w:hint="eastAsia" w:asciiTheme="minorEastAsia" w:hAnsiTheme="minorEastAsia" w:eastAsiaTheme="minorEastAsia" w:cstheme="minorEastAsia"/>
                <w:color w:val="000000"/>
                <w:kern w:val="0"/>
                <w:sz w:val="21"/>
                <w:szCs w:val="21"/>
                <w:highlight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从ATCC（美国典型菌株保藏中心）获得，供应商能提供合格证和说明书，必须包含菌株溯源信息和自身的传代次数，并有证据表明质控菌株性能满足实验室质控需求。</w:t>
            </w:r>
          </w:p>
        </w:tc>
      </w:tr>
      <w:tr w14:paraId="1F55EE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8873" w:type="dxa"/>
            <w:gridSpan w:val="2"/>
            <w:tcBorders>
              <w:top w:val="single" w:color="auto" w:sz="4" w:space="0"/>
              <w:left w:val="single" w:color="auto" w:sz="4" w:space="0"/>
              <w:bottom w:val="single" w:color="auto" w:sz="4" w:space="0"/>
              <w:right w:val="single" w:color="auto" w:sz="4" w:space="0"/>
            </w:tcBorders>
            <w:vAlign w:val="center"/>
          </w:tcPr>
          <w:p w14:paraId="1569274C">
            <w:pPr>
              <w:keepNext w:val="0"/>
              <w:keepLines w:val="0"/>
              <w:suppressLineNumbers w:val="0"/>
              <w:snapToGrid w:val="0"/>
              <w:spacing w:before="0" w:beforeAutospacing="0" w:after="0" w:afterAutospacing="0" w:line="360" w:lineRule="exact"/>
              <w:ind w:left="0"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b/>
                <w:bCs/>
                <w:sz w:val="21"/>
                <w:szCs w:val="21"/>
                <w:highlight w:val="none"/>
              </w:rPr>
              <w:t>二、商务要求表</w:t>
            </w:r>
            <w:bookmarkStart w:id="9" w:name="_GoBack"/>
            <w:bookmarkEnd w:id="9"/>
          </w:p>
        </w:tc>
      </w:tr>
      <w:tr w14:paraId="62B2C7D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40" w:type="dxa"/>
            <w:tcBorders>
              <w:top w:val="single" w:color="auto" w:sz="4" w:space="0"/>
              <w:left w:val="single" w:color="auto" w:sz="4" w:space="0"/>
              <w:bottom w:val="single" w:color="auto" w:sz="4" w:space="0"/>
              <w:right w:val="single" w:color="auto" w:sz="4" w:space="0"/>
            </w:tcBorders>
            <w:vAlign w:val="center"/>
          </w:tcPr>
          <w:p w14:paraId="25DCA241">
            <w:pPr>
              <w:keepNext w:val="0"/>
              <w:keepLines w:val="0"/>
              <w:suppressLineNumbers w:val="0"/>
              <w:spacing w:before="0" w:beforeAutospacing="0" w:after="0" w:afterAutospacing="0" w:line="360" w:lineRule="auto"/>
              <w:ind w:left="0" w:right="0" w:firstLine="210" w:firstLineChars="100"/>
              <w:jc w:val="left"/>
              <w:rPr>
                <w:rFonts w:hint="eastAsia" w:asciiTheme="minorEastAsia" w:hAnsiTheme="minorEastAsia" w:eastAsiaTheme="minorEastAsia" w:cstheme="minorEastAsia"/>
                <w:bCs/>
                <w:sz w:val="21"/>
                <w:szCs w:val="21"/>
                <w:highlight w:val="none"/>
              </w:rPr>
            </w:pPr>
            <w:r>
              <w:rPr>
                <w:rFonts w:hint="eastAsia" w:asciiTheme="minorEastAsia" w:hAnsiTheme="minorEastAsia" w:eastAsiaTheme="minorEastAsia" w:cstheme="minorEastAsia"/>
                <w:sz w:val="21"/>
                <w:szCs w:val="21"/>
                <w:highlight w:val="none"/>
              </w:rPr>
              <w:t>合同签订时间</w:t>
            </w:r>
          </w:p>
        </w:tc>
        <w:tc>
          <w:tcPr>
            <w:tcW w:w="6733" w:type="dxa"/>
            <w:tcBorders>
              <w:top w:val="single" w:color="auto" w:sz="4" w:space="0"/>
              <w:left w:val="single" w:color="auto" w:sz="4" w:space="0"/>
              <w:bottom w:val="single" w:color="auto" w:sz="4" w:space="0"/>
              <w:right w:val="single" w:color="auto" w:sz="4" w:space="0"/>
            </w:tcBorders>
            <w:vAlign w:val="center"/>
          </w:tcPr>
          <w:p w14:paraId="3285849C">
            <w:pPr>
              <w:keepNext w:val="0"/>
              <w:keepLines w:val="0"/>
              <w:suppressLineNumbers w:val="0"/>
              <w:spacing w:before="0" w:beforeAutospacing="0" w:after="0" w:afterAutospacing="0" w:line="360" w:lineRule="auto"/>
              <w:ind w:left="0" w:right="0"/>
              <w:jc w:val="left"/>
              <w:rPr>
                <w:rFonts w:hint="eastAsia" w:asciiTheme="minorEastAsia" w:hAnsiTheme="minorEastAsia" w:eastAsiaTheme="minorEastAsia" w:cstheme="minorEastAsia"/>
                <w:sz w:val="21"/>
                <w:szCs w:val="21"/>
                <w:highlight w:val="none"/>
                <w:lang w:eastAsia="zh-CN"/>
              </w:rPr>
            </w:pPr>
            <w:r>
              <w:rPr>
                <w:rFonts w:hint="eastAsia" w:asciiTheme="minorEastAsia" w:hAnsiTheme="minorEastAsia" w:eastAsiaTheme="minorEastAsia" w:cstheme="minorEastAsia"/>
                <w:sz w:val="21"/>
                <w:szCs w:val="21"/>
                <w:highlight w:val="none"/>
              </w:rPr>
              <w:t>自</w:t>
            </w:r>
            <w:r>
              <w:rPr>
                <w:rFonts w:hint="eastAsia" w:asciiTheme="minorEastAsia" w:hAnsiTheme="minorEastAsia" w:eastAsiaTheme="minorEastAsia" w:cstheme="minorEastAsia"/>
                <w:sz w:val="21"/>
                <w:szCs w:val="21"/>
                <w:highlight w:val="none"/>
                <w:lang w:val="en-US" w:eastAsia="zh-CN"/>
              </w:rPr>
              <w:t>成交</w:t>
            </w:r>
            <w:r>
              <w:rPr>
                <w:rFonts w:hint="eastAsia" w:asciiTheme="minorEastAsia" w:hAnsiTheme="minorEastAsia" w:eastAsiaTheme="minorEastAsia" w:cstheme="minorEastAsia"/>
                <w:sz w:val="21"/>
                <w:szCs w:val="21"/>
                <w:highlight w:val="none"/>
              </w:rPr>
              <w:t>通知书发出之日起 25 日内。</w:t>
            </w:r>
          </w:p>
        </w:tc>
      </w:tr>
      <w:tr w14:paraId="208FDB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5" w:hRule="atLeast"/>
        </w:trPr>
        <w:tc>
          <w:tcPr>
            <w:tcW w:w="2140" w:type="dxa"/>
            <w:tcBorders>
              <w:top w:val="single" w:color="auto" w:sz="4" w:space="0"/>
              <w:left w:val="single" w:color="auto" w:sz="4" w:space="0"/>
              <w:bottom w:val="single" w:color="auto" w:sz="4" w:space="0"/>
              <w:right w:val="single" w:color="auto" w:sz="4" w:space="0"/>
            </w:tcBorders>
            <w:vAlign w:val="center"/>
          </w:tcPr>
          <w:p w14:paraId="0214187D">
            <w:pPr>
              <w:keepNext w:val="0"/>
              <w:keepLines w:val="0"/>
              <w:suppressLineNumbers w:val="0"/>
              <w:snapToGrid w:val="0"/>
              <w:spacing w:before="0" w:beforeAutospacing="0" w:after="0" w:afterAutospacing="0" w:line="360" w:lineRule="auto"/>
              <w:ind w:left="0" w:right="0"/>
              <w:jc w:val="center"/>
              <w:rPr>
                <w:rFonts w:hint="eastAsia" w:asciiTheme="minorEastAsia" w:hAnsiTheme="minorEastAsia" w:eastAsiaTheme="minorEastAsia" w:cstheme="minorEastAsia"/>
                <w:bCs/>
                <w:sz w:val="21"/>
                <w:szCs w:val="21"/>
                <w:highlight w:val="none"/>
              </w:rPr>
            </w:pPr>
            <w:r>
              <w:rPr>
                <w:rFonts w:hint="eastAsia" w:asciiTheme="minorEastAsia" w:hAnsiTheme="minorEastAsia" w:eastAsiaTheme="minorEastAsia" w:cstheme="minorEastAsia"/>
                <w:sz w:val="21"/>
                <w:szCs w:val="21"/>
                <w:highlight w:val="none"/>
              </w:rPr>
              <w:t>服务时间及地点</w:t>
            </w:r>
          </w:p>
        </w:tc>
        <w:tc>
          <w:tcPr>
            <w:tcW w:w="6733" w:type="dxa"/>
            <w:tcBorders>
              <w:top w:val="single" w:color="auto" w:sz="4" w:space="0"/>
              <w:left w:val="single" w:color="auto" w:sz="4" w:space="0"/>
              <w:bottom w:val="single" w:color="auto" w:sz="4" w:space="0"/>
              <w:right w:val="single" w:color="auto" w:sz="4" w:space="0"/>
            </w:tcBorders>
            <w:vAlign w:val="top"/>
          </w:tcPr>
          <w:p w14:paraId="18562A6E">
            <w:pPr>
              <w:keepNext w:val="0"/>
              <w:keepLines w:val="0"/>
              <w:suppressLineNumbers w:val="0"/>
              <w:spacing w:before="0" w:beforeAutospacing="0" w:after="0" w:afterAutospacing="0" w:line="360" w:lineRule="auto"/>
              <w:ind w:left="0"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1、服务期限：自合同签订之日起一年，以合同约定的具体时间为准。</w:t>
            </w:r>
          </w:p>
          <w:p w14:paraId="1BFE3A02">
            <w:pPr>
              <w:keepNext w:val="0"/>
              <w:keepLines w:val="0"/>
              <w:suppressLineNumbers w:val="0"/>
              <w:spacing w:before="0" w:beforeAutospacing="0" w:after="0" w:afterAutospacing="0" w:line="360" w:lineRule="auto"/>
              <w:ind w:left="0"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2、配送时间：分批次交货，</w:t>
            </w:r>
            <w:r>
              <w:rPr>
                <w:rFonts w:hint="eastAsia" w:asciiTheme="minorEastAsia" w:hAnsiTheme="minorEastAsia" w:eastAsiaTheme="minorEastAsia" w:cstheme="minorEastAsia"/>
                <w:sz w:val="21"/>
                <w:szCs w:val="21"/>
                <w:highlight w:val="none"/>
                <w:lang w:eastAsia="zh-CN"/>
              </w:rPr>
              <w:t>成交</w:t>
            </w:r>
            <w:r>
              <w:rPr>
                <w:rFonts w:hint="eastAsia" w:asciiTheme="minorEastAsia" w:hAnsiTheme="minorEastAsia" w:eastAsiaTheme="minorEastAsia" w:cstheme="minorEastAsia"/>
                <w:sz w:val="21"/>
                <w:szCs w:val="21"/>
                <w:highlight w:val="none"/>
              </w:rPr>
              <w:t>供应商收到采购人通知后，5天内按采购人要求将货送到指定地点，急需耗材的送货时间以科室届时实际要求为准；服务期限内，</w:t>
            </w:r>
            <w:r>
              <w:rPr>
                <w:rFonts w:hint="eastAsia" w:asciiTheme="minorEastAsia" w:hAnsiTheme="minorEastAsia" w:eastAsiaTheme="minorEastAsia" w:cstheme="minorEastAsia"/>
                <w:sz w:val="21"/>
                <w:szCs w:val="21"/>
                <w:highlight w:val="none"/>
                <w:lang w:val="en-US" w:eastAsia="zh-CN"/>
              </w:rPr>
              <w:t>成交</w:t>
            </w:r>
            <w:r>
              <w:rPr>
                <w:rFonts w:hint="eastAsia" w:asciiTheme="minorEastAsia" w:hAnsiTheme="minorEastAsia" w:eastAsiaTheme="minorEastAsia" w:cstheme="minorEastAsia"/>
                <w:sz w:val="21"/>
                <w:szCs w:val="21"/>
                <w:highlight w:val="none"/>
              </w:rPr>
              <w:t>供应商逾期送货累计超过2次（不含本数），采购人有权单方解除合同并按合同约定追究</w:t>
            </w:r>
            <w:r>
              <w:rPr>
                <w:rFonts w:hint="eastAsia" w:asciiTheme="minorEastAsia" w:hAnsiTheme="minorEastAsia" w:eastAsiaTheme="minorEastAsia" w:cstheme="minorEastAsia"/>
                <w:sz w:val="21"/>
                <w:szCs w:val="21"/>
                <w:highlight w:val="none"/>
                <w:lang w:eastAsia="zh-CN"/>
              </w:rPr>
              <w:t>成交</w:t>
            </w:r>
            <w:r>
              <w:rPr>
                <w:rFonts w:hint="eastAsia" w:asciiTheme="minorEastAsia" w:hAnsiTheme="minorEastAsia" w:eastAsiaTheme="minorEastAsia" w:cstheme="minorEastAsia"/>
                <w:sz w:val="21"/>
                <w:szCs w:val="21"/>
                <w:highlight w:val="none"/>
              </w:rPr>
              <w:t>供应商的违约责任。</w:t>
            </w:r>
          </w:p>
          <w:p w14:paraId="02079867">
            <w:pPr>
              <w:keepNext w:val="0"/>
              <w:keepLines w:val="0"/>
              <w:suppressLineNumbers w:val="0"/>
              <w:spacing w:before="0" w:beforeAutospacing="0" w:after="0" w:afterAutospacing="0" w:line="360" w:lineRule="auto"/>
              <w:ind w:left="2" w:leftChars="0" w:right="0"/>
              <w:rPr>
                <w:rFonts w:hint="eastAsia" w:asciiTheme="minorEastAsia" w:hAnsiTheme="minorEastAsia" w:eastAsiaTheme="minorEastAsia" w:cstheme="minorEastAsia"/>
                <w:bCs/>
                <w:sz w:val="21"/>
                <w:szCs w:val="21"/>
                <w:highlight w:val="none"/>
                <w:lang w:val="en-US" w:eastAsia="zh-CN"/>
              </w:rPr>
            </w:pPr>
            <w:r>
              <w:rPr>
                <w:rFonts w:hint="eastAsia" w:asciiTheme="minorEastAsia" w:hAnsiTheme="minorEastAsia" w:eastAsiaTheme="minorEastAsia" w:cstheme="minorEastAsia"/>
                <w:sz w:val="21"/>
                <w:szCs w:val="21"/>
                <w:highlight w:val="none"/>
              </w:rPr>
              <w:t>3、配送地点：采购人指定地点。</w:t>
            </w:r>
          </w:p>
        </w:tc>
      </w:tr>
      <w:tr w14:paraId="6CBF26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5" w:hRule="atLeast"/>
        </w:trPr>
        <w:tc>
          <w:tcPr>
            <w:tcW w:w="2140" w:type="dxa"/>
            <w:tcBorders>
              <w:top w:val="single" w:color="auto" w:sz="4" w:space="0"/>
              <w:left w:val="single" w:color="auto" w:sz="4" w:space="0"/>
              <w:bottom w:val="single" w:color="auto" w:sz="4" w:space="0"/>
              <w:right w:val="single" w:color="auto" w:sz="4" w:space="0"/>
            </w:tcBorders>
            <w:vAlign w:val="center"/>
          </w:tcPr>
          <w:p w14:paraId="19C8281D">
            <w:pPr>
              <w:keepNext w:val="0"/>
              <w:keepLines w:val="0"/>
              <w:suppressLineNumbers w:val="0"/>
              <w:snapToGrid w:val="0"/>
              <w:spacing w:before="0" w:beforeAutospacing="0" w:after="0" w:afterAutospacing="0" w:line="360" w:lineRule="auto"/>
              <w:ind w:left="0" w:right="0"/>
              <w:jc w:val="center"/>
              <w:rPr>
                <w:rFonts w:hint="eastAsia" w:asciiTheme="minorEastAsia" w:hAnsiTheme="minorEastAsia" w:eastAsiaTheme="minorEastAsia" w:cstheme="minorEastAsia"/>
                <w:b/>
                <w:color w:val="auto"/>
                <w:kern w:val="2"/>
                <w:sz w:val="21"/>
                <w:szCs w:val="21"/>
                <w:highlight w:val="none"/>
                <w:lang w:val="en-US" w:eastAsia="zh-CN" w:bidi="ar-SA"/>
              </w:rPr>
            </w:pPr>
            <w:r>
              <w:rPr>
                <w:rFonts w:hint="eastAsia" w:asciiTheme="minorEastAsia" w:hAnsiTheme="minorEastAsia" w:eastAsiaTheme="minorEastAsia" w:cstheme="minorEastAsia"/>
                <w:sz w:val="21"/>
                <w:szCs w:val="21"/>
                <w:highlight w:val="none"/>
              </w:rPr>
              <w:t xml:space="preserve">质保期 </w:t>
            </w:r>
          </w:p>
        </w:tc>
        <w:tc>
          <w:tcPr>
            <w:tcW w:w="6733" w:type="dxa"/>
            <w:tcBorders>
              <w:top w:val="single" w:color="auto" w:sz="4" w:space="0"/>
              <w:left w:val="single" w:color="auto" w:sz="4" w:space="0"/>
              <w:bottom w:val="single" w:color="auto" w:sz="4" w:space="0"/>
              <w:right w:val="single" w:color="auto" w:sz="4" w:space="0"/>
            </w:tcBorders>
            <w:vAlign w:val="top"/>
          </w:tcPr>
          <w:p w14:paraId="1A498B24">
            <w:pPr>
              <w:keepNext w:val="0"/>
              <w:keepLines w:val="0"/>
              <w:suppressLineNumbers w:val="0"/>
              <w:spacing w:before="0" w:beforeAutospacing="0" w:after="0" w:afterAutospacing="0" w:line="360" w:lineRule="auto"/>
              <w:ind w:left="2" w:leftChars="0" w:right="0"/>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sz w:val="21"/>
                <w:szCs w:val="21"/>
                <w:highlight w:val="none"/>
              </w:rPr>
              <w:t>按国家有关产品“三包”规定执行“三包”，除特别说明外，质保期为不得少于 1 年，自产品验收合格并能正常使用之日算起。</w:t>
            </w:r>
          </w:p>
        </w:tc>
      </w:tr>
      <w:tr w14:paraId="42A46E5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5" w:hRule="atLeast"/>
        </w:trPr>
        <w:tc>
          <w:tcPr>
            <w:tcW w:w="2140" w:type="dxa"/>
            <w:tcBorders>
              <w:top w:val="single" w:color="auto" w:sz="4" w:space="0"/>
              <w:left w:val="single" w:color="auto" w:sz="4" w:space="0"/>
              <w:bottom w:val="single" w:color="auto" w:sz="4" w:space="0"/>
              <w:right w:val="single" w:color="auto" w:sz="4" w:space="0"/>
            </w:tcBorders>
            <w:vAlign w:val="center"/>
          </w:tcPr>
          <w:p w14:paraId="206DA01D">
            <w:pPr>
              <w:keepNext w:val="0"/>
              <w:keepLines w:val="0"/>
              <w:suppressLineNumbers w:val="0"/>
              <w:snapToGrid w:val="0"/>
              <w:spacing w:before="0" w:beforeAutospacing="0" w:after="0" w:afterAutospacing="0" w:line="360" w:lineRule="auto"/>
              <w:ind w:left="0" w:right="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售后服务要求</w:t>
            </w:r>
          </w:p>
        </w:tc>
        <w:tc>
          <w:tcPr>
            <w:tcW w:w="6733" w:type="dxa"/>
            <w:tcBorders>
              <w:top w:val="single" w:color="auto" w:sz="4" w:space="0"/>
              <w:left w:val="single" w:color="auto" w:sz="4" w:space="0"/>
              <w:bottom w:val="single" w:color="auto" w:sz="4" w:space="0"/>
              <w:right w:val="single" w:color="auto" w:sz="4" w:space="0"/>
            </w:tcBorders>
            <w:vAlign w:val="top"/>
          </w:tcPr>
          <w:p w14:paraId="552BF35C">
            <w:pPr>
              <w:keepNext w:val="0"/>
              <w:keepLines w:val="0"/>
              <w:suppressLineNumbers w:val="0"/>
              <w:spacing w:before="0" w:beforeAutospacing="0" w:after="0" w:afterAutospacing="0" w:line="360" w:lineRule="auto"/>
              <w:ind w:left="0" w:right="0"/>
              <w:rPr>
                <w:rFonts w:hint="eastAsia" w:asciiTheme="minorEastAsia" w:hAnsiTheme="minorEastAsia" w:eastAsiaTheme="minorEastAsia" w:cstheme="minorEastAsia"/>
                <w:sz w:val="21"/>
                <w:szCs w:val="21"/>
                <w:highlight w:val="none"/>
                <w:lang w:eastAsia="zh-CN"/>
              </w:rPr>
            </w:pPr>
            <w:r>
              <w:rPr>
                <w:rFonts w:hint="eastAsia" w:asciiTheme="minorEastAsia" w:hAnsiTheme="minorEastAsia" w:eastAsiaTheme="minorEastAsia" w:cstheme="minorEastAsia"/>
                <w:sz w:val="21"/>
                <w:szCs w:val="21"/>
                <w:highlight w:val="none"/>
              </w:rPr>
              <w:t>1、免费送货上门</w:t>
            </w:r>
            <w:r>
              <w:rPr>
                <w:rFonts w:hint="eastAsia" w:asciiTheme="minorEastAsia" w:hAnsiTheme="minorEastAsia" w:eastAsiaTheme="minorEastAsia" w:cstheme="minorEastAsia"/>
                <w:sz w:val="21"/>
                <w:szCs w:val="21"/>
                <w:highlight w:val="none"/>
                <w:lang w:eastAsia="zh-CN"/>
              </w:rPr>
              <w:t>。</w:t>
            </w:r>
          </w:p>
          <w:p w14:paraId="11BAFC66">
            <w:pPr>
              <w:keepNext w:val="0"/>
              <w:keepLines w:val="0"/>
              <w:suppressLineNumbers w:val="0"/>
              <w:spacing w:before="0" w:beforeAutospacing="0" w:after="0" w:afterAutospacing="0" w:line="360" w:lineRule="auto"/>
              <w:ind w:left="0"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2、试剂在使用过程中，如有任何质量问题，在接到电话通知后，2 小时内做出响应，24 小时内到达现场。遇到突发情况，须在 1 小时内到达现场。一般问题应在 24 小时内解决，重大问题或其它无法迅速解决的问题应在五个工作日内解决，否则须在采购人允许的迅速解决的问题的期限后二个工作日内提供与原试剂参数要求相同或高于原试剂参数要求的备用产品，以保证采购人的正常工作。</w:t>
            </w:r>
          </w:p>
          <w:p w14:paraId="29511CBE">
            <w:pPr>
              <w:keepNext w:val="0"/>
              <w:keepLines w:val="0"/>
              <w:suppressLineNumbers w:val="0"/>
              <w:spacing w:before="0" w:beforeAutospacing="0" w:after="0" w:afterAutospacing="0" w:line="360" w:lineRule="auto"/>
              <w:ind w:left="0" w:right="0"/>
              <w:rPr>
                <w:rFonts w:hint="eastAsia" w:asciiTheme="minorEastAsia" w:hAnsiTheme="minorEastAsia" w:eastAsiaTheme="minorEastAsia" w:cstheme="minorEastAsia"/>
                <w:sz w:val="21"/>
                <w:szCs w:val="21"/>
                <w:highlight w:val="none"/>
                <w:lang w:eastAsia="zh-CN"/>
              </w:rPr>
            </w:pPr>
            <w:r>
              <w:rPr>
                <w:rFonts w:hint="eastAsia" w:asciiTheme="minorEastAsia" w:hAnsiTheme="minorEastAsia" w:eastAsiaTheme="minorEastAsia" w:cstheme="minorEastAsia"/>
                <w:sz w:val="21"/>
                <w:szCs w:val="21"/>
                <w:highlight w:val="none"/>
              </w:rPr>
              <w:t>3、配送的产品必须是全新、未使用过的产品。产品包装必须是未经使用的全新的合格产品，并按照原厂标准包装规格供货，不接受散装或拆包装件。所有货物都提供使用说明书和详细装箱清单及质量合格证，如确定有质量问题，按照正常程序退货</w:t>
            </w:r>
            <w:r>
              <w:rPr>
                <w:rFonts w:hint="eastAsia" w:asciiTheme="minorEastAsia" w:hAnsiTheme="minorEastAsia" w:eastAsiaTheme="minorEastAsia" w:cstheme="minorEastAsia"/>
                <w:sz w:val="21"/>
                <w:szCs w:val="21"/>
                <w:highlight w:val="none"/>
                <w:lang w:eastAsia="zh-CN"/>
              </w:rPr>
              <w:t>。</w:t>
            </w:r>
          </w:p>
          <w:p w14:paraId="61284BF6">
            <w:pPr>
              <w:keepNext w:val="0"/>
              <w:keepLines w:val="0"/>
              <w:suppressLineNumbers w:val="0"/>
              <w:spacing w:before="0" w:beforeAutospacing="0" w:after="0" w:afterAutospacing="0" w:line="360" w:lineRule="auto"/>
              <w:ind w:left="0"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4、开箱如有缺货、错装、损坏或质量问题，供应商承担全部责任，到货后，货物及其附属物品与合同规定的数量和质量不符，由此造成的货物退换过程的一切费用供应商承担。</w:t>
            </w:r>
          </w:p>
          <w:p w14:paraId="26E5DE76">
            <w:pPr>
              <w:keepNext w:val="0"/>
              <w:keepLines w:val="0"/>
              <w:suppressLineNumbers w:val="0"/>
              <w:spacing w:before="0" w:beforeAutospacing="0" w:after="0" w:afterAutospacing="0" w:line="360" w:lineRule="auto"/>
              <w:ind w:left="0"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5、响应文件中提供可行的售后服务承诺书</w:t>
            </w:r>
            <w:r>
              <w:rPr>
                <w:rFonts w:hint="eastAsia" w:asciiTheme="minorEastAsia" w:hAnsiTheme="minorEastAsia" w:eastAsiaTheme="minorEastAsia" w:cstheme="minorEastAsia"/>
                <w:sz w:val="21"/>
                <w:szCs w:val="21"/>
                <w:highlight w:val="none"/>
                <w:lang w:eastAsia="zh-CN"/>
              </w:rPr>
              <w:t>。</w:t>
            </w:r>
            <w:r>
              <w:rPr>
                <w:rFonts w:hint="eastAsia" w:asciiTheme="minorEastAsia" w:hAnsiTheme="minorEastAsia" w:eastAsiaTheme="minorEastAsia" w:cstheme="minorEastAsia"/>
                <w:sz w:val="21"/>
                <w:szCs w:val="21"/>
                <w:highlight w:val="none"/>
              </w:rPr>
              <w:t>`</w:t>
            </w:r>
          </w:p>
          <w:p w14:paraId="74412F27">
            <w:pPr>
              <w:keepNext w:val="0"/>
              <w:keepLines w:val="0"/>
              <w:suppressLineNumbers w:val="0"/>
              <w:spacing w:before="0" w:beforeAutospacing="0" w:after="0" w:afterAutospacing="0" w:line="360" w:lineRule="auto"/>
              <w:ind w:left="0"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6、成交供应商要在供货数量达到合同签订数量70%后，及时主动联系采购人告知已送货数量。</w:t>
            </w:r>
          </w:p>
          <w:p w14:paraId="3EE4053C">
            <w:pPr>
              <w:keepNext w:val="0"/>
              <w:keepLines w:val="0"/>
              <w:suppressLineNumbers w:val="0"/>
              <w:spacing w:before="0" w:beforeAutospacing="0" w:after="0" w:afterAutospacing="0" w:line="360" w:lineRule="auto"/>
              <w:ind w:left="0" w:right="0"/>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rPr>
              <w:t>7、保证货物在合同期限内有相关产品授权，不得以授权到期为由申请转配送或逾期不供货。</w:t>
            </w:r>
          </w:p>
        </w:tc>
      </w:tr>
      <w:tr w14:paraId="1DEC88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1" w:hRule="atLeast"/>
        </w:trPr>
        <w:tc>
          <w:tcPr>
            <w:tcW w:w="2140" w:type="dxa"/>
            <w:tcBorders>
              <w:top w:val="single" w:color="auto" w:sz="4" w:space="0"/>
              <w:left w:val="single" w:color="auto" w:sz="4" w:space="0"/>
              <w:bottom w:val="single" w:color="auto" w:sz="4" w:space="0"/>
              <w:right w:val="single" w:color="auto" w:sz="4" w:space="0"/>
            </w:tcBorders>
            <w:vAlign w:val="center"/>
          </w:tcPr>
          <w:p w14:paraId="3139DE18">
            <w:pPr>
              <w:keepNext w:val="0"/>
              <w:keepLines w:val="0"/>
              <w:suppressLineNumbers w:val="0"/>
              <w:snapToGrid w:val="0"/>
              <w:spacing w:before="0" w:beforeAutospacing="0" w:after="0" w:afterAutospacing="0" w:line="360" w:lineRule="auto"/>
              <w:ind w:left="0" w:right="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付款方式</w:t>
            </w:r>
          </w:p>
        </w:tc>
        <w:tc>
          <w:tcPr>
            <w:tcW w:w="6733" w:type="dxa"/>
            <w:tcBorders>
              <w:top w:val="single" w:color="auto" w:sz="4" w:space="0"/>
              <w:left w:val="single" w:color="auto" w:sz="4" w:space="0"/>
              <w:bottom w:val="single" w:color="auto" w:sz="4" w:space="0"/>
              <w:right w:val="single" w:color="auto" w:sz="4" w:space="0"/>
            </w:tcBorders>
            <w:vAlign w:val="top"/>
          </w:tcPr>
          <w:p w14:paraId="1C383F5F">
            <w:pPr>
              <w:keepNext w:val="0"/>
              <w:keepLines w:val="0"/>
              <w:suppressLineNumbers w:val="0"/>
              <w:spacing w:before="0" w:beforeAutospacing="0" w:after="0" w:afterAutospacing="0" w:line="360" w:lineRule="auto"/>
              <w:ind w:left="0"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1、</w:t>
            </w:r>
            <w:r>
              <w:rPr>
                <w:rFonts w:hint="eastAsia" w:asciiTheme="minorEastAsia" w:hAnsiTheme="minorEastAsia" w:eastAsiaTheme="minorEastAsia" w:cstheme="minorEastAsia"/>
                <w:sz w:val="21"/>
                <w:szCs w:val="21"/>
                <w:highlight w:val="none"/>
                <w:lang w:eastAsia="zh-CN"/>
              </w:rPr>
              <w:t>成交</w:t>
            </w:r>
            <w:r>
              <w:rPr>
                <w:rFonts w:hint="eastAsia" w:asciiTheme="minorEastAsia" w:hAnsiTheme="minorEastAsia" w:eastAsiaTheme="minorEastAsia" w:cstheme="minorEastAsia"/>
                <w:sz w:val="21"/>
                <w:szCs w:val="21"/>
                <w:highlight w:val="none"/>
              </w:rPr>
              <w:t>供应商送货验收合格后，采购人每月根据实际配送产品数量进行结算，结算时，按实际供货数量×</w:t>
            </w:r>
            <w:r>
              <w:rPr>
                <w:rFonts w:hint="eastAsia" w:asciiTheme="minorEastAsia" w:hAnsiTheme="minorEastAsia" w:eastAsiaTheme="minorEastAsia" w:cstheme="minorEastAsia"/>
                <w:sz w:val="21"/>
                <w:szCs w:val="21"/>
                <w:highlight w:val="none"/>
                <w:lang w:eastAsia="zh-CN"/>
              </w:rPr>
              <w:t>成交</w:t>
            </w:r>
            <w:r>
              <w:rPr>
                <w:rFonts w:hint="eastAsia" w:asciiTheme="minorEastAsia" w:hAnsiTheme="minorEastAsia" w:eastAsiaTheme="minorEastAsia" w:cstheme="minorEastAsia"/>
                <w:sz w:val="21"/>
                <w:szCs w:val="21"/>
                <w:highlight w:val="none"/>
              </w:rPr>
              <w:t>供应商的</w:t>
            </w:r>
            <w:r>
              <w:rPr>
                <w:rFonts w:hint="eastAsia" w:asciiTheme="minorEastAsia" w:hAnsiTheme="minorEastAsia" w:eastAsiaTheme="minorEastAsia" w:cstheme="minorEastAsia"/>
                <w:sz w:val="21"/>
                <w:szCs w:val="21"/>
                <w:highlight w:val="none"/>
                <w:lang w:eastAsia="zh-CN"/>
              </w:rPr>
              <w:t>成交</w:t>
            </w:r>
            <w:r>
              <w:rPr>
                <w:rFonts w:hint="eastAsia" w:asciiTheme="minorEastAsia" w:hAnsiTheme="minorEastAsia" w:eastAsiaTheme="minorEastAsia" w:cstheme="minorEastAsia"/>
                <w:sz w:val="21"/>
                <w:szCs w:val="21"/>
                <w:highlight w:val="none"/>
              </w:rPr>
              <w:t>单价结算。</w:t>
            </w:r>
            <w:r>
              <w:rPr>
                <w:rFonts w:hint="eastAsia" w:asciiTheme="minorEastAsia" w:hAnsiTheme="minorEastAsia" w:eastAsiaTheme="minorEastAsia" w:cstheme="minorEastAsia"/>
                <w:sz w:val="21"/>
                <w:szCs w:val="21"/>
                <w:highlight w:val="none"/>
                <w:lang w:eastAsia="zh-CN"/>
              </w:rPr>
              <w:t>成交</w:t>
            </w:r>
            <w:r>
              <w:rPr>
                <w:rFonts w:hint="eastAsia" w:asciiTheme="minorEastAsia" w:hAnsiTheme="minorEastAsia" w:eastAsiaTheme="minorEastAsia" w:cstheme="minorEastAsia"/>
                <w:sz w:val="21"/>
                <w:szCs w:val="21"/>
                <w:highlight w:val="none"/>
              </w:rPr>
              <w:t>供应商据此开具发票（发票必须由</w:t>
            </w:r>
            <w:r>
              <w:rPr>
                <w:rFonts w:hint="eastAsia" w:asciiTheme="minorEastAsia" w:hAnsiTheme="minorEastAsia" w:eastAsiaTheme="minorEastAsia" w:cstheme="minorEastAsia"/>
                <w:sz w:val="21"/>
                <w:szCs w:val="21"/>
                <w:highlight w:val="none"/>
                <w:lang w:eastAsia="zh-CN"/>
              </w:rPr>
              <w:t>成交</w:t>
            </w:r>
            <w:r>
              <w:rPr>
                <w:rFonts w:hint="eastAsia" w:asciiTheme="minorEastAsia" w:hAnsiTheme="minorEastAsia" w:eastAsiaTheme="minorEastAsia" w:cstheme="minorEastAsia"/>
                <w:sz w:val="21"/>
                <w:szCs w:val="21"/>
                <w:highlight w:val="none"/>
              </w:rPr>
              <w:t>供应商自行验证真伪随同发票一并提供），采购人于收到发票并验收合格后120日内付款。</w:t>
            </w:r>
          </w:p>
          <w:p w14:paraId="42BD77E7">
            <w:pPr>
              <w:keepNext w:val="0"/>
              <w:keepLines w:val="0"/>
              <w:suppressLineNumbers w:val="0"/>
              <w:spacing w:before="0" w:beforeAutospacing="0" w:after="0" w:afterAutospacing="0" w:line="360" w:lineRule="auto"/>
              <w:ind w:left="0"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2、本合同配送的产品为单价，在合同期内需适时调整。若遇市场（包括但不限于</w:t>
            </w:r>
            <w:r>
              <w:rPr>
                <w:rFonts w:hint="eastAsia" w:asciiTheme="minorEastAsia" w:hAnsiTheme="minorEastAsia" w:eastAsiaTheme="minorEastAsia" w:cstheme="minorEastAsia"/>
                <w:sz w:val="21"/>
                <w:szCs w:val="21"/>
                <w:highlight w:val="none"/>
                <w:lang w:eastAsia="zh-CN"/>
              </w:rPr>
              <w:t>成交</w:t>
            </w:r>
            <w:r>
              <w:rPr>
                <w:rFonts w:hint="eastAsia" w:asciiTheme="minorEastAsia" w:hAnsiTheme="minorEastAsia" w:eastAsiaTheme="minorEastAsia" w:cstheme="minorEastAsia"/>
                <w:sz w:val="21"/>
                <w:szCs w:val="21"/>
                <w:highlight w:val="none"/>
              </w:rPr>
              <w:t>供应商及其总代、厂家、政府等）价格下调，</w:t>
            </w:r>
            <w:r>
              <w:rPr>
                <w:rFonts w:hint="eastAsia" w:asciiTheme="minorEastAsia" w:hAnsiTheme="minorEastAsia" w:eastAsiaTheme="minorEastAsia" w:cstheme="minorEastAsia"/>
                <w:sz w:val="21"/>
                <w:szCs w:val="21"/>
                <w:highlight w:val="none"/>
                <w:lang w:eastAsia="zh-CN"/>
              </w:rPr>
              <w:t>成交</w:t>
            </w:r>
            <w:r>
              <w:rPr>
                <w:rFonts w:hint="eastAsia" w:asciiTheme="minorEastAsia" w:hAnsiTheme="minorEastAsia" w:eastAsiaTheme="minorEastAsia" w:cstheme="minorEastAsia"/>
                <w:sz w:val="21"/>
                <w:szCs w:val="21"/>
                <w:highlight w:val="none"/>
              </w:rPr>
              <w:t>供应商应主动及时向采购人提交降价函，于次月执行。</w:t>
            </w:r>
          </w:p>
          <w:p w14:paraId="66932EA0">
            <w:pPr>
              <w:pStyle w:val="17"/>
              <w:keepNext w:val="0"/>
              <w:keepLines w:val="0"/>
              <w:suppressLineNumbers w:val="0"/>
              <w:snapToGrid w:val="0"/>
              <w:spacing w:before="0" w:beforeAutospacing="0" w:after="0" w:afterAutospacing="0" w:line="360" w:lineRule="auto"/>
              <w:ind w:left="0" w:right="0"/>
              <w:outlineLvl w:val="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3、</w:t>
            </w:r>
            <w:r>
              <w:rPr>
                <w:rFonts w:hint="eastAsia" w:asciiTheme="minorEastAsia" w:hAnsiTheme="minorEastAsia" w:eastAsiaTheme="minorEastAsia" w:cstheme="minorEastAsia"/>
                <w:sz w:val="21"/>
                <w:szCs w:val="21"/>
                <w:highlight w:val="none"/>
                <w:lang w:eastAsia="zh-CN"/>
              </w:rPr>
              <w:t>成交</w:t>
            </w:r>
            <w:r>
              <w:rPr>
                <w:rFonts w:hint="eastAsia" w:asciiTheme="minorEastAsia" w:hAnsiTheme="minorEastAsia" w:eastAsiaTheme="minorEastAsia" w:cstheme="minorEastAsia"/>
                <w:sz w:val="21"/>
                <w:szCs w:val="21"/>
                <w:highlight w:val="none"/>
              </w:rPr>
              <w:t>供应商保证产品价格不高于广西地区同级别公立医疗机构实际供货的最低价格，否则采购人有权终止合同，且未供货的产品的费用从已供货产品货款进行抵扣结算。合同期内</w:t>
            </w:r>
            <w:r>
              <w:rPr>
                <w:rFonts w:hint="eastAsia" w:asciiTheme="minorEastAsia" w:hAnsiTheme="minorEastAsia" w:eastAsiaTheme="minorEastAsia" w:cstheme="minorEastAsia"/>
                <w:sz w:val="21"/>
                <w:szCs w:val="21"/>
                <w:highlight w:val="none"/>
                <w:lang w:eastAsia="zh-CN"/>
              </w:rPr>
              <w:t>成交</w:t>
            </w:r>
            <w:r>
              <w:rPr>
                <w:rFonts w:hint="eastAsia" w:asciiTheme="minorEastAsia" w:hAnsiTheme="minorEastAsia" w:eastAsiaTheme="minorEastAsia" w:cstheme="minorEastAsia"/>
                <w:sz w:val="21"/>
                <w:szCs w:val="21"/>
                <w:highlight w:val="none"/>
              </w:rPr>
              <w:t>供应商不得擅自上调供货价格。若特殊原因需要调价，须经采购人书面同意，并按有关程序办理。</w:t>
            </w:r>
          </w:p>
        </w:tc>
      </w:tr>
      <w:tr w14:paraId="66FC7EF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3" w:hRule="atLeast"/>
        </w:trPr>
        <w:tc>
          <w:tcPr>
            <w:tcW w:w="2140" w:type="dxa"/>
            <w:tcBorders>
              <w:top w:val="single" w:color="auto" w:sz="4" w:space="0"/>
              <w:left w:val="single" w:color="auto" w:sz="4" w:space="0"/>
              <w:bottom w:val="single" w:color="auto" w:sz="4" w:space="0"/>
              <w:right w:val="single" w:color="auto" w:sz="4" w:space="0"/>
            </w:tcBorders>
            <w:vAlign w:val="center"/>
          </w:tcPr>
          <w:p w14:paraId="4FC142F0">
            <w:pPr>
              <w:keepNext w:val="0"/>
              <w:keepLines w:val="0"/>
              <w:suppressLineNumbers w:val="0"/>
              <w:snapToGrid w:val="0"/>
              <w:spacing w:before="0" w:beforeAutospacing="0" w:after="0" w:afterAutospacing="0" w:line="360" w:lineRule="auto"/>
              <w:ind w:left="0" w:right="0"/>
              <w:jc w:val="center"/>
              <w:rPr>
                <w:rFonts w:hint="eastAsia" w:asciiTheme="minorEastAsia" w:hAnsiTheme="minorEastAsia" w:eastAsiaTheme="minorEastAsia" w:cstheme="minorEastAsia"/>
                <w:bCs/>
                <w:sz w:val="21"/>
                <w:szCs w:val="21"/>
                <w:highlight w:val="none"/>
              </w:rPr>
            </w:pPr>
            <w:r>
              <w:rPr>
                <w:rFonts w:hint="eastAsia" w:asciiTheme="minorEastAsia" w:hAnsiTheme="minorEastAsia" w:eastAsiaTheme="minorEastAsia" w:cstheme="minorEastAsia"/>
                <w:sz w:val="21"/>
                <w:szCs w:val="21"/>
                <w:highlight w:val="none"/>
              </w:rPr>
              <w:t>验收标准、验收方法</w:t>
            </w:r>
          </w:p>
        </w:tc>
        <w:tc>
          <w:tcPr>
            <w:tcW w:w="6733" w:type="dxa"/>
            <w:tcBorders>
              <w:top w:val="single" w:color="auto" w:sz="4" w:space="0"/>
              <w:left w:val="single" w:color="auto" w:sz="4" w:space="0"/>
              <w:bottom w:val="single" w:color="auto" w:sz="4" w:space="0"/>
              <w:right w:val="single" w:color="auto" w:sz="4" w:space="0"/>
            </w:tcBorders>
            <w:vAlign w:val="top"/>
          </w:tcPr>
          <w:p w14:paraId="34A4C134">
            <w:pPr>
              <w:keepNext w:val="0"/>
              <w:keepLines w:val="0"/>
              <w:suppressLineNumbers w:val="0"/>
              <w:spacing w:before="0" w:beforeAutospacing="0" w:after="0" w:afterAutospacing="0" w:line="360" w:lineRule="auto"/>
              <w:ind w:left="0"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1、</w:t>
            </w:r>
            <w:r>
              <w:rPr>
                <w:rFonts w:hint="eastAsia" w:asciiTheme="minorEastAsia" w:hAnsiTheme="minorEastAsia" w:eastAsiaTheme="minorEastAsia" w:cstheme="minorEastAsia"/>
                <w:sz w:val="21"/>
                <w:szCs w:val="21"/>
                <w:highlight w:val="none"/>
                <w:lang w:eastAsia="zh-CN"/>
              </w:rPr>
              <w:t>成交</w:t>
            </w:r>
            <w:r>
              <w:rPr>
                <w:rFonts w:hint="eastAsia" w:asciiTheme="minorEastAsia" w:hAnsiTheme="minorEastAsia" w:eastAsiaTheme="minorEastAsia" w:cstheme="minorEastAsia"/>
                <w:sz w:val="21"/>
                <w:szCs w:val="21"/>
                <w:highlight w:val="none"/>
              </w:rPr>
              <w:t>供应商提供不符合公告规定的、采购文件、投标文件承诺的或本合同规定的货物，采购人有权拒绝接受。</w:t>
            </w:r>
          </w:p>
          <w:p w14:paraId="433A6311">
            <w:pPr>
              <w:keepNext w:val="0"/>
              <w:keepLines w:val="0"/>
              <w:suppressLineNumbers w:val="0"/>
              <w:spacing w:before="0" w:beforeAutospacing="0" w:after="0" w:afterAutospacing="0" w:line="360" w:lineRule="auto"/>
              <w:ind w:left="0"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2、</w:t>
            </w:r>
            <w:r>
              <w:rPr>
                <w:rFonts w:hint="eastAsia" w:asciiTheme="minorEastAsia" w:hAnsiTheme="minorEastAsia" w:eastAsiaTheme="minorEastAsia" w:cstheme="minorEastAsia"/>
                <w:sz w:val="21"/>
                <w:szCs w:val="21"/>
                <w:highlight w:val="none"/>
                <w:lang w:eastAsia="zh-CN"/>
              </w:rPr>
              <w:t>成交</w:t>
            </w:r>
            <w:r>
              <w:rPr>
                <w:rFonts w:hint="eastAsia" w:asciiTheme="minorEastAsia" w:hAnsiTheme="minorEastAsia" w:eastAsiaTheme="minorEastAsia" w:cstheme="minorEastAsia"/>
                <w:sz w:val="21"/>
                <w:szCs w:val="21"/>
                <w:highlight w:val="none"/>
              </w:rPr>
              <w:t>供应商应将所提供货物的装箱清单、用户手册、合格证明等交付给采购人，如有缺失应在采购人要求的期限内及时补齐，否则视为逾期配送。</w:t>
            </w:r>
          </w:p>
          <w:p w14:paraId="7C3D9D43">
            <w:pPr>
              <w:keepNext w:val="0"/>
              <w:keepLines w:val="0"/>
              <w:suppressLineNumbers w:val="0"/>
              <w:spacing w:before="0" w:beforeAutospacing="0" w:after="0" w:afterAutospacing="0" w:line="360" w:lineRule="auto"/>
              <w:ind w:left="0"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3、产品到达现场后，</w:t>
            </w:r>
            <w:r>
              <w:rPr>
                <w:rFonts w:hint="eastAsia" w:asciiTheme="minorEastAsia" w:hAnsiTheme="minorEastAsia" w:eastAsiaTheme="minorEastAsia" w:cstheme="minorEastAsia"/>
                <w:sz w:val="21"/>
                <w:szCs w:val="21"/>
                <w:highlight w:val="none"/>
                <w:lang w:eastAsia="zh-CN"/>
              </w:rPr>
              <w:t>成交</w:t>
            </w:r>
            <w:r>
              <w:rPr>
                <w:rFonts w:hint="eastAsia" w:asciiTheme="minorEastAsia" w:hAnsiTheme="minorEastAsia" w:eastAsiaTheme="minorEastAsia" w:cstheme="minorEastAsia"/>
                <w:sz w:val="21"/>
                <w:szCs w:val="21"/>
                <w:highlight w:val="none"/>
              </w:rPr>
              <w:t>人应在招标单位人员在场情况下当面开箱，共同清点、检查外观，作出开箱记录，双方签字确认。</w:t>
            </w:r>
            <w:r>
              <w:rPr>
                <w:rFonts w:hint="eastAsia" w:asciiTheme="minorEastAsia" w:hAnsiTheme="minorEastAsia" w:eastAsiaTheme="minorEastAsia" w:cstheme="minorEastAsia"/>
                <w:sz w:val="21"/>
                <w:szCs w:val="21"/>
                <w:highlight w:val="none"/>
                <w:lang w:eastAsia="zh-CN"/>
              </w:rPr>
              <w:t>成交</w:t>
            </w:r>
            <w:r>
              <w:rPr>
                <w:rFonts w:hint="eastAsia" w:asciiTheme="minorEastAsia" w:hAnsiTheme="minorEastAsia" w:eastAsiaTheme="minorEastAsia" w:cstheme="minorEastAsia"/>
                <w:sz w:val="21"/>
                <w:szCs w:val="21"/>
                <w:highlight w:val="none"/>
              </w:rPr>
              <w:t>人应保证货物到达采购人所在地完好无损，如有缺漏、损坏，由</w:t>
            </w:r>
            <w:r>
              <w:rPr>
                <w:rFonts w:hint="eastAsia" w:asciiTheme="minorEastAsia" w:hAnsiTheme="minorEastAsia" w:eastAsiaTheme="minorEastAsia" w:cstheme="minorEastAsia"/>
                <w:sz w:val="21"/>
                <w:szCs w:val="21"/>
                <w:highlight w:val="none"/>
                <w:lang w:eastAsia="zh-CN"/>
              </w:rPr>
              <w:t>成交</w:t>
            </w:r>
            <w:r>
              <w:rPr>
                <w:rFonts w:hint="eastAsia" w:asciiTheme="minorEastAsia" w:hAnsiTheme="minorEastAsia" w:eastAsiaTheme="minorEastAsia" w:cstheme="minorEastAsia"/>
                <w:sz w:val="21"/>
                <w:szCs w:val="21"/>
                <w:highlight w:val="none"/>
              </w:rPr>
              <w:t>人负责调换、补齐或赔偿。</w:t>
            </w:r>
          </w:p>
          <w:p w14:paraId="42B26BA4">
            <w:pPr>
              <w:keepNext w:val="0"/>
              <w:keepLines w:val="0"/>
              <w:suppressLineNumbers w:val="0"/>
              <w:spacing w:before="0" w:beforeAutospacing="0" w:after="0" w:afterAutospacing="0" w:line="360" w:lineRule="auto"/>
              <w:ind w:left="0"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4、采购人对验收有异议的，在验收后以书面形式向</w:t>
            </w:r>
            <w:r>
              <w:rPr>
                <w:rFonts w:hint="eastAsia" w:asciiTheme="minorEastAsia" w:hAnsiTheme="minorEastAsia" w:eastAsiaTheme="minorEastAsia" w:cstheme="minorEastAsia"/>
                <w:sz w:val="21"/>
                <w:szCs w:val="21"/>
                <w:highlight w:val="none"/>
                <w:lang w:eastAsia="zh-CN"/>
              </w:rPr>
              <w:t>成交</w:t>
            </w:r>
            <w:r>
              <w:rPr>
                <w:rFonts w:hint="eastAsia" w:asciiTheme="minorEastAsia" w:hAnsiTheme="minorEastAsia" w:eastAsiaTheme="minorEastAsia" w:cstheme="minorEastAsia"/>
                <w:sz w:val="21"/>
                <w:szCs w:val="21"/>
                <w:highlight w:val="none"/>
              </w:rPr>
              <w:t>供应商提出，</w:t>
            </w:r>
            <w:r>
              <w:rPr>
                <w:rFonts w:hint="eastAsia" w:asciiTheme="minorEastAsia" w:hAnsiTheme="minorEastAsia" w:eastAsiaTheme="minorEastAsia" w:cstheme="minorEastAsia"/>
                <w:sz w:val="21"/>
                <w:szCs w:val="21"/>
                <w:highlight w:val="none"/>
                <w:lang w:eastAsia="zh-CN"/>
              </w:rPr>
              <w:t>成交</w:t>
            </w:r>
            <w:r>
              <w:rPr>
                <w:rFonts w:hint="eastAsia" w:asciiTheme="minorEastAsia" w:hAnsiTheme="minorEastAsia" w:eastAsiaTheme="minorEastAsia" w:cstheme="minorEastAsia"/>
                <w:sz w:val="21"/>
                <w:szCs w:val="21"/>
                <w:highlight w:val="none"/>
              </w:rPr>
              <w:t>供应商应自收到采购人书面异议后五日内及时予以解决，</w:t>
            </w:r>
            <w:r>
              <w:rPr>
                <w:rFonts w:hint="eastAsia" w:asciiTheme="minorEastAsia" w:hAnsiTheme="minorEastAsia" w:eastAsiaTheme="minorEastAsia" w:cstheme="minorEastAsia"/>
                <w:sz w:val="21"/>
                <w:szCs w:val="21"/>
                <w:highlight w:val="none"/>
                <w:lang w:eastAsia="zh-CN"/>
              </w:rPr>
              <w:t>成交</w:t>
            </w:r>
            <w:r>
              <w:rPr>
                <w:rFonts w:hint="eastAsia" w:asciiTheme="minorEastAsia" w:hAnsiTheme="minorEastAsia" w:eastAsiaTheme="minorEastAsia" w:cstheme="minorEastAsia"/>
                <w:sz w:val="21"/>
                <w:szCs w:val="21"/>
                <w:highlight w:val="none"/>
              </w:rPr>
              <w:t>供应商不予答复或未予以实质解决的，视为认可采购人异议及处置意见。</w:t>
            </w:r>
          </w:p>
          <w:p w14:paraId="45F4C3A8">
            <w:pPr>
              <w:keepNext w:val="0"/>
              <w:keepLines w:val="0"/>
              <w:suppressLineNumbers w:val="0"/>
              <w:spacing w:before="0" w:beforeAutospacing="0" w:after="0" w:afterAutospacing="0" w:line="360" w:lineRule="auto"/>
              <w:ind w:left="0"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5、若采购人委托第三方组织的验收项目，其验收时间以该项目验收方案确定的验收时间为准，验收结果以该项目验收报告结论为准。在验收过程中发现</w:t>
            </w:r>
            <w:r>
              <w:rPr>
                <w:rFonts w:hint="eastAsia" w:asciiTheme="minorEastAsia" w:hAnsiTheme="minorEastAsia" w:eastAsiaTheme="minorEastAsia" w:cstheme="minorEastAsia"/>
                <w:sz w:val="21"/>
                <w:szCs w:val="21"/>
                <w:highlight w:val="none"/>
                <w:lang w:eastAsia="zh-CN"/>
              </w:rPr>
              <w:t>成交</w:t>
            </w:r>
            <w:r>
              <w:rPr>
                <w:rFonts w:hint="eastAsia" w:asciiTheme="minorEastAsia" w:hAnsiTheme="minorEastAsia" w:eastAsiaTheme="minorEastAsia" w:cstheme="minorEastAsia"/>
                <w:sz w:val="21"/>
                <w:szCs w:val="21"/>
                <w:highlight w:val="none"/>
              </w:rPr>
              <w:t>供应商有违约问题，可暂缓资金结算，待违约问题解决后，方可办理资金结算事宜，在此期间，采购人不承担逾期付款责任。</w:t>
            </w:r>
          </w:p>
          <w:p w14:paraId="729ADEC7">
            <w:pPr>
              <w:keepNext w:val="0"/>
              <w:keepLines w:val="0"/>
              <w:suppressLineNumbers w:val="0"/>
              <w:spacing w:before="0" w:beforeAutospacing="0" w:after="0" w:afterAutospacing="0" w:line="360" w:lineRule="auto"/>
              <w:ind w:left="0"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6、其他未尽事宜应严格按照《关于印发广西壮族自治区政府采购项目履约验收管理办法的通知》[桂财采〔2015〕22 号]以及《财政部关于进一步加强政府采购需求和履约验收管理的指导意见》[财库〔2016〕205 号]规定执行。</w:t>
            </w:r>
          </w:p>
          <w:p w14:paraId="308221F8">
            <w:pPr>
              <w:pStyle w:val="17"/>
              <w:keepNext w:val="0"/>
              <w:keepLines w:val="0"/>
              <w:suppressLineNumbers w:val="0"/>
              <w:snapToGrid w:val="0"/>
              <w:spacing w:before="0" w:beforeAutospacing="0" w:after="0" w:afterAutospacing="0" w:line="360" w:lineRule="auto"/>
              <w:ind w:left="0" w:right="0"/>
              <w:outlineLvl w:val="0"/>
              <w:rPr>
                <w:rFonts w:hint="eastAsia" w:asciiTheme="minorEastAsia" w:hAnsiTheme="minorEastAsia" w:eastAsiaTheme="minorEastAsia" w:cstheme="minorEastAsia"/>
                <w:bCs/>
                <w:sz w:val="21"/>
                <w:szCs w:val="21"/>
                <w:highlight w:val="none"/>
                <w:lang w:val="en-US" w:eastAsia="zh-CN"/>
              </w:rPr>
            </w:pPr>
            <w:r>
              <w:rPr>
                <w:rFonts w:hint="eastAsia" w:asciiTheme="minorEastAsia" w:hAnsiTheme="minorEastAsia" w:eastAsiaTheme="minorEastAsia" w:cstheme="minorEastAsia"/>
                <w:sz w:val="21"/>
                <w:szCs w:val="21"/>
                <w:highlight w:val="none"/>
              </w:rPr>
              <w:t>7、验收过程中所产生的一切费用均由</w:t>
            </w:r>
            <w:r>
              <w:rPr>
                <w:rFonts w:hint="eastAsia" w:asciiTheme="minorEastAsia" w:hAnsiTheme="minorEastAsia" w:eastAsiaTheme="minorEastAsia" w:cstheme="minorEastAsia"/>
                <w:sz w:val="21"/>
                <w:szCs w:val="21"/>
                <w:highlight w:val="none"/>
                <w:lang w:eastAsia="zh-CN"/>
              </w:rPr>
              <w:t>成交</w:t>
            </w:r>
            <w:r>
              <w:rPr>
                <w:rFonts w:hint="eastAsia" w:asciiTheme="minorEastAsia" w:hAnsiTheme="minorEastAsia" w:eastAsiaTheme="minorEastAsia" w:cstheme="minorEastAsia"/>
                <w:sz w:val="21"/>
                <w:szCs w:val="21"/>
                <w:highlight w:val="none"/>
              </w:rPr>
              <w:t>人承担，包括</w:t>
            </w:r>
            <w:r>
              <w:rPr>
                <w:rFonts w:hint="eastAsia" w:asciiTheme="minorEastAsia" w:hAnsiTheme="minorEastAsia" w:eastAsiaTheme="minorEastAsia" w:cstheme="minorEastAsia"/>
                <w:sz w:val="21"/>
                <w:szCs w:val="21"/>
                <w:highlight w:val="none"/>
                <w:lang w:eastAsia="zh-CN"/>
              </w:rPr>
              <w:t>成交</w:t>
            </w:r>
            <w:r>
              <w:rPr>
                <w:rFonts w:hint="eastAsia" w:asciiTheme="minorEastAsia" w:hAnsiTheme="minorEastAsia" w:eastAsiaTheme="minorEastAsia" w:cstheme="minorEastAsia"/>
                <w:sz w:val="21"/>
                <w:szCs w:val="21"/>
                <w:highlight w:val="none"/>
              </w:rPr>
              <w:t>人邀请第三方检测机构出具检测报告的费用、邀请第三方验收代理机构组织验收的费用以及因检测或验收不合格导致开展再次检测或验收所产生的费用等。</w:t>
            </w:r>
          </w:p>
        </w:tc>
      </w:tr>
      <w:tr w14:paraId="636928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7" w:hRule="atLeast"/>
        </w:trPr>
        <w:tc>
          <w:tcPr>
            <w:tcW w:w="2140" w:type="dxa"/>
            <w:tcBorders>
              <w:top w:val="single" w:color="auto" w:sz="4" w:space="0"/>
              <w:left w:val="single" w:color="auto" w:sz="4" w:space="0"/>
              <w:bottom w:val="single" w:color="auto" w:sz="4" w:space="0"/>
              <w:right w:val="single" w:color="auto" w:sz="4" w:space="0"/>
            </w:tcBorders>
            <w:vAlign w:val="center"/>
          </w:tcPr>
          <w:p w14:paraId="6D3C4A5F">
            <w:pPr>
              <w:keepNext w:val="0"/>
              <w:keepLines w:val="0"/>
              <w:suppressLineNumbers w:val="0"/>
              <w:snapToGrid w:val="0"/>
              <w:spacing w:before="0" w:beforeAutospacing="0" w:after="0" w:afterAutospacing="0" w:line="360" w:lineRule="auto"/>
              <w:ind w:left="0" w:right="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投标报价要求</w:t>
            </w:r>
          </w:p>
        </w:tc>
        <w:tc>
          <w:tcPr>
            <w:tcW w:w="6733" w:type="dxa"/>
            <w:tcBorders>
              <w:top w:val="single" w:color="auto" w:sz="4" w:space="0"/>
              <w:left w:val="single" w:color="auto" w:sz="4" w:space="0"/>
              <w:bottom w:val="single" w:color="auto" w:sz="4" w:space="0"/>
              <w:right w:val="single" w:color="auto" w:sz="4" w:space="0"/>
            </w:tcBorders>
            <w:vAlign w:val="top"/>
          </w:tcPr>
          <w:p w14:paraId="25200633">
            <w:pPr>
              <w:pStyle w:val="9"/>
              <w:keepNext w:val="0"/>
              <w:keepLines w:val="0"/>
              <w:suppressLineNumbers w:val="0"/>
              <w:spacing w:before="0" w:beforeAutospacing="0" w:after="0" w:afterAutospacing="0"/>
              <w:ind w:left="0"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1、采购预算总价仅作为合同暂定总价，本项目实行单价合同进行采购，根据实际供货数量*</w:t>
            </w:r>
            <w:r>
              <w:rPr>
                <w:rFonts w:hint="eastAsia" w:asciiTheme="minorEastAsia" w:hAnsiTheme="minorEastAsia" w:eastAsiaTheme="minorEastAsia" w:cstheme="minorEastAsia"/>
                <w:sz w:val="21"/>
                <w:szCs w:val="21"/>
                <w:highlight w:val="none"/>
                <w:lang w:eastAsia="zh-CN"/>
              </w:rPr>
              <w:t>成交</w:t>
            </w:r>
            <w:r>
              <w:rPr>
                <w:rFonts w:hint="eastAsia" w:asciiTheme="minorEastAsia" w:hAnsiTheme="minorEastAsia" w:eastAsiaTheme="minorEastAsia" w:cstheme="minorEastAsia"/>
                <w:sz w:val="21"/>
                <w:szCs w:val="21"/>
                <w:highlight w:val="none"/>
              </w:rPr>
              <w:t>供应商的</w:t>
            </w:r>
            <w:r>
              <w:rPr>
                <w:rFonts w:hint="eastAsia" w:asciiTheme="minorEastAsia" w:hAnsiTheme="minorEastAsia" w:eastAsiaTheme="minorEastAsia" w:cstheme="minorEastAsia"/>
                <w:sz w:val="21"/>
                <w:szCs w:val="21"/>
                <w:highlight w:val="none"/>
                <w:lang w:eastAsia="zh-CN"/>
              </w:rPr>
              <w:t>成交</w:t>
            </w:r>
            <w:r>
              <w:rPr>
                <w:rFonts w:hint="eastAsia" w:asciiTheme="minorEastAsia" w:hAnsiTheme="minorEastAsia" w:eastAsiaTheme="minorEastAsia" w:cstheme="minorEastAsia"/>
                <w:sz w:val="21"/>
                <w:szCs w:val="21"/>
                <w:highlight w:val="none"/>
              </w:rPr>
              <w:t>单价结算，最终结算金额不得超过预算总价。最终结算金额包括但不限于：完成项目所有服务所需的费用，包含配送的试剂耗材、采购的全部费用、产品指定交货地点的各种费用、售后服务、税金、利息及其它所有成本费用的总和，合同履约期间采购人不再支付其他费用。</w:t>
            </w:r>
          </w:p>
          <w:p w14:paraId="15C9B5D0">
            <w:pPr>
              <w:keepNext w:val="0"/>
              <w:keepLines w:val="0"/>
              <w:suppressLineNumbers w:val="0"/>
              <w:spacing w:before="0" w:beforeAutospacing="0" w:after="0" w:afterAutospacing="0" w:line="360" w:lineRule="auto"/>
              <w:ind w:left="0"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2、本项目只确定每个品种耗材的“配送单价”，配送服务费=“配送单价”×实际数量。投标人需按“开标一览表”格式完整填写每个品种耗材的“配送单价”，并填写“单价合计总价”，“单价合计总价”将做为价格分的评审依据。</w:t>
            </w:r>
          </w:p>
          <w:p w14:paraId="6DCFBE86">
            <w:pPr>
              <w:keepNext w:val="0"/>
              <w:keepLines w:val="0"/>
              <w:suppressLineNumbers w:val="0"/>
              <w:spacing w:before="0" w:beforeAutospacing="0" w:after="0" w:afterAutospacing="0" w:line="360" w:lineRule="auto"/>
              <w:ind w:left="0" w:right="0"/>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sz w:val="21"/>
                <w:szCs w:val="21"/>
                <w:highlight w:val="none"/>
              </w:rPr>
              <w:t>3、结算时，按实际供货数量*</w:t>
            </w:r>
            <w:r>
              <w:rPr>
                <w:rFonts w:hint="eastAsia" w:asciiTheme="minorEastAsia" w:hAnsiTheme="minorEastAsia" w:eastAsiaTheme="minorEastAsia" w:cstheme="minorEastAsia"/>
                <w:sz w:val="21"/>
                <w:szCs w:val="21"/>
                <w:highlight w:val="none"/>
                <w:lang w:eastAsia="zh-CN"/>
              </w:rPr>
              <w:t>成交</w:t>
            </w:r>
            <w:r>
              <w:rPr>
                <w:rFonts w:hint="eastAsia" w:asciiTheme="minorEastAsia" w:hAnsiTheme="minorEastAsia" w:eastAsiaTheme="minorEastAsia" w:cstheme="minorEastAsia"/>
                <w:sz w:val="21"/>
                <w:szCs w:val="21"/>
                <w:highlight w:val="none"/>
              </w:rPr>
              <w:t>供应商的</w:t>
            </w:r>
            <w:r>
              <w:rPr>
                <w:rFonts w:hint="eastAsia" w:asciiTheme="minorEastAsia" w:hAnsiTheme="minorEastAsia" w:eastAsiaTheme="minorEastAsia" w:cstheme="minorEastAsia"/>
                <w:sz w:val="21"/>
                <w:szCs w:val="21"/>
                <w:highlight w:val="none"/>
                <w:lang w:eastAsia="zh-CN"/>
              </w:rPr>
              <w:t>成交</w:t>
            </w:r>
            <w:r>
              <w:rPr>
                <w:rFonts w:hint="eastAsia" w:asciiTheme="minorEastAsia" w:hAnsiTheme="minorEastAsia" w:eastAsiaTheme="minorEastAsia" w:cstheme="minorEastAsia"/>
                <w:sz w:val="21"/>
                <w:szCs w:val="21"/>
                <w:highlight w:val="none"/>
              </w:rPr>
              <w:t>单价结算，如在合同期内调整过单价的，按双方确认调整后的单价进行计算。</w:t>
            </w:r>
          </w:p>
        </w:tc>
      </w:tr>
      <w:tr w14:paraId="64B413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7" w:hRule="atLeast"/>
        </w:trPr>
        <w:tc>
          <w:tcPr>
            <w:tcW w:w="2140" w:type="dxa"/>
            <w:tcBorders>
              <w:top w:val="single" w:color="auto" w:sz="4" w:space="0"/>
              <w:left w:val="single" w:color="auto" w:sz="4" w:space="0"/>
              <w:bottom w:val="single" w:color="auto" w:sz="4" w:space="0"/>
              <w:right w:val="single" w:color="auto" w:sz="4" w:space="0"/>
            </w:tcBorders>
            <w:vAlign w:val="center"/>
          </w:tcPr>
          <w:p w14:paraId="3D9182E0">
            <w:pPr>
              <w:keepNext w:val="0"/>
              <w:keepLines w:val="0"/>
              <w:suppressLineNumbers w:val="0"/>
              <w:snapToGrid w:val="0"/>
              <w:spacing w:before="0" w:beforeAutospacing="0" w:after="0" w:afterAutospacing="0" w:line="360" w:lineRule="auto"/>
              <w:ind w:left="0" w:right="0"/>
              <w:jc w:val="center"/>
              <w:rPr>
                <w:rFonts w:hint="eastAsia" w:asciiTheme="minorEastAsia" w:hAnsiTheme="minorEastAsia" w:eastAsiaTheme="minorEastAsia" w:cstheme="minorEastAsia"/>
                <w:b/>
                <w:kern w:val="2"/>
                <w:sz w:val="21"/>
                <w:szCs w:val="21"/>
                <w:highlight w:val="none"/>
                <w:lang w:val="en-US" w:eastAsia="zh-CN" w:bidi="ar-SA"/>
              </w:rPr>
            </w:pPr>
            <w:r>
              <w:rPr>
                <w:rFonts w:hint="eastAsia" w:asciiTheme="minorEastAsia" w:hAnsiTheme="minorEastAsia" w:eastAsiaTheme="minorEastAsia" w:cstheme="minorEastAsia"/>
                <w:sz w:val="21"/>
                <w:szCs w:val="21"/>
                <w:highlight w:val="none"/>
              </w:rPr>
              <w:t>其他要求</w:t>
            </w:r>
          </w:p>
        </w:tc>
        <w:tc>
          <w:tcPr>
            <w:tcW w:w="6733" w:type="dxa"/>
            <w:tcBorders>
              <w:top w:val="single" w:color="auto" w:sz="4" w:space="0"/>
              <w:left w:val="single" w:color="auto" w:sz="4" w:space="0"/>
              <w:bottom w:val="single" w:color="auto" w:sz="4" w:space="0"/>
              <w:right w:val="single" w:color="auto" w:sz="4" w:space="0"/>
            </w:tcBorders>
            <w:vAlign w:val="top"/>
          </w:tcPr>
          <w:p w14:paraId="3F510084">
            <w:pPr>
              <w:keepNext w:val="0"/>
              <w:keepLines w:val="0"/>
              <w:suppressLineNumbers w:val="0"/>
              <w:spacing w:before="0" w:beforeAutospacing="0" w:after="0" w:afterAutospacing="0" w:line="360" w:lineRule="auto"/>
              <w:ind w:left="0"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1、</w:t>
            </w:r>
            <w:r>
              <w:rPr>
                <w:rFonts w:hint="eastAsia" w:asciiTheme="minorEastAsia" w:hAnsiTheme="minorEastAsia" w:eastAsiaTheme="minorEastAsia" w:cstheme="minorEastAsia"/>
                <w:sz w:val="21"/>
                <w:szCs w:val="21"/>
                <w:highlight w:val="none"/>
                <w:lang w:eastAsia="zh-CN"/>
              </w:rPr>
              <w:t>成交</w:t>
            </w:r>
            <w:r>
              <w:rPr>
                <w:rFonts w:hint="eastAsia" w:asciiTheme="minorEastAsia" w:hAnsiTheme="minorEastAsia" w:eastAsiaTheme="minorEastAsia" w:cstheme="minorEastAsia"/>
                <w:sz w:val="21"/>
                <w:szCs w:val="21"/>
                <w:highlight w:val="none"/>
              </w:rPr>
              <w:t>供应商配送时必须向采购人提供原厂生产的全新合格产品，同时提供产品的全套资料，包含但不限于：“医疗器械生产企业许可证”、“医疗器械经营许可/备案证”、“中华人民共和国医疗器械注册证和注册登记表”、“一次性医疗用品质量跟踪卡”、“产品合格证”、“同批次产品检验报告”。</w:t>
            </w:r>
          </w:p>
          <w:p w14:paraId="40445046">
            <w:pPr>
              <w:keepNext w:val="0"/>
              <w:keepLines w:val="0"/>
              <w:suppressLineNumbers w:val="0"/>
              <w:spacing w:before="0" w:beforeAutospacing="0" w:after="0" w:afterAutospacing="0" w:line="360" w:lineRule="auto"/>
              <w:ind w:left="0"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2、</w:t>
            </w:r>
            <w:r>
              <w:rPr>
                <w:rFonts w:hint="eastAsia" w:asciiTheme="minorEastAsia" w:hAnsiTheme="minorEastAsia" w:eastAsiaTheme="minorEastAsia" w:cstheme="minorEastAsia"/>
                <w:sz w:val="21"/>
                <w:szCs w:val="21"/>
                <w:highlight w:val="none"/>
                <w:lang w:eastAsia="zh-CN"/>
              </w:rPr>
              <w:t>成交</w:t>
            </w:r>
            <w:r>
              <w:rPr>
                <w:rFonts w:hint="eastAsia" w:asciiTheme="minorEastAsia" w:hAnsiTheme="minorEastAsia" w:eastAsiaTheme="minorEastAsia" w:cstheme="minorEastAsia"/>
                <w:sz w:val="21"/>
                <w:szCs w:val="21"/>
                <w:highlight w:val="none"/>
              </w:rPr>
              <w:t>供应商按合同附件要求的品牌型号、规格、价格提供产品，所提供的产品与医疗器械注册证和注册登记表完全相符。如与采购人计划不符或达不到合同约定的，采购人可要求</w:t>
            </w:r>
            <w:r>
              <w:rPr>
                <w:rFonts w:hint="eastAsia" w:asciiTheme="minorEastAsia" w:hAnsiTheme="minorEastAsia" w:eastAsiaTheme="minorEastAsia" w:cstheme="minorEastAsia"/>
                <w:sz w:val="21"/>
                <w:szCs w:val="21"/>
                <w:highlight w:val="none"/>
                <w:lang w:eastAsia="zh-CN"/>
              </w:rPr>
              <w:t>成交</w:t>
            </w:r>
            <w:r>
              <w:rPr>
                <w:rFonts w:hint="eastAsia" w:asciiTheme="minorEastAsia" w:hAnsiTheme="minorEastAsia" w:eastAsiaTheme="minorEastAsia" w:cstheme="minorEastAsia"/>
                <w:sz w:val="21"/>
                <w:szCs w:val="21"/>
                <w:highlight w:val="none"/>
              </w:rPr>
              <w:t>供应商立即退货、换货、补货。未经采购人书面同意，</w:t>
            </w:r>
            <w:r>
              <w:rPr>
                <w:rFonts w:hint="eastAsia" w:asciiTheme="minorEastAsia" w:hAnsiTheme="minorEastAsia" w:eastAsiaTheme="minorEastAsia" w:cstheme="minorEastAsia"/>
                <w:sz w:val="21"/>
                <w:szCs w:val="21"/>
                <w:highlight w:val="none"/>
                <w:lang w:eastAsia="zh-CN"/>
              </w:rPr>
              <w:t>成交</w:t>
            </w:r>
            <w:r>
              <w:rPr>
                <w:rFonts w:hint="eastAsia" w:asciiTheme="minorEastAsia" w:hAnsiTheme="minorEastAsia" w:eastAsiaTheme="minorEastAsia" w:cstheme="minorEastAsia"/>
                <w:sz w:val="21"/>
                <w:szCs w:val="21"/>
                <w:highlight w:val="none"/>
              </w:rPr>
              <w:t>供应商不得更换产品品牌、型号，否则采购人有权终止合同。</w:t>
            </w:r>
          </w:p>
          <w:p w14:paraId="57C6259C">
            <w:pPr>
              <w:keepNext w:val="0"/>
              <w:keepLines w:val="0"/>
              <w:suppressLineNumbers w:val="0"/>
              <w:spacing w:before="0" w:beforeAutospacing="0" w:after="0" w:afterAutospacing="0" w:line="360" w:lineRule="auto"/>
              <w:ind w:left="0"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3、对不符合质量要求或不符合无菌转运要求的产品，采购人有权拒绝接收，</w:t>
            </w:r>
            <w:r>
              <w:rPr>
                <w:rFonts w:hint="eastAsia" w:asciiTheme="minorEastAsia" w:hAnsiTheme="minorEastAsia" w:eastAsiaTheme="minorEastAsia" w:cstheme="minorEastAsia"/>
                <w:sz w:val="21"/>
                <w:szCs w:val="21"/>
                <w:highlight w:val="none"/>
                <w:lang w:eastAsia="zh-CN"/>
              </w:rPr>
              <w:t>成交</w:t>
            </w:r>
            <w:r>
              <w:rPr>
                <w:rFonts w:hint="eastAsia" w:asciiTheme="minorEastAsia" w:hAnsiTheme="minorEastAsia" w:eastAsiaTheme="minorEastAsia" w:cstheme="minorEastAsia"/>
                <w:sz w:val="21"/>
                <w:szCs w:val="21"/>
                <w:highlight w:val="none"/>
              </w:rPr>
              <w:t>供应商应对相应产品及时进行更换，不得影响采购人的临床应用。本规定的执行不免除</w:t>
            </w:r>
            <w:r>
              <w:rPr>
                <w:rFonts w:hint="eastAsia" w:asciiTheme="minorEastAsia" w:hAnsiTheme="minorEastAsia" w:eastAsiaTheme="minorEastAsia" w:cstheme="minorEastAsia"/>
                <w:sz w:val="21"/>
                <w:szCs w:val="21"/>
                <w:highlight w:val="none"/>
                <w:lang w:eastAsia="zh-CN"/>
              </w:rPr>
              <w:t>成交</w:t>
            </w:r>
            <w:r>
              <w:rPr>
                <w:rFonts w:hint="eastAsia" w:asciiTheme="minorEastAsia" w:hAnsiTheme="minorEastAsia" w:eastAsiaTheme="minorEastAsia" w:cstheme="minorEastAsia"/>
                <w:sz w:val="21"/>
                <w:szCs w:val="21"/>
                <w:highlight w:val="none"/>
              </w:rPr>
              <w:t>供应商因产品质量产生的其他责任。</w:t>
            </w:r>
          </w:p>
          <w:p w14:paraId="09A1ADCA">
            <w:pPr>
              <w:keepNext w:val="0"/>
              <w:keepLines w:val="0"/>
              <w:suppressLineNumbers w:val="0"/>
              <w:spacing w:before="0" w:beforeAutospacing="0" w:after="0" w:afterAutospacing="0" w:line="360" w:lineRule="auto"/>
              <w:ind w:left="0"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4、</w:t>
            </w:r>
            <w:r>
              <w:rPr>
                <w:rFonts w:hint="eastAsia" w:asciiTheme="minorEastAsia" w:hAnsiTheme="minorEastAsia" w:eastAsiaTheme="minorEastAsia" w:cstheme="minorEastAsia"/>
                <w:sz w:val="21"/>
                <w:szCs w:val="21"/>
                <w:highlight w:val="none"/>
                <w:lang w:eastAsia="zh-CN"/>
              </w:rPr>
              <w:t>成交</w:t>
            </w:r>
            <w:r>
              <w:rPr>
                <w:rFonts w:hint="eastAsia" w:asciiTheme="minorEastAsia" w:hAnsiTheme="minorEastAsia" w:eastAsiaTheme="minorEastAsia" w:cstheme="minorEastAsia"/>
                <w:sz w:val="21"/>
                <w:szCs w:val="21"/>
                <w:highlight w:val="none"/>
              </w:rPr>
              <w:t>供应商要保证供应最新批号的产品。</w:t>
            </w:r>
          </w:p>
          <w:p w14:paraId="3E94F627">
            <w:pPr>
              <w:keepNext w:val="0"/>
              <w:keepLines w:val="0"/>
              <w:suppressLineNumbers w:val="0"/>
              <w:spacing w:before="0" w:beforeAutospacing="0" w:after="0" w:afterAutospacing="0" w:line="360" w:lineRule="auto"/>
              <w:ind w:left="0"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5、供应商配送的试剂耗材进入医院后，应接受国家、省、市有关行业主管部门的抽查或检验。在抽查或检验过程中由于</w:t>
            </w:r>
            <w:r>
              <w:rPr>
                <w:rFonts w:hint="eastAsia" w:asciiTheme="minorEastAsia" w:hAnsiTheme="minorEastAsia" w:eastAsiaTheme="minorEastAsia" w:cstheme="minorEastAsia"/>
                <w:sz w:val="21"/>
                <w:szCs w:val="21"/>
                <w:highlight w:val="none"/>
                <w:lang w:eastAsia="zh-CN"/>
              </w:rPr>
              <w:t>成交</w:t>
            </w:r>
            <w:r>
              <w:rPr>
                <w:rFonts w:hint="eastAsia" w:asciiTheme="minorEastAsia" w:hAnsiTheme="minorEastAsia" w:eastAsiaTheme="minorEastAsia" w:cstheme="minorEastAsia"/>
                <w:sz w:val="21"/>
                <w:szCs w:val="21"/>
                <w:highlight w:val="none"/>
              </w:rPr>
              <w:t>供应商产品的证照、标识、质量等问题而导致的罚没款项均由</w:t>
            </w:r>
            <w:r>
              <w:rPr>
                <w:rFonts w:hint="eastAsia" w:asciiTheme="minorEastAsia" w:hAnsiTheme="minorEastAsia" w:eastAsiaTheme="minorEastAsia" w:cstheme="minorEastAsia"/>
                <w:sz w:val="21"/>
                <w:szCs w:val="21"/>
                <w:highlight w:val="none"/>
                <w:lang w:eastAsia="zh-CN"/>
              </w:rPr>
              <w:t>成交</w:t>
            </w:r>
            <w:r>
              <w:rPr>
                <w:rFonts w:hint="eastAsia" w:asciiTheme="minorEastAsia" w:hAnsiTheme="minorEastAsia" w:eastAsiaTheme="minorEastAsia" w:cstheme="minorEastAsia"/>
                <w:sz w:val="21"/>
                <w:szCs w:val="21"/>
                <w:highlight w:val="none"/>
              </w:rPr>
              <w:t>供应商承担相应的法律责任。</w:t>
            </w:r>
          </w:p>
          <w:p w14:paraId="273BAD58">
            <w:pPr>
              <w:keepNext w:val="0"/>
              <w:keepLines w:val="0"/>
              <w:suppressLineNumbers w:val="0"/>
              <w:spacing w:before="0" w:beforeAutospacing="0" w:after="0" w:afterAutospacing="0" w:line="360" w:lineRule="auto"/>
              <w:ind w:left="0"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6、服务期限内</w:t>
            </w:r>
            <w:r>
              <w:rPr>
                <w:rFonts w:hint="eastAsia" w:asciiTheme="minorEastAsia" w:hAnsiTheme="minorEastAsia" w:eastAsiaTheme="minorEastAsia" w:cstheme="minorEastAsia"/>
                <w:sz w:val="21"/>
                <w:szCs w:val="21"/>
                <w:highlight w:val="none"/>
                <w:lang w:val="zh-CN"/>
              </w:rPr>
              <w:t>如遇国家、自治区出台新的政策文件，涉及本品种采购和使用要求则按国家、自治区政策文件要求执行包括但不限于停止采购、限价、限量，成交供应商自行承担采购政策变化带来的风险。</w:t>
            </w:r>
            <w:r>
              <w:rPr>
                <w:rFonts w:hint="eastAsia" w:asciiTheme="minorEastAsia" w:hAnsiTheme="minorEastAsia" w:eastAsiaTheme="minorEastAsia" w:cstheme="minorEastAsia"/>
                <w:sz w:val="21"/>
                <w:szCs w:val="21"/>
                <w:highlight w:val="none"/>
              </w:rPr>
              <w:t>如本合同不符合新政策规定导致不能继续履行的，采购人有权终止合同。</w:t>
            </w:r>
          </w:p>
          <w:p w14:paraId="5F466CB2">
            <w:pPr>
              <w:keepNext w:val="0"/>
              <w:keepLines w:val="0"/>
              <w:suppressLineNumbers w:val="0"/>
              <w:spacing w:before="0" w:beforeAutospacing="0" w:after="0" w:afterAutospacing="0" w:line="360" w:lineRule="auto"/>
              <w:ind w:left="0"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b/>
                <w:bCs/>
                <w:sz w:val="21"/>
                <w:szCs w:val="21"/>
                <w:highlight w:val="none"/>
              </w:rPr>
              <w:t>▲</w:t>
            </w:r>
            <w:r>
              <w:rPr>
                <w:rFonts w:hint="eastAsia" w:asciiTheme="minorEastAsia" w:hAnsiTheme="minorEastAsia" w:eastAsiaTheme="minorEastAsia" w:cstheme="minorEastAsia"/>
                <w:sz w:val="21"/>
                <w:szCs w:val="21"/>
                <w:highlight w:val="none"/>
              </w:rPr>
              <w:t>7、医疗器械注册证：以上配送清单供应商配送的产品</w:t>
            </w:r>
            <w:r>
              <w:rPr>
                <w:rFonts w:hint="eastAsia" w:asciiTheme="minorEastAsia" w:hAnsiTheme="minorEastAsia" w:eastAsiaTheme="minorEastAsia" w:cstheme="minorEastAsia"/>
                <w:b/>
                <w:bCs/>
                <w:sz w:val="21"/>
                <w:szCs w:val="21"/>
                <w:highlight w:val="none"/>
              </w:rPr>
              <w:t>如属</w:t>
            </w:r>
            <w:r>
              <w:rPr>
                <w:rFonts w:hint="eastAsia" w:asciiTheme="minorEastAsia" w:hAnsiTheme="minorEastAsia" w:eastAsiaTheme="minorEastAsia" w:cstheme="minorEastAsia"/>
                <w:sz w:val="21"/>
                <w:szCs w:val="21"/>
                <w:highlight w:val="none"/>
              </w:rPr>
              <w:t>医疗器械管理范畴的，配送产品属第二、三类医疗器械产品的，投标文件中须按《医疗器械注册与备案管理办法》 (国家市场监督管理总局令第 47 号)提供该设备有效的医疗器械注册证复印件加盖投标单位公章，否则投标无效。</w:t>
            </w:r>
          </w:p>
          <w:p w14:paraId="0A18A0D7">
            <w:pPr>
              <w:keepNext w:val="0"/>
              <w:keepLines w:val="0"/>
              <w:suppressLineNumbers w:val="0"/>
              <w:spacing w:before="0" w:beforeAutospacing="0" w:after="0" w:afterAutospacing="0" w:line="360" w:lineRule="auto"/>
              <w:ind w:left="0"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8、服务期内，产品因厂家停产等情况导致无法正常供货的，供应商应提交书面说明，经采购人同意，双方就替代产品另行协商并签订补充协议。</w:t>
            </w:r>
          </w:p>
          <w:p w14:paraId="5ACB0BD0">
            <w:pPr>
              <w:keepNext w:val="0"/>
              <w:keepLines w:val="0"/>
              <w:suppressLineNumbers w:val="0"/>
              <w:spacing w:before="0" w:beforeAutospacing="0" w:after="0" w:afterAutospacing="0" w:line="360" w:lineRule="auto"/>
              <w:ind w:left="0"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9、供应商必须向采购人提供合同约定产品，因供应商供应的产品证照、质量、售后服务等瑕疵而引发的医疗事故或纠纷给采购人造成的全部经济损失（包括但不限于诊疗费用、手术费用、材料费用、赔偿病人或其亲属的因人身损害赔偿的全部费用）均由供应商全部承担；采购人有权要求供应商退换已用产品，并追究供应商违约责任，同时采购人有权终止合同。</w:t>
            </w:r>
          </w:p>
          <w:p w14:paraId="45C52EE8">
            <w:pPr>
              <w:keepNext w:val="0"/>
              <w:keepLines w:val="0"/>
              <w:suppressLineNumbers w:val="0"/>
              <w:spacing w:before="0" w:beforeAutospacing="0" w:after="0" w:afterAutospacing="0" w:line="360" w:lineRule="auto"/>
              <w:ind w:left="0"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b/>
                <w:bCs/>
                <w:sz w:val="21"/>
                <w:szCs w:val="21"/>
                <w:highlight w:val="none"/>
              </w:rPr>
              <w:t>▲</w:t>
            </w:r>
            <w:r>
              <w:rPr>
                <w:rFonts w:hint="eastAsia" w:asciiTheme="minorEastAsia" w:hAnsiTheme="minorEastAsia" w:eastAsiaTheme="minorEastAsia" w:cstheme="minorEastAsia"/>
                <w:sz w:val="21"/>
                <w:szCs w:val="21"/>
                <w:highlight w:val="none"/>
              </w:rPr>
              <w:t>10、</w:t>
            </w:r>
            <w:r>
              <w:rPr>
                <w:rFonts w:hint="eastAsia" w:asciiTheme="minorEastAsia" w:hAnsiTheme="minorEastAsia" w:eastAsiaTheme="minorEastAsia" w:cstheme="minorEastAsia"/>
                <w:sz w:val="21"/>
                <w:szCs w:val="21"/>
                <w:highlight w:val="none"/>
                <w:lang w:eastAsia="zh-CN"/>
              </w:rPr>
              <w:t>成交</w:t>
            </w:r>
            <w:r>
              <w:rPr>
                <w:rFonts w:hint="eastAsia" w:asciiTheme="minorEastAsia" w:hAnsiTheme="minorEastAsia" w:eastAsiaTheme="minorEastAsia" w:cstheme="minorEastAsia"/>
                <w:sz w:val="21"/>
                <w:szCs w:val="21"/>
                <w:highlight w:val="none"/>
              </w:rPr>
              <w:t>供应商在配送产品时必须提供所配送产品生产厂家合法授权的厂家代理商出具的授权书，原件备查。</w:t>
            </w:r>
          </w:p>
          <w:p w14:paraId="1D7AC575">
            <w:pPr>
              <w:keepNext w:val="0"/>
              <w:keepLines w:val="0"/>
              <w:suppressLineNumbers w:val="0"/>
              <w:spacing w:before="0" w:beforeAutospacing="0" w:after="0" w:afterAutospacing="0" w:line="360" w:lineRule="auto"/>
              <w:ind w:left="0"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11、技术支持资料：不限于对外公开的产品彩页或说明书或检测报告或用户手册证明材料等（体现技术参数，可以是从生产厂家网页下载的 PDF 或 HTM 文件或在食品药品监督管理部门备案的技术参数或检测报告或生产厂家盖章的技术参数证明材料），以供评标时核对。当投标文件提供的参数与该货物生产商提供的性能参数不符合时，以后者为准。</w:t>
            </w:r>
          </w:p>
          <w:p w14:paraId="096F84B5">
            <w:pPr>
              <w:keepNext w:val="0"/>
              <w:keepLines w:val="0"/>
              <w:suppressLineNumbers w:val="0"/>
              <w:spacing w:before="0" w:beforeAutospacing="0" w:after="0" w:afterAutospacing="0" w:line="360" w:lineRule="auto"/>
              <w:ind w:left="0" w:right="0"/>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rPr>
              <w:t>12、投标人如有请提供与本项目需求相关的项目实施方案、管理制度方案、配送车辆、售后服务方案、信誉业绩等资料。</w:t>
            </w:r>
          </w:p>
        </w:tc>
      </w:tr>
    </w:tbl>
    <w:p w14:paraId="7C5DEF6B">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b/>
          <w:sz w:val="21"/>
          <w:szCs w:val="21"/>
          <w:highlight w:val="none"/>
          <w:lang w:val="en-US" w:eastAsia="zh-CN"/>
        </w:rPr>
      </w:pPr>
    </w:p>
    <w:p w14:paraId="2A9B128D">
      <w:pPr>
        <w:pStyle w:val="3"/>
        <w:keepNext/>
        <w:keepLines/>
        <w:pageBreakBefore/>
        <w:widowControl w:val="0"/>
        <w:numPr>
          <w:ilvl w:val="0"/>
          <w:numId w:val="0"/>
        </w:numPr>
        <w:kinsoku/>
        <w:wordWrap/>
        <w:overflowPunct/>
        <w:topLinePunct w:val="0"/>
        <w:autoSpaceDE/>
        <w:autoSpaceDN/>
        <w:bidi w:val="0"/>
        <w:adjustRightInd/>
        <w:snapToGrid/>
        <w:spacing w:line="400" w:lineRule="exact"/>
        <w:ind w:leftChars="0"/>
        <w:jc w:val="center"/>
        <w:textAlignment w:val="auto"/>
        <w:outlineLvl w:val="0"/>
        <w:rPr>
          <w:rFonts w:hint="eastAsia" w:ascii="Times New Roman" w:hAnsi="Times New Roman" w:eastAsia="宋体" w:cs="Times New Roman"/>
          <w:sz w:val="36"/>
          <w:szCs w:val="36"/>
          <w:highlight w:val="none"/>
          <w:lang w:val="en-US" w:eastAsia="zh-CN"/>
        </w:rPr>
      </w:pPr>
      <w:bookmarkStart w:id="5" w:name="_Toc18067"/>
      <w:r>
        <w:rPr>
          <w:rFonts w:hint="eastAsia" w:ascii="Times New Roman" w:hAnsi="Times New Roman" w:eastAsia="宋体" w:cs="Times New Roman"/>
          <w:sz w:val="36"/>
          <w:szCs w:val="36"/>
          <w:highlight w:val="none"/>
          <w:lang w:val="en-US" w:eastAsia="zh-CN"/>
        </w:rPr>
        <w:t>第三章 响应文件格式</w:t>
      </w:r>
      <w:bookmarkEnd w:id="5"/>
    </w:p>
    <w:p w14:paraId="3F236313">
      <w:pPr>
        <w:rPr>
          <w:highlight w:val="none"/>
        </w:rPr>
      </w:pPr>
    </w:p>
    <w:p w14:paraId="7EE9F07F">
      <w:pPr>
        <w:rPr>
          <w:highlight w:val="none"/>
        </w:rPr>
      </w:pPr>
    </w:p>
    <w:p w14:paraId="612A8841">
      <w:pPr>
        <w:rPr>
          <w:highlight w:val="none"/>
        </w:rPr>
      </w:pPr>
    </w:p>
    <w:p w14:paraId="2E62B9C7">
      <w:pPr>
        <w:rPr>
          <w:highlight w:val="none"/>
        </w:rPr>
      </w:pPr>
    </w:p>
    <w:p w14:paraId="7730420B">
      <w:pPr>
        <w:spacing w:line="240" w:lineRule="atLeast"/>
        <w:jc w:val="center"/>
        <w:rPr>
          <w:rFonts w:hint="eastAsia" w:ascii="宋体" w:hAnsi="宋体"/>
          <w:b/>
          <w:sz w:val="32"/>
          <w:szCs w:val="32"/>
          <w:highlight w:val="none"/>
        </w:rPr>
      </w:pPr>
      <w:r>
        <w:rPr>
          <w:rFonts w:hint="eastAsia" w:ascii="宋体" w:hAnsi="宋体"/>
          <w:b/>
          <w:sz w:val="44"/>
          <w:szCs w:val="44"/>
          <w:highlight w:val="none"/>
        </w:rPr>
        <w:t>响  应  文  件</w:t>
      </w:r>
      <w:r>
        <w:rPr>
          <w:rFonts w:hint="eastAsia" w:ascii="宋体" w:hAnsi="宋体"/>
          <w:b/>
          <w:sz w:val="32"/>
          <w:szCs w:val="32"/>
          <w:highlight w:val="none"/>
        </w:rPr>
        <w:t xml:space="preserve"> </w:t>
      </w:r>
    </w:p>
    <w:p w14:paraId="322ADA9A">
      <w:pPr>
        <w:spacing w:line="240" w:lineRule="atLeast"/>
        <w:jc w:val="center"/>
        <w:rPr>
          <w:rFonts w:hint="eastAsia" w:ascii="宋体" w:hAnsi="宋体"/>
          <w:b/>
          <w:sz w:val="32"/>
          <w:szCs w:val="32"/>
          <w:highlight w:val="none"/>
        </w:rPr>
      </w:pPr>
    </w:p>
    <w:p w14:paraId="33CC8A77">
      <w:pPr>
        <w:spacing w:line="360" w:lineRule="auto"/>
        <w:jc w:val="center"/>
        <w:rPr>
          <w:rFonts w:hint="eastAsia" w:ascii="宋体" w:hAnsi="宋体"/>
          <w:szCs w:val="21"/>
          <w:highlight w:val="none"/>
        </w:rPr>
      </w:pPr>
    </w:p>
    <w:p w14:paraId="65483FC3">
      <w:pPr>
        <w:spacing w:line="360" w:lineRule="auto"/>
        <w:jc w:val="center"/>
        <w:rPr>
          <w:rFonts w:hint="eastAsia" w:ascii="宋体" w:hAnsi="宋体"/>
          <w:szCs w:val="21"/>
          <w:highlight w:val="none"/>
        </w:rPr>
      </w:pPr>
    </w:p>
    <w:p w14:paraId="17B7A45A">
      <w:pPr>
        <w:spacing w:line="360" w:lineRule="auto"/>
        <w:jc w:val="center"/>
        <w:rPr>
          <w:rFonts w:hint="eastAsia" w:ascii="宋体" w:hAnsi="宋体"/>
          <w:szCs w:val="21"/>
          <w:highlight w:val="none"/>
        </w:rPr>
      </w:pPr>
    </w:p>
    <w:p w14:paraId="0EFF242E">
      <w:pPr>
        <w:spacing w:line="360" w:lineRule="auto"/>
        <w:jc w:val="center"/>
        <w:rPr>
          <w:rFonts w:hint="eastAsia" w:ascii="宋体" w:hAnsi="宋体"/>
          <w:szCs w:val="21"/>
          <w:highlight w:val="none"/>
        </w:rPr>
      </w:pPr>
    </w:p>
    <w:p w14:paraId="4CE79487">
      <w:pPr>
        <w:spacing w:line="360" w:lineRule="auto"/>
        <w:jc w:val="center"/>
        <w:rPr>
          <w:rFonts w:hint="eastAsia" w:ascii="宋体" w:hAnsi="宋体"/>
          <w:szCs w:val="21"/>
          <w:highlight w:val="none"/>
        </w:rPr>
      </w:pPr>
    </w:p>
    <w:p w14:paraId="007C6B3F">
      <w:pPr>
        <w:spacing w:line="360" w:lineRule="auto"/>
        <w:jc w:val="center"/>
        <w:rPr>
          <w:rFonts w:hint="eastAsia" w:ascii="宋体" w:hAnsi="宋体"/>
          <w:szCs w:val="21"/>
          <w:highlight w:val="none"/>
        </w:rPr>
      </w:pPr>
    </w:p>
    <w:p w14:paraId="284A961D">
      <w:pPr>
        <w:spacing w:line="360" w:lineRule="auto"/>
        <w:ind w:firstLine="1680" w:firstLineChars="700"/>
        <w:jc w:val="left"/>
        <w:rPr>
          <w:rFonts w:hint="eastAsia" w:ascii="宋体" w:hAnsi="宋体"/>
          <w:sz w:val="24"/>
          <w:szCs w:val="24"/>
          <w:highlight w:val="none"/>
          <w:u w:val="single"/>
        </w:rPr>
      </w:pPr>
      <w:r>
        <w:rPr>
          <w:rFonts w:hint="eastAsia" w:ascii="宋体" w:hAnsi="宋体"/>
          <w:sz w:val="24"/>
          <w:szCs w:val="24"/>
          <w:highlight w:val="none"/>
        </w:rPr>
        <w:t>采购项目名称：</w:t>
      </w:r>
      <w:r>
        <w:rPr>
          <w:rFonts w:hint="eastAsia" w:ascii="宋体" w:hAnsi="宋体"/>
          <w:sz w:val="24"/>
          <w:szCs w:val="24"/>
          <w:highlight w:val="none"/>
          <w:u w:val="single"/>
        </w:rPr>
        <w:t xml:space="preserve">                       </w:t>
      </w:r>
    </w:p>
    <w:p w14:paraId="4C46AC03">
      <w:pPr>
        <w:spacing w:line="360" w:lineRule="auto"/>
        <w:ind w:firstLine="3120" w:firstLineChars="1300"/>
        <w:jc w:val="left"/>
        <w:rPr>
          <w:rFonts w:hint="eastAsia" w:ascii="宋体" w:hAnsi="宋体"/>
          <w:sz w:val="24"/>
          <w:szCs w:val="24"/>
          <w:highlight w:val="none"/>
          <w:u w:val="single"/>
        </w:rPr>
      </w:pPr>
    </w:p>
    <w:p w14:paraId="5F0DF547">
      <w:pPr>
        <w:tabs>
          <w:tab w:val="left" w:pos="3240"/>
        </w:tabs>
        <w:spacing w:line="360" w:lineRule="auto"/>
        <w:ind w:firstLine="1680" w:firstLineChars="700"/>
        <w:jc w:val="left"/>
        <w:rPr>
          <w:rFonts w:hint="eastAsia" w:ascii="宋体" w:hAnsi="宋体"/>
          <w:sz w:val="24"/>
          <w:szCs w:val="24"/>
          <w:highlight w:val="none"/>
          <w:u w:val="single"/>
        </w:rPr>
      </w:pPr>
      <w:r>
        <w:rPr>
          <w:rFonts w:hint="eastAsia" w:ascii="宋体" w:hAnsi="宋体"/>
          <w:sz w:val="24"/>
          <w:szCs w:val="24"/>
          <w:highlight w:val="none"/>
        </w:rPr>
        <w:t>采购项目编号：</w:t>
      </w:r>
      <w:r>
        <w:rPr>
          <w:rFonts w:hint="eastAsia" w:ascii="宋体" w:hAnsi="宋体"/>
          <w:sz w:val="24"/>
          <w:szCs w:val="24"/>
          <w:highlight w:val="none"/>
          <w:u w:val="single"/>
        </w:rPr>
        <w:t xml:space="preserve">                       </w:t>
      </w:r>
    </w:p>
    <w:p w14:paraId="6FFEAD28">
      <w:pPr>
        <w:pStyle w:val="7"/>
        <w:snapToGrid w:val="0"/>
        <w:spacing w:line="400" w:lineRule="exact"/>
        <w:ind w:firstLine="1320" w:firstLineChars="550"/>
        <w:rPr>
          <w:rFonts w:hint="eastAsia" w:ascii="宋体" w:hAnsi="宋体"/>
          <w:sz w:val="24"/>
          <w:szCs w:val="24"/>
          <w:highlight w:val="none"/>
          <w:lang w:val="en-US" w:eastAsia="zh-CN"/>
        </w:rPr>
      </w:pPr>
    </w:p>
    <w:p w14:paraId="7C40FB25">
      <w:pPr>
        <w:rPr>
          <w:rFonts w:hint="eastAsia" w:ascii="宋体" w:hAnsi="宋体"/>
          <w:sz w:val="24"/>
          <w:szCs w:val="24"/>
          <w:highlight w:val="none"/>
          <w:lang w:val="en-US" w:eastAsia="zh-CN"/>
        </w:rPr>
      </w:pPr>
    </w:p>
    <w:p w14:paraId="0F8A6C59">
      <w:pPr>
        <w:rPr>
          <w:rFonts w:hint="eastAsia" w:ascii="宋体" w:hAnsi="宋体"/>
          <w:sz w:val="24"/>
          <w:szCs w:val="24"/>
          <w:highlight w:val="none"/>
          <w:lang w:val="en-US" w:eastAsia="zh-CN"/>
        </w:rPr>
      </w:pPr>
    </w:p>
    <w:p w14:paraId="67DFBCDC">
      <w:pPr>
        <w:rPr>
          <w:rFonts w:hint="eastAsia" w:ascii="宋体" w:hAnsi="宋体"/>
          <w:sz w:val="24"/>
          <w:szCs w:val="24"/>
          <w:highlight w:val="none"/>
          <w:lang w:val="en-US" w:eastAsia="zh-CN"/>
        </w:rPr>
      </w:pPr>
    </w:p>
    <w:p w14:paraId="52AF9B5B">
      <w:pPr>
        <w:pStyle w:val="7"/>
        <w:snapToGrid w:val="0"/>
        <w:spacing w:line="400" w:lineRule="exact"/>
        <w:ind w:firstLine="1320" w:firstLineChars="550"/>
        <w:rPr>
          <w:rFonts w:hint="eastAsia" w:ascii="宋体" w:hAnsi="宋体"/>
          <w:sz w:val="24"/>
          <w:szCs w:val="24"/>
          <w:highlight w:val="none"/>
          <w:lang w:val="en-US" w:eastAsia="zh-CN"/>
        </w:rPr>
      </w:pPr>
      <w:r>
        <w:rPr>
          <w:rFonts w:hint="eastAsia" w:ascii="宋体" w:hAnsi="宋体"/>
          <w:sz w:val="24"/>
          <w:szCs w:val="24"/>
          <w:highlight w:val="none"/>
          <w:lang w:val="en-US" w:eastAsia="zh-CN"/>
        </w:rPr>
        <w:t xml:space="preserve">                                            </w:t>
      </w:r>
    </w:p>
    <w:p w14:paraId="71510D4F">
      <w:pPr>
        <w:pStyle w:val="17"/>
        <w:wordWrap w:val="0"/>
        <w:spacing w:line="360" w:lineRule="auto"/>
        <w:ind w:firstLine="616" w:firstLineChars="257"/>
        <w:jc w:val="right"/>
        <w:rPr>
          <w:rFonts w:hint="eastAsia"/>
          <w:sz w:val="24"/>
          <w:szCs w:val="24"/>
          <w:highlight w:val="none"/>
          <w:u w:val="single"/>
        </w:rPr>
      </w:pPr>
      <w:r>
        <w:rPr>
          <w:rFonts w:hint="eastAsia" w:ascii="宋体" w:hAnsi="宋体"/>
          <w:sz w:val="24"/>
          <w:szCs w:val="24"/>
          <w:highlight w:val="none"/>
          <w:lang w:val="en-US" w:eastAsia="zh-CN"/>
        </w:rPr>
        <w:t xml:space="preserve">             </w:t>
      </w:r>
      <w:r>
        <w:rPr>
          <w:rFonts w:hint="eastAsia"/>
          <w:sz w:val="24"/>
          <w:szCs w:val="24"/>
          <w:highlight w:val="none"/>
        </w:rPr>
        <w:t>供应商名称（盖公章）</w:t>
      </w:r>
      <w:r>
        <w:rPr>
          <w:rFonts w:hint="eastAsia"/>
          <w:sz w:val="24"/>
          <w:szCs w:val="24"/>
          <w:highlight w:val="none"/>
          <w:u w:val="single"/>
        </w:rPr>
        <w:t xml:space="preserve">         </w:t>
      </w:r>
    </w:p>
    <w:p w14:paraId="38A83255">
      <w:pPr>
        <w:pStyle w:val="17"/>
        <w:spacing w:line="360" w:lineRule="auto"/>
        <w:ind w:firstLine="616" w:firstLineChars="257"/>
        <w:jc w:val="right"/>
        <w:rPr>
          <w:rFonts w:hint="eastAsia"/>
          <w:sz w:val="24"/>
          <w:szCs w:val="24"/>
          <w:highlight w:val="none"/>
          <w:u w:val="single"/>
        </w:rPr>
      </w:pPr>
    </w:p>
    <w:p w14:paraId="4A83CCAB">
      <w:pPr>
        <w:pStyle w:val="17"/>
        <w:wordWrap w:val="0"/>
        <w:spacing w:line="360" w:lineRule="auto"/>
        <w:ind w:firstLine="616" w:firstLineChars="257"/>
        <w:jc w:val="right"/>
        <w:rPr>
          <w:rFonts w:hint="eastAsia" w:hAnsi="宋体"/>
          <w:b/>
          <w:sz w:val="24"/>
          <w:szCs w:val="24"/>
          <w:highlight w:val="none"/>
        </w:rPr>
      </w:pPr>
      <w:r>
        <w:rPr>
          <w:rFonts w:hint="eastAsia" w:hAnsi="宋体"/>
          <w:sz w:val="24"/>
          <w:szCs w:val="24"/>
          <w:highlight w:val="none"/>
          <w:lang w:val="en-US" w:eastAsia="zh-CN"/>
        </w:rPr>
        <w:t xml:space="preserve"> </w:t>
      </w:r>
      <w:r>
        <w:rPr>
          <w:rFonts w:hint="eastAsia" w:hAnsi="宋体"/>
          <w:sz w:val="24"/>
          <w:szCs w:val="24"/>
          <w:highlight w:val="none"/>
        </w:rPr>
        <w:t xml:space="preserve"> 日期：</w:t>
      </w:r>
      <w:r>
        <w:rPr>
          <w:rFonts w:hint="eastAsia" w:hAnsi="宋体"/>
          <w:sz w:val="24"/>
          <w:szCs w:val="24"/>
          <w:highlight w:val="none"/>
          <w:u w:val="single"/>
        </w:rPr>
        <w:t xml:space="preserve">      </w:t>
      </w:r>
      <w:r>
        <w:rPr>
          <w:rFonts w:hint="eastAsia" w:hAnsi="宋体"/>
          <w:sz w:val="24"/>
          <w:szCs w:val="24"/>
          <w:highlight w:val="none"/>
        </w:rPr>
        <w:t>年</w:t>
      </w:r>
      <w:r>
        <w:rPr>
          <w:rFonts w:hint="eastAsia" w:hAnsi="宋体"/>
          <w:sz w:val="24"/>
          <w:szCs w:val="24"/>
          <w:highlight w:val="none"/>
          <w:u w:val="single"/>
        </w:rPr>
        <w:t xml:space="preserve">     </w:t>
      </w:r>
      <w:r>
        <w:rPr>
          <w:rFonts w:hint="eastAsia" w:hAnsi="宋体"/>
          <w:sz w:val="24"/>
          <w:szCs w:val="24"/>
          <w:highlight w:val="none"/>
        </w:rPr>
        <w:t>月</w:t>
      </w:r>
      <w:r>
        <w:rPr>
          <w:rFonts w:hint="eastAsia" w:hAnsi="宋体"/>
          <w:sz w:val="24"/>
          <w:szCs w:val="24"/>
          <w:highlight w:val="none"/>
          <w:u w:val="single"/>
        </w:rPr>
        <w:t xml:space="preserve">     </w:t>
      </w:r>
      <w:r>
        <w:rPr>
          <w:rFonts w:hint="eastAsia" w:hAnsi="宋体"/>
          <w:sz w:val="24"/>
          <w:szCs w:val="24"/>
          <w:highlight w:val="none"/>
        </w:rPr>
        <w:t xml:space="preserve">日 </w:t>
      </w:r>
    </w:p>
    <w:p w14:paraId="6B2CA5EB">
      <w:pPr>
        <w:spacing w:line="360" w:lineRule="auto"/>
        <w:ind w:firstLine="6440" w:firstLineChars="2300"/>
        <w:rPr>
          <w:rFonts w:hint="eastAsia" w:ascii="宋体" w:hAnsi="宋体"/>
          <w:sz w:val="28"/>
          <w:szCs w:val="28"/>
          <w:highlight w:val="none"/>
        </w:rPr>
      </w:pPr>
    </w:p>
    <w:p w14:paraId="7E1C0DED">
      <w:pPr>
        <w:rPr>
          <w:rFonts w:hint="eastAsia" w:ascii="宋体" w:hAnsi="宋体" w:eastAsia="宋体" w:cs="Times New Roman"/>
          <w:b/>
          <w:color w:val="000000"/>
          <w:kern w:val="2"/>
          <w:sz w:val="24"/>
          <w:szCs w:val="24"/>
          <w:lang w:val="en-US" w:eastAsia="zh-CN" w:bidi="ar-SA"/>
        </w:rPr>
      </w:pPr>
      <w:r>
        <w:rPr>
          <w:rFonts w:hint="eastAsia" w:ascii="宋体" w:hAnsi="宋体" w:eastAsia="宋体" w:cs="Times New Roman"/>
          <w:b/>
          <w:color w:val="000000"/>
          <w:kern w:val="2"/>
          <w:sz w:val="24"/>
          <w:szCs w:val="24"/>
          <w:lang w:val="en-US" w:eastAsia="zh-CN" w:bidi="ar-SA"/>
        </w:rPr>
        <w:br w:type="page"/>
      </w:r>
    </w:p>
    <w:p w14:paraId="514FD710">
      <w:pPr>
        <w:keepNext w:val="0"/>
        <w:keepLines w:val="0"/>
        <w:pageBreakBefore w:val="0"/>
        <w:numPr>
          <w:ilvl w:val="0"/>
          <w:numId w:val="0"/>
        </w:numPr>
        <w:kinsoku/>
        <w:overflowPunct/>
        <w:topLinePunct w:val="0"/>
        <w:bidi w:val="0"/>
        <w:snapToGrid w:val="0"/>
        <w:spacing w:line="400" w:lineRule="exact"/>
        <w:textAlignment w:val="auto"/>
        <w:rPr>
          <w:rFonts w:hint="eastAsia" w:ascii="宋体" w:hAnsi="宋体" w:eastAsia="宋体" w:cs="宋体"/>
          <w:b/>
          <w:bCs w:val="0"/>
          <w:color w:val="000000"/>
          <w:sz w:val="21"/>
          <w:szCs w:val="21"/>
          <w:highlight w:val="none"/>
          <w:lang w:eastAsia="zh-CN"/>
        </w:rPr>
      </w:pPr>
      <w:r>
        <w:rPr>
          <w:rFonts w:hint="eastAsia" w:ascii="宋体" w:hAnsi="宋体" w:eastAsia="宋体" w:cs="宋体"/>
          <w:b/>
          <w:bCs w:val="0"/>
          <w:color w:val="000000"/>
          <w:kern w:val="2"/>
          <w:sz w:val="21"/>
          <w:szCs w:val="21"/>
          <w:lang w:val="en-US" w:eastAsia="zh-CN" w:bidi="ar-SA"/>
        </w:rPr>
        <w:t>一、有效的</w:t>
      </w:r>
      <w:r>
        <w:rPr>
          <w:rFonts w:hint="eastAsia" w:ascii="宋体" w:hAnsi="宋体" w:eastAsia="宋体" w:cs="宋体"/>
          <w:b/>
          <w:bCs w:val="0"/>
          <w:color w:val="000000"/>
          <w:sz w:val="21"/>
          <w:szCs w:val="21"/>
          <w:highlight w:val="none"/>
          <w:lang w:val="en-US" w:eastAsia="zh-CN"/>
        </w:rPr>
        <w:t>供应商合法的主体资格证明（如营业执照、事业单位法人证书、执业许可证等）复印件</w:t>
      </w:r>
      <w:r>
        <w:rPr>
          <w:rFonts w:hint="eastAsia" w:ascii="宋体" w:hAnsi="宋体" w:eastAsia="宋体" w:cs="宋体"/>
          <w:b/>
          <w:bCs w:val="0"/>
          <w:color w:val="000000"/>
          <w:sz w:val="21"/>
          <w:szCs w:val="21"/>
          <w:highlight w:val="none"/>
          <w:lang w:eastAsia="zh-CN"/>
        </w:rPr>
        <w:t>（必须提供）</w:t>
      </w:r>
    </w:p>
    <w:p w14:paraId="69525018">
      <w:pPr>
        <w:keepNext w:val="0"/>
        <w:keepLines w:val="0"/>
        <w:pageBreakBefore w:val="0"/>
        <w:numPr>
          <w:ilvl w:val="0"/>
          <w:numId w:val="0"/>
        </w:numPr>
        <w:kinsoku/>
        <w:overflowPunct/>
        <w:topLinePunct w:val="0"/>
        <w:bidi w:val="0"/>
        <w:snapToGrid w:val="0"/>
        <w:spacing w:line="400" w:lineRule="exact"/>
        <w:textAlignment w:val="auto"/>
        <w:rPr>
          <w:rFonts w:hint="eastAsia" w:ascii="宋体" w:hAnsi="宋体" w:eastAsia="宋体" w:cs="宋体"/>
          <w:b/>
          <w:color w:val="000000"/>
          <w:sz w:val="21"/>
          <w:szCs w:val="21"/>
          <w:highlight w:val="none"/>
          <w:lang w:eastAsia="zh-CN"/>
        </w:rPr>
      </w:pPr>
    </w:p>
    <w:p w14:paraId="7851E5FF">
      <w:pPr>
        <w:keepNext w:val="0"/>
        <w:keepLines w:val="0"/>
        <w:pageBreakBefore w:val="0"/>
        <w:numPr>
          <w:ilvl w:val="0"/>
          <w:numId w:val="3"/>
        </w:numPr>
        <w:kinsoku/>
        <w:overflowPunct/>
        <w:topLinePunct w:val="0"/>
        <w:bidi w:val="0"/>
        <w:snapToGrid w:val="0"/>
        <w:spacing w:line="400" w:lineRule="exact"/>
        <w:textAlignment w:val="auto"/>
        <w:rPr>
          <w:rFonts w:hint="eastAsia"/>
          <w:lang w:eastAsia="zh-CN"/>
        </w:rPr>
      </w:pPr>
      <w:r>
        <w:rPr>
          <w:rFonts w:hint="eastAsia" w:ascii="宋体" w:hAnsi="宋体" w:eastAsia="宋体" w:cs="宋体"/>
          <w:b/>
          <w:bCs w:val="0"/>
          <w:color w:val="000000"/>
          <w:sz w:val="21"/>
          <w:szCs w:val="21"/>
          <w:highlight w:val="none"/>
          <w:lang w:eastAsia="zh-CN"/>
        </w:rPr>
        <w:t>法定代表人完整有效的身份证复印件（必须提供）</w:t>
      </w:r>
    </w:p>
    <w:p w14:paraId="087C5979">
      <w:pPr>
        <w:keepNext w:val="0"/>
        <w:keepLines w:val="0"/>
        <w:pageBreakBefore w:val="0"/>
        <w:numPr>
          <w:ilvl w:val="0"/>
          <w:numId w:val="0"/>
        </w:numPr>
        <w:kinsoku/>
        <w:overflowPunct/>
        <w:topLinePunct w:val="0"/>
        <w:bidi w:val="0"/>
        <w:snapToGrid w:val="0"/>
        <w:spacing w:line="400" w:lineRule="exact"/>
        <w:textAlignment w:val="auto"/>
        <w:rPr>
          <w:rFonts w:hint="eastAsia" w:ascii="宋体" w:hAnsi="宋体" w:eastAsia="宋体" w:cs="宋体"/>
          <w:b/>
          <w:bCs w:val="0"/>
          <w:color w:val="000000"/>
          <w:sz w:val="21"/>
          <w:szCs w:val="21"/>
          <w:highlight w:val="none"/>
          <w:lang w:val="en-US" w:eastAsia="zh-CN"/>
        </w:rPr>
      </w:pPr>
    </w:p>
    <w:p w14:paraId="3F390E3E">
      <w:pPr>
        <w:keepNext w:val="0"/>
        <w:keepLines w:val="0"/>
        <w:pageBreakBefore w:val="0"/>
        <w:numPr>
          <w:ilvl w:val="0"/>
          <w:numId w:val="0"/>
        </w:numPr>
        <w:kinsoku/>
        <w:overflowPunct/>
        <w:topLinePunct w:val="0"/>
        <w:bidi w:val="0"/>
        <w:snapToGrid w:val="0"/>
        <w:spacing w:line="400" w:lineRule="exact"/>
        <w:textAlignment w:val="auto"/>
        <w:rPr>
          <w:rFonts w:hint="eastAsia" w:ascii="宋体" w:hAnsi="宋体" w:eastAsia="宋体" w:cs="宋体"/>
          <w:b/>
          <w:bCs w:val="0"/>
          <w:color w:val="000000"/>
          <w:sz w:val="21"/>
          <w:szCs w:val="21"/>
          <w:highlight w:val="none"/>
          <w:lang w:eastAsia="zh-CN"/>
        </w:rPr>
      </w:pPr>
      <w:r>
        <w:rPr>
          <w:rFonts w:hint="eastAsia" w:ascii="宋体" w:hAnsi="宋体" w:eastAsia="宋体" w:cs="宋体"/>
          <w:b/>
          <w:bCs w:val="0"/>
          <w:color w:val="000000"/>
          <w:sz w:val="21"/>
          <w:szCs w:val="21"/>
          <w:highlight w:val="none"/>
          <w:lang w:val="en-US" w:eastAsia="zh-CN"/>
        </w:rPr>
        <w:t>三、</w:t>
      </w:r>
      <w:r>
        <w:rPr>
          <w:rFonts w:hint="eastAsia" w:ascii="宋体" w:hAnsi="宋体" w:eastAsia="宋体" w:cs="宋体"/>
          <w:b/>
          <w:bCs w:val="0"/>
          <w:color w:val="000000"/>
          <w:sz w:val="21"/>
          <w:szCs w:val="21"/>
          <w:highlight w:val="none"/>
          <w:lang w:eastAsia="zh-CN"/>
        </w:rPr>
        <w:t>响应文件递交截止当月前半年内投标供应商</w:t>
      </w:r>
      <w:r>
        <w:rPr>
          <w:rFonts w:hint="eastAsia" w:ascii="宋体" w:hAnsi="宋体" w:cs="宋体"/>
          <w:b/>
          <w:bCs w:val="0"/>
          <w:color w:val="000000"/>
          <w:sz w:val="21"/>
          <w:szCs w:val="21"/>
          <w:highlight w:val="none"/>
          <w:lang w:val="en-US" w:eastAsia="zh-CN"/>
        </w:rPr>
        <w:t>任一</w:t>
      </w:r>
      <w:r>
        <w:rPr>
          <w:rFonts w:hint="eastAsia" w:ascii="宋体" w:hAnsi="宋体" w:eastAsia="宋体" w:cs="宋体"/>
          <w:b/>
          <w:bCs w:val="0"/>
          <w:color w:val="000000"/>
          <w:sz w:val="21"/>
          <w:szCs w:val="21"/>
          <w:highlight w:val="none"/>
          <w:lang w:eastAsia="zh-CN"/>
        </w:rPr>
        <w:t>个月的</w:t>
      </w:r>
      <w:r>
        <w:rPr>
          <w:rFonts w:hint="eastAsia" w:ascii="宋体" w:hAnsi="宋体" w:eastAsia="宋体" w:cs="宋体"/>
          <w:b/>
          <w:bCs w:val="0"/>
          <w:color w:val="000000"/>
          <w:sz w:val="21"/>
          <w:szCs w:val="21"/>
          <w:highlight w:val="none"/>
          <w:u w:val="single"/>
          <w:lang w:eastAsia="zh-CN"/>
        </w:rPr>
        <w:t>依法缴纳税收</w:t>
      </w:r>
      <w:r>
        <w:rPr>
          <w:rFonts w:hint="eastAsia" w:ascii="宋体" w:hAnsi="宋体" w:eastAsia="宋体" w:cs="宋体"/>
          <w:b/>
          <w:bCs w:val="0"/>
          <w:color w:val="000000"/>
          <w:sz w:val="21"/>
          <w:szCs w:val="21"/>
          <w:highlight w:val="none"/>
          <w:lang w:eastAsia="zh-CN"/>
        </w:rPr>
        <w:t>的凭据复印件；依法免税（或无纳税记录或零报税）的，必须提供相应文件证明其依法免税（或无纳税记录或零报税）。从成立之日起到响应文件提交截止时间止不足要求月数的，只需提供从成立之日起的依法缴纳税收相应证明文件），复印件；（必须提供）</w:t>
      </w:r>
    </w:p>
    <w:p w14:paraId="15B7DD43">
      <w:pPr>
        <w:keepNext w:val="0"/>
        <w:keepLines w:val="0"/>
        <w:pageBreakBefore w:val="0"/>
        <w:numPr>
          <w:ilvl w:val="0"/>
          <w:numId w:val="0"/>
        </w:numPr>
        <w:kinsoku/>
        <w:overflowPunct/>
        <w:topLinePunct w:val="0"/>
        <w:bidi w:val="0"/>
        <w:snapToGrid w:val="0"/>
        <w:spacing w:line="400" w:lineRule="exact"/>
        <w:textAlignment w:val="auto"/>
        <w:rPr>
          <w:rFonts w:hint="eastAsia" w:ascii="宋体" w:hAnsi="宋体" w:eastAsia="宋体" w:cs="宋体"/>
          <w:b/>
          <w:bCs w:val="0"/>
          <w:color w:val="000000"/>
          <w:sz w:val="21"/>
          <w:szCs w:val="21"/>
          <w:highlight w:val="none"/>
          <w:lang w:val="en-US" w:eastAsia="zh-CN"/>
        </w:rPr>
      </w:pPr>
    </w:p>
    <w:p w14:paraId="0EA1E265">
      <w:pPr>
        <w:keepNext w:val="0"/>
        <w:keepLines w:val="0"/>
        <w:pageBreakBefore w:val="0"/>
        <w:numPr>
          <w:ilvl w:val="0"/>
          <w:numId w:val="0"/>
        </w:numPr>
        <w:kinsoku/>
        <w:overflowPunct/>
        <w:topLinePunct w:val="0"/>
        <w:bidi w:val="0"/>
        <w:snapToGrid w:val="0"/>
        <w:spacing w:line="400" w:lineRule="exact"/>
        <w:textAlignment w:val="auto"/>
        <w:rPr>
          <w:rFonts w:hint="eastAsia" w:ascii="宋体" w:hAnsi="宋体" w:eastAsia="宋体" w:cs="宋体"/>
          <w:b/>
          <w:bCs w:val="0"/>
          <w:color w:val="000000"/>
          <w:sz w:val="21"/>
          <w:szCs w:val="21"/>
          <w:highlight w:val="none"/>
          <w:lang w:eastAsia="zh-CN"/>
        </w:rPr>
      </w:pPr>
      <w:r>
        <w:rPr>
          <w:rFonts w:hint="eastAsia" w:ascii="宋体" w:hAnsi="宋体" w:eastAsia="宋体" w:cs="宋体"/>
          <w:b/>
          <w:bCs w:val="0"/>
          <w:color w:val="000000"/>
          <w:sz w:val="21"/>
          <w:szCs w:val="21"/>
          <w:highlight w:val="none"/>
          <w:lang w:val="en-US" w:eastAsia="zh-CN"/>
        </w:rPr>
        <w:t>四、</w:t>
      </w:r>
      <w:r>
        <w:rPr>
          <w:rFonts w:hint="eastAsia" w:ascii="宋体" w:hAnsi="宋体" w:eastAsia="宋体" w:cs="宋体"/>
          <w:b/>
          <w:bCs w:val="0"/>
          <w:color w:val="000000"/>
          <w:sz w:val="21"/>
          <w:szCs w:val="21"/>
          <w:highlight w:val="none"/>
          <w:lang w:eastAsia="zh-CN"/>
        </w:rPr>
        <w:t>响应文件递交截止当月前半年内投标供应商</w:t>
      </w:r>
      <w:r>
        <w:rPr>
          <w:rFonts w:hint="eastAsia" w:ascii="宋体" w:hAnsi="宋体" w:cs="宋体"/>
          <w:b/>
          <w:bCs w:val="0"/>
          <w:color w:val="000000"/>
          <w:sz w:val="21"/>
          <w:szCs w:val="21"/>
          <w:highlight w:val="none"/>
          <w:lang w:val="en-US" w:eastAsia="zh-CN"/>
        </w:rPr>
        <w:t>任一</w:t>
      </w:r>
      <w:r>
        <w:rPr>
          <w:rFonts w:hint="eastAsia" w:ascii="宋体" w:hAnsi="宋体" w:eastAsia="宋体" w:cs="宋体"/>
          <w:b/>
          <w:bCs w:val="0"/>
          <w:color w:val="000000"/>
          <w:sz w:val="21"/>
          <w:szCs w:val="21"/>
          <w:highlight w:val="none"/>
          <w:lang w:eastAsia="zh-CN"/>
        </w:rPr>
        <w:t>个月的</w:t>
      </w:r>
      <w:r>
        <w:rPr>
          <w:rFonts w:hint="eastAsia" w:ascii="宋体" w:hAnsi="宋体" w:eastAsia="宋体" w:cs="宋体"/>
          <w:b/>
          <w:bCs w:val="0"/>
          <w:color w:val="000000"/>
          <w:sz w:val="21"/>
          <w:szCs w:val="21"/>
          <w:highlight w:val="none"/>
          <w:u w:val="single"/>
          <w:lang w:eastAsia="zh-CN"/>
        </w:rPr>
        <w:t>依法缴纳社会保障资金</w:t>
      </w:r>
      <w:r>
        <w:rPr>
          <w:rFonts w:hint="eastAsia" w:ascii="宋体" w:hAnsi="宋体" w:eastAsia="宋体" w:cs="宋体"/>
          <w:b/>
          <w:bCs w:val="0"/>
          <w:color w:val="000000"/>
          <w:sz w:val="21"/>
          <w:szCs w:val="21"/>
          <w:highlight w:val="none"/>
          <w:lang w:eastAsia="zh-CN"/>
        </w:rPr>
        <w:t>的缴费凭证（专用收据或者社会保险缴纳清单或其他有效证明）复印件；依法不需要缴纳社会保障资金的，必须提供相应文件证明不需要缴纳社会保障资金证明复印件。从取得营业执照之日起到响应文件提交截止时间止不足要求月数的只需提供从取得营业执照起依法缴纳社会保障资金的相应证明文件，复印件（必须提供）</w:t>
      </w:r>
    </w:p>
    <w:p w14:paraId="51B40545">
      <w:pPr>
        <w:keepNext w:val="0"/>
        <w:keepLines w:val="0"/>
        <w:pageBreakBefore w:val="0"/>
        <w:numPr>
          <w:ilvl w:val="0"/>
          <w:numId w:val="0"/>
        </w:numPr>
        <w:kinsoku/>
        <w:overflowPunct/>
        <w:topLinePunct w:val="0"/>
        <w:autoSpaceDE/>
        <w:autoSpaceDN/>
        <w:bidi w:val="0"/>
        <w:spacing w:line="400" w:lineRule="exact"/>
        <w:ind w:leftChars="0"/>
        <w:jc w:val="left"/>
        <w:textAlignment w:val="auto"/>
        <w:rPr>
          <w:rFonts w:hint="eastAsia" w:ascii="宋体" w:hAnsi="宋体" w:eastAsia="宋体" w:cs="宋体"/>
          <w:b/>
          <w:color w:val="000000"/>
          <w:sz w:val="21"/>
          <w:szCs w:val="21"/>
          <w:highlight w:val="none"/>
          <w:lang w:eastAsia="zh-CN"/>
        </w:rPr>
      </w:pPr>
    </w:p>
    <w:p w14:paraId="039867C2">
      <w:pPr>
        <w:keepNext w:val="0"/>
        <w:keepLines w:val="0"/>
        <w:pageBreakBefore w:val="0"/>
        <w:kinsoku/>
        <w:overflowPunct/>
        <w:topLinePunct w:val="0"/>
        <w:autoSpaceDE/>
        <w:autoSpaceDN/>
        <w:bidi w:val="0"/>
        <w:spacing w:line="400" w:lineRule="exact"/>
        <w:jc w:val="left"/>
        <w:textAlignment w:val="auto"/>
        <w:rPr>
          <w:rFonts w:hint="eastAsia" w:ascii="宋体" w:hAnsi="宋体" w:eastAsia="宋体" w:cs="宋体"/>
          <w:b/>
          <w:color w:val="000000"/>
          <w:sz w:val="21"/>
          <w:szCs w:val="21"/>
          <w:highlight w:val="none"/>
        </w:rPr>
      </w:pPr>
      <w:r>
        <w:rPr>
          <w:rFonts w:hint="eastAsia" w:ascii="宋体" w:hAnsi="宋体" w:cs="宋体"/>
          <w:b/>
          <w:color w:val="000000"/>
          <w:sz w:val="21"/>
          <w:szCs w:val="21"/>
          <w:highlight w:val="none"/>
          <w:lang w:val="en-US" w:eastAsia="zh-CN"/>
        </w:rPr>
        <w:t>五</w:t>
      </w:r>
      <w:r>
        <w:rPr>
          <w:rFonts w:hint="eastAsia" w:ascii="宋体" w:hAnsi="宋体" w:eastAsia="宋体" w:cs="宋体"/>
          <w:b/>
          <w:color w:val="000000"/>
          <w:sz w:val="21"/>
          <w:szCs w:val="21"/>
          <w:highlight w:val="none"/>
        </w:rPr>
        <w:t>、法定代表人授权委托书和委托代理人完整有效的身份证复印件</w:t>
      </w:r>
      <w:r>
        <w:rPr>
          <w:rFonts w:hint="eastAsia" w:ascii="宋体" w:hAnsi="宋体" w:eastAsia="宋体" w:cs="宋体"/>
          <w:b/>
          <w:bCs/>
          <w:sz w:val="21"/>
          <w:szCs w:val="21"/>
          <w:highlight w:val="none"/>
          <w:lang w:eastAsia="zh-CN"/>
        </w:rPr>
        <w:t>（委托</w:t>
      </w:r>
      <w:r>
        <w:rPr>
          <w:rFonts w:hint="eastAsia" w:ascii="宋体" w:hAnsi="宋体" w:eastAsia="宋体" w:cs="宋体"/>
          <w:b/>
          <w:color w:val="000000"/>
          <w:sz w:val="21"/>
          <w:szCs w:val="21"/>
          <w:highlight w:val="none"/>
          <w:lang w:eastAsia="zh-CN"/>
        </w:rPr>
        <w:t>代理时必须提供）</w:t>
      </w:r>
    </w:p>
    <w:p w14:paraId="1D105EF7">
      <w:pPr>
        <w:keepNext w:val="0"/>
        <w:keepLines w:val="0"/>
        <w:pageBreakBefore w:val="0"/>
        <w:kinsoku/>
        <w:overflowPunct/>
        <w:topLinePunct w:val="0"/>
        <w:bidi w:val="0"/>
        <w:snapToGrid w:val="0"/>
        <w:spacing w:before="120" w:beforeLines="50" w:after="50" w:line="400" w:lineRule="exact"/>
        <w:jc w:val="center"/>
        <w:textAlignment w:val="auto"/>
        <w:rPr>
          <w:rFonts w:hint="eastAsia" w:ascii="宋体" w:hAnsi="宋体" w:eastAsia="宋体" w:cs="宋体"/>
          <w:b/>
          <w:bCs/>
          <w:sz w:val="21"/>
          <w:szCs w:val="21"/>
          <w:highlight w:val="none"/>
          <w:lang w:eastAsia="zh-CN"/>
        </w:rPr>
      </w:pPr>
      <w:r>
        <w:rPr>
          <w:rFonts w:hint="eastAsia" w:ascii="宋体" w:hAnsi="宋体" w:eastAsia="宋体" w:cs="宋体"/>
          <w:b/>
          <w:bCs/>
          <w:sz w:val="21"/>
          <w:szCs w:val="21"/>
          <w:highlight w:val="none"/>
          <w:lang w:eastAsia="zh-CN"/>
        </w:rPr>
        <w:t>法定代表人授权委托书（</w:t>
      </w:r>
      <w:r>
        <w:rPr>
          <w:rFonts w:hint="eastAsia" w:ascii="宋体" w:hAnsi="宋体" w:eastAsia="宋体" w:cs="宋体"/>
          <w:b/>
          <w:bCs/>
          <w:sz w:val="21"/>
          <w:szCs w:val="21"/>
          <w:highlight w:val="none"/>
          <w:lang w:val="en-US" w:eastAsia="zh-CN"/>
        </w:rPr>
        <w:t>参考格式</w:t>
      </w:r>
      <w:r>
        <w:rPr>
          <w:rFonts w:hint="eastAsia" w:ascii="宋体" w:hAnsi="宋体" w:eastAsia="宋体" w:cs="宋体"/>
          <w:b/>
          <w:bCs/>
          <w:sz w:val="21"/>
          <w:szCs w:val="21"/>
          <w:highlight w:val="none"/>
          <w:lang w:eastAsia="zh-CN"/>
        </w:rPr>
        <w:t>）</w:t>
      </w:r>
    </w:p>
    <w:p w14:paraId="7F0237E6">
      <w:pPr>
        <w:keepNext w:val="0"/>
        <w:keepLines w:val="0"/>
        <w:pageBreakBefore w:val="0"/>
        <w:widowControl w:val="0"/>
        <w:kinsoku/>
        <w:wordWrap/>
        <w:overflowPunct/>
        <w:topLinePunct w:val="0"/>
        <w:autoSpaceDE/>
        <w:autoSpaceDN/>
        <w:bidi w:val="0"/>
        <w:adjustRightInd/>
        <w:snapToGrid w:val="0"/>
        <w:spacing w:before="120" w:beforeLines="50" w:after="50" w:line="400" w:lineRule="exact"/>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致________(采购人)：</w:t>
      </w:r>
    </w:p>
    <w:p w14:paraId="2692A244">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我</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（姓名）系</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（供应商名称）的法定代表人，现授权委托本单位在职职工（姓名）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（身份证号）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以我方的名义参加</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eastAsia="zh-CN"/>
        </w:rPr>
        <w:t>广西壮族自治区生殖医院</w:t>
      </w:r>
      <w:r>
        <w:rPr>
          <w:rFonts w:hint="eastAsia" w:ascii="宋体" w:hAnsi="宋体" w:eastAsia="宋体" w:cs="宋体"/>
          <w:sz w:val="21"/>
          <w:szCs w:val="21"/>
          <w:highlight w:val="none"/>
          <w:u w:val="single"/>
        </w:rPr>
        <w:t xml:space="preserve">（项目名称：        </w:t>
      </w:r>
      <w:r>
        <w:rPr>
          <w:rFonts w:hint="eastAsia" w:ascii="宋体" w:hAnsi="宋体" w:eastAsia="宋体" w:cs="宋体"/>
          <w:sz w:val="21"/>
          <w:szCs w:val="21"/>
          <w:highlight w:val="none"/>
          <w:u w:val="single"/>
          <w:lang w:eastAsia="zh-CN"/>
        </w:rPr>
        <w:t>，</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项目编号：       ）</w:t>
      </w:r>
      <w:r>
        <w:rPr>
          <w:rFonts w:hint="eastAsia" w:ascii="宋体" w:hAnsi="宋体" w:eastAsia="宋体" w:cs="宋体"/>
          <w:sz w:val="21"/>
          <w:szCs w:val="21"/>
          <w:highlight w:val="none"/>
        </w:rPr>
        <w:t>的投标活动，并代表我方全权办理针对上述项目的投标、开标、评标、签约等具体事务和签署相关文件。</w:t>
      </w:r>
    </w:p>
    <w:p w14:paraId="4813C1C7">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我方对委托代理人的签字事项负全部责任。</w:t>
      </w:r>
    </w:p>
    <w:p w14:paraId="7A8E9142">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8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u w:val="single"/>
        </w:rPr>
        <w:t>在撤销授权的书面通知以前，本授权书一直有效。</w:t>
      </w:r>
      <w:r>
        <w:rPr>
          <w:rFonts w:hint="eastAsia" w:ascii="宋体" w:hAnsi="宋体" w:eastAsia="宋体" w:cs="宋体"/>
          <w:sz w:val="21"/>
          <w:szCs w:val="21"/>
          <w:highlight w:val="none"/>
        </w:rPr>
        <w:t>委托代理人在授权书有效期内签署的所有文件不因授权的撤销而失效。</w:t>
      </w:r>
    </w:p>
    <w:p w14:paraId="5256AFB3">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8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委托代理人无转委托权，特此委托。</w:t>
      </w:r>
    </w:p>
    <w:p w14:paraId="2C1AD928">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被授权人（委托代理人）签字：</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w:t>
      </w:r>
    </w:p>
    <w:p w14:paraId="6F90D97D">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所在部门/职务：</w:t>
      </w:r>
      <w:r>
        <w:rPr>
          <w:rFonts w:hint="eastAsia" w:ascii="宋体" w:hAnsi="宋体" w:eastAsia="宋体" w:cs="宋体"/>
          <w:sz w:val="21"/>
          <w:szCs w:val="21"/>
          <w:highlight w:val="none"/>
          <w:u w:val="single"/>
        </w:rPr>
        <w:t xml:space="preserve">                           </w:t>
      </w:r>
    </w:p>
    <w:p w14:paraId="70FE50A3">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联系电话：</w:t>
      </w:r>
      <w:r>
        <w:rPr>
          <w:rFonts w:hint="eastAsia" w:ascii="宋体" w:hAnsi="宋体" w:eastAsia="宋体" w:cs="宋体"/>
          <w:sz w:val="21"/>
          <w:szCs w:val="21"/>
          <w:highlight w:val="none"/>
          <w:u w:val="single"/>
        </w:rPr>
        <w:t xml:space="preserve">                                </w:t>
      </w:r>
    </w:p>
    <w:p w14:paraId="06F29721">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法定代表人签字：</w:t>
      </w:r>
      <w:r>
        <w:rPr>
          <w:rFonts w:hint="eastAsia" w:ascii="宋体" w:hAnsi="宋体" w:eastAsia="宋体" w:cs="宋体"/>
          <w:sz w:val="21"/>
          <w:szCs w:val="21"/>
          <w:highlight w:val="none"/>
          <w:u w:val="single"/>
        </w:rPr>
        <w:t xml:space="preserve">                          </w:t>
      </w:r>
    </w:p>
    <w:p w14:paraId="2C84F1BE">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textAlignment w:val="auto"/>
        <w:rPr>
          <w:rFonts w:hint="eastAsia" w:ascii="宋体" w:hAnsi="宋体" w:eastAsia="宋体" w:cs="宋体"/>
          <w:sz w:val="21"/>
          <w:szCs w:val="21"/>
          <w:highlight w:val="none"/>
          <w:u w:val="single"/>
        </w:rPr>
      </w:pPr>
    </w:p>
    <w:p w14:paraId="0175326E">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5040" w:firstLineChars="2400"/>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供应商名称（盖公章）：</w:t>
      </w:r>
      <w:r>
        <w:rPr>
          <w:rFonts w:hint="eastAsia" w:ascii="宋体" w:hAnsi="宋体" w:eastAsia="宋体" w:cs="宋体"/>
          <w:sz w:val="21"/>
          <w:szCs w:val="21"/>
          <w:highlight w:val="none"/>
          <w:u w:val="single"/>
        </w:rPr>
        <w:t xml:space="preserve">             </w:t>
      </w:r>
    </w:p>
    <w:p w14:paraId="641ADB5C">
      <w:pPr>
        <w:pStyle w:val="17"/>
        <w:keepNext w:val="0"/>
        <w:keepLines w:val="0"/>
        <w:pageBreakBefore w:val="0"/>
        <w:widowControl w:val="0"/>
        <w:kinsoku/>
        <w:wordWrap w:val="0"/>
        <w:overflowPunct/>
        <w:topLinePunct w:val="0"/>
        <w:autoSpaceDE/>
        <w:autoSpaceDN/>
        <w:bidi w:val="0"/>
        <w:adjustRightInd/>
        <w:spacing w:line="400" w:lineRule="exact"/>
        <w:ind w:firstLine="539" w:firstLineChars="257"/>
        <w:jc w:val="righ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日期：</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日 </w:t>
      </w:r>
    </w:p>
    <w:p w14:paraId="40E4F3E2">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8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附：委托代理人有效的身份证正反面复印件，并加盖公章。</w:t>
      </w:r>
    </w:p>
    <w:p w14:paraId="2259284B">
      <w:pPr>
        <w:keepNext w:val="0"/>
        <w:keepLines w:val="0"/>
        <w:pageBreakBefore w:val="0"/>
        <w:numPr>
          <w:ilvl w:val="0"/>
          <w:numId w:val="0"/>
        </w:numPr>
        <w:kinsoku/>
        <w:overflowPunct/>
        <w:topLinePunct w:val="0"/>
        <w:bidi w:val="0"/>
        <w:spacing w:line="400" w:lineRule="exact"/>
        <w:ind w:left="0" w:leftChars="0" w:firstLine="0" w:firstLineChars="0"/>
        <w:textAlignment w:val="auto"/>
        <w:rPr>
          <w:rFonts w:hint="eastAsia" w:ascii="宋体" w:hAnsi="宋体" w:eastAsia="宋体" w:cs="宋体"/>
          <w:b/>
          <w:color w:val="000000"/>
          <w:sz w:val="21"/>
          <w:szCs w:val="21"/>
          <w:highlight w:val="none"/>
          <w:lang w:val="en-US" w:eastAsia="zh-CN"/>
        </w:rPr>
      </w:pPr>
    </w:p>
    <w:p w14:paraId="46808383">
      <w:pPr>
        <w:keepNext w:val="0"/>
        <w:keepLines w:val="0"/>
        <w:pageBreakBefore w:val="0"/>
        <w:numPr>
          <w:ilvl w:val="0"/>
          <w:numId w:val="0"/>
        </w:numPr>
        <w:kinsoku/>
        <w:overflowPunct/>
        <w:topLinePunct w:val="0"/>
        <w:bidi w:val="0"/>
        <w:spacing w:line="400" w:lineRule="exact"/>
        <w:ind w:left="0" w:leftChars="0" w:firstLine="0" w:firstLineChars="0"/>
        <w:textAlignment w:val="auto"/>
        <w:rPr>
          <w:rFonts w:hint="eastAsia" w:ascii="宋体" w:hAnsi="宋体" w:eastAsia="宋体" w:cs="宋体"/>
          <w:b/>
          <w:color w:val="000000"/>
          <w:sz w:val="21"/>
          <w:szCs w:val="21"/>
          <w:highlight w:val="none"/>
          <w:lang w:val="en-US" w:eastAsia="zh-CN"/>
        </w:rPr>
      </w:pPr>
      <w:r>
        <w:rPr>
          <w:rFonts w:hint="eastAsia" w:ascii="宋体" w:hAnsi="宋体" w:cs="宋体"/>
          <w:b/>
          <w:color w:val="000000"/>
          <w:sz w:val="21"/>
          <w:szCs w:val="21"/>
          <w:highlight w:val="none"/>
          <w:lang w:val="en-US" w:eastAsia="zh-CN"/>
        </w:rPr>
        <w:t>六</w:t>
      </w:r>
      <w:r>
        <w:rPr>
          <w:rFonts w:hint="eastAsia" w:ascii="宋体" w:hAnsi="宋体" w:eastAsia="宋体" w:cs="宋体"/>
          <w:b/>
          <w:color w:val="000000"/>
          <w:sz w:val="21"/>
          <w:szCs w:val="21"/>
          <w:highlight w:val="none"/>
          <w:lang w:val="en-US" w:eastAsia="zh-CN"/>
        </w:rPr>
        <w:t>、供应商认为需要提供的相关材料。如：产品彩页等说明书（如有请提供）</w:t>
      </w:r>
    </w:p>
    <w:p w14:paraId="30B271EF">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80"/>
        <w:textAlignment w:val="auto"/>
        <w:rPr>
          <w:rFonts w:hint="eastAsia" w:ascii="宋体" w:hAnsi="宋体" w:eastAsia="宋体" w:cs="宋体"/>
          <w:sz w:val="21"/>
          <w:szCs w:val="21"/>
          <w:highlight w:val="none"/>
        </w:rPr>
      </w:pPr>
    </w:p>
    <w:p w14:paraId="5E402073">
      <w:pPr>
        <w:keepNext w:val="0"/>
        <w:keepLines w:val="0"/>
        <w:pageBreakBefore w:val="0"/>
        <w:kinsoku/>
        <w:overflowPunct/>
        <w:topLinePunct w:val="0"/>
        <w:bidi w:val="0"/>
        <w:spacing w:line="400" w:lineRule="exact"/>
        <w:textAlignment w:val="auto"/>
        <w:rPr>
          <w:rFonts w:hint="eastAsia" w:ascii="宋体" w:hAnsi="宋体" w:eastAsia="宋体" w:cs="宋体"/>
          <w:b/>
          <w:color w:val="000000"/>
          <w:sz w:val="21"/>
          <w:szCs w:val="21"/>
          <w:highlight w:val="none"/>
          <w:lang w:val="en-US" w:eastAsia="zh-CN"/>
        </w:rPr>
      </w:pPr>
    </w:p>
    <w:p w14:paraId="6493B071">
      <w:pPr>
        <w:keepNext w:val="0"/>
        <w:keepLines w:val="0"/>
        <w:pageBreakBefore w:val="0"/>
        <w:kinsoku/>
        <w:overflowPunct/>
        <w:topLinePunct w:val="0"/>
        <w:bidi w:val="0"/>
        <w:spacing w:line="400" w:lineRule="exact"/>
        <w:textAlignment w:val="auto"/>
        <w:rPr>
          <w:rFonts w:hint="eastAsia" w:ascii="宋体" w:hAnsi="宋体" w:eastAsia="宋体" w:cs="宋体"/>
          <w:b/>
          <w:color w:val="000000"/>
          <w:kern w:val="2"/>
          <w:sz w:val="21"/>
          <w:szCs w:val="21"/>
          <w:lang w:val="en-US" w:eastAsia="zh-CN" w:bidi="ar-SA"/>
        </w:rPr>
      </w:pPr>
      <w:r>
        <w:rPr>
          <w:rFonts w:hint="eastAsia" w:ascii="宋体" w:hAnsi="宋体" w:eastAsia="宋体" w:cs="宋体"/>
          <w:b/>
          <w:color w:val="000000"/>
          <w:kern w:val="2"/>
          <w:sz w:val="21"/>
          <w:szCs w:val="21"/>
          <w:lang w:val="en-US" w:eastAsia="zh-CN" w:bidi="ar-SA"/>
        </w:rPr>
        <w:br w:type="page"/>
      </w:r>
    </w:p>
    <w:p w14:paraId="7785EBB3">
      <w:pPr>
        <w:keepNext w:val="0"/>
        <w:keepLines w:val="0"/>
        <w:pageBreakBefore w:val="0"/>
        <w:kinsoku/>
        <w:overflowPunct/>
        <w:topLinePunct w:val="0"/>
        <w:bidi w:val="0"/>
        <w:spacing w:line="400" w:lineRule="exact"/>
        <w:textAlignment w:val="auto"/>
        <w:rPr>
          <w:rFonts w:hint="eastAsia" w:ascii="宋体" w:hAnsi="宋体" w:eastAsia="宋体" w:cs="宋体"/>
          <w:b/>
          <w:color w:val="000000"/>
          <w:sz w:val="21"/>
          <w:szCs w:val="21"/>
          <w:highlight w:val="none"/>
          <w:lang w:eastAsia="zh-CN"/>
        </w:rPr>
      </w:pPr>
      <w:r>
        <w:rPr>
          <w:rFonts w:hint="eastAsia" w:ascii="宋体" w:hAnsi="宋体" w:cs="宋体"/>
          <w:b/>
          <w:color w:val="000000"/>
          <w:kern w:val="2"/>
          <w:sz w:val="21"/>
          <w:szCs w:val="21"/>
          <w:lang w:val="en-US" w:eastAsia="zh-CN" w:bidi="ar-SA"/>
        </w:rPr>
        <w:t>七</w:t>
      </w:r>
      <w:r>
        <w:rPr>
          <w:rFonts w:hint="eastAsia" w:ascii="宋体" w:hAnsi="宋体" w:eastAsia="宋体" w:cs="宋体"/>
          <w:b/>
          <w:color w:val="000000"/>
          <w:kern w:val="2"/>
          <w:sz w:val="21"/>
          <w:szCs w:val="21"/>
          <w:lang w:val="en-US" w:eastAsia="zh-CN" w:bidi="ar-SA"/>
        </w:rPr>
        <w:t>、</w:t>
      </w:r>
      <w:r>
        <w:rPr>
          <w:rFonts w:hint="eastAsia" w:ascii="宋体" w:hAnsi="宋体" w:eastAsia="宋体" w:cs="宋体"/>
          <w:b/>
          <w:color w:val="000000"/>
          <w:sz w:val="21"/>
          <w:szCs w:val="21"/>
          <w:highlight w:val="none"/>
          <w:lang w:eastAsia="zh-CN"/>
        </w:rPr>
        <w:t>报价表（必须提供</w:t>
      </w:r>
      <w:r>
        <w:rPr>
          <w:rFonts w:hint="eastAsia" w:ascii="宋体" w:hAnsi="宋体" w:eastAsia="宋体" w:cs="宋体"/>
          <w:b/>
          <w:color w:val="000000"/>
          <w:sz w:val="21"/>
          <w:szCs w:val="21"/>
          <w:highlight w:val="none"/>
          <w:lang w:val="en-US" w:eastAsia="zh-CN"/>
        </w:rPr>
        <w:t>,密封有效</w:t>
      </w:r>
      <w:r>
        <w:rPr>
          <w:rFonts w:hint="eastAsia" w:ascii="宋体" w:hAnsi="宋体" w:eastAsia="宋体" w:cs="宋体"/>
          <w:b/>
          <w:color w:val="000000"/>
          <w:sz w:val="21"/>
          <w:szCs w:val="21"/>
          <w:highlight w:val="none"/>
          <w:lang w:eastAsia="zh-CN"/>
        </w:rPr>
        <w:t>）</w:t>
      </w:r>
    </w:p>
    <w:p w14:paraId="7DAAE76D">
      <w:pPr>
        <w:pStyle w:val="36"/>
        <w:keepNext w:val="0"/>
        <w:keepLines w:val="0"/>
        <w:pageBreakBefore w:val="0"/>
        <w:numPr>
          <w:ilvl w:val="0"/>
          <w:numId w:val="0"/>
        </w:numPr>
        <w:kinsoku/>
        <w:wordWrap/>
        <w:overflowPunct/>
        <w:topLinePunct w:val="0"/>
        <w:bidi w:val="0"/>
        <w:adjustRightInd w:val="0"/>
        <w:spacing w:line="400" w:lineRule="exact"/>
        <w:jc w:val="center"/>
        <w:textAlignment w:val="auto"/>
        <w:rPr>
          <w:rFonts w:hint="eastAsia" w:ascii="宋体" w:hAnsi="宋体" w:eastAsia="宋体" w:cs="宋体"/>
          <w:sz w:val="21"/>
          <w:szCs w:val="21"/>
          <w:highlight w:val="none"/>
        </w:rPr>
      </w:pPr>
      <w:r>
        <w:rPr>
          <w:rFonts w:hint="eastAsia" w:ascii="宋体" w:hAnsi="宋体" w:eastAsia="宋体" w:cs="宋体"/>
          <w:b/>
          <w:color w:val="000000"/>
          <w:sz w:val="21"/>
          <w:szCs w:val="21"/>
          <w:highlight w:val="none"/>
          <w:lang w:eastAsia="zh-CN"/>
        </w:rPr>
        <w:t>报价表</w:t>
      </w:r>
    </w:p>
    <w:p w14:paraId="520C3663">
      <w:pPr>
        <w:keepNext w:val="0"/>
        <w:keepLines w:val="0"/>
        <w:pageBreakBefore w:val="0"/>
        <w:widowControl/>
        <w:kinsoku/>
        <w:wordWrap/>
        <w:overflowPunct/>
        <w:topLinePunct w:val="0"/>
        <w:autoSpaceDE/>
        <w:autoSpaceDN/>
        <w:bidi w:val="0"/>
        <w:adjustRightInd w:val="0"/>
        <w:snapToGrid w:val="0"/>
        <w:spacing w:line="400" w:lineRule="exact"/>
        <w:jc w:val="left"/>
        <w:textAlignment w:val="auto"/>
        <w:rPr>
          <w:rFonts w:hint="eastAsia" w:ascii="宋体" w:hAnsi="宋体" w:eastAsia="宋体" w:cs="宋体"/>
          <w:sz w:val="21"/>
          <w:szCs w:val="21"/>
          <w:highlight w:val="none"/>
          <w:u w:val="single"/>
          <w:lang w:val="en-US" w:eastAsia="zh-CN"/>
        </w:rPr>
      </w:pPr>
      <w:r>
        <w:rPr>
          <w:rFonts w:hint="eastAsia" w:ascii="宋体" w:hAnsi="宋体" w:eastAsia="宋体" w:cs="宋体"/>
          <w:bCs/>
          <w:sz w:val="21"/>
          <w:szCs w:val="21"/>
          <w:highlight w:val="none"/>
          <w:lang w:val="en-US" w:eastAsia="zh-CN"/>
        </w:rPr>
        <w:t>采购</w:t>
      </w:r>
      <w:r>
        <w:rPr>
          <w:rFonts w:hint="eastAsia" w:ascii="宋体" w:hAnsi="宋体" w:eastAsia="宋体" w:cs="宋体"/>
          <w:bCs/>
          <w:sz w:val="21"/>
          <w:szCs w:val="21"/>
          <w:highlight w:val="none"/>
        </w:rPr>
        <w:t>项目</w:t>
      </w:r>
      <w:r>
        <w:rPr>
          <w:rFonts w:hint="eastAsia" w:ascii="宋体" w:hAnsi="宋体" w:eastAsia="宋体" w:cs="宋体"/>
          <w:bCs/>
          <w:sz w:val="21"/>
          <w:szCs w:val="21"/>
          <w:highlight w:val="none"/>
          <w:lang w:eastAsia="zh-CN"/>
        </w:rPr>
        <w:t>名称：</w:t>
      </w:r>
      <w:r>
        <w:rPr>
          <w:rFonts w:hint="eastAsia" w:ascii="宋体" w:hAnsi="宋体" w:eastAsia="宋体" w:cs="宋体"/>
          <w:sz w:val="21"/>
          <w:szCs w:val="21"/>
          <w:highlight w:val="none"/>
          <w:u w:val="single"/>
          <w:lang w:val="en-US" w:eastAsia="zh-CN"/>
        </w:rPr>
        <w:t xml:space="preserve">               </w:t>
      </w:r>
    </w:p>
    <w:p w14:paraId="4E8EA4B6">
      <w:pPr>
        <w:keepNext w:val="0"/>
        <w:keepLines w:val="0"/>
        <w:pageBreakBefore w:val="0"/>
        <w:widowControl/>
        <w:kinsoku/>
        <w:wordWrap/>
        <w:overflowPunct/>
        <w:topLinePunct w:val="0"/>
        <w:autoSpaceDE/>
        <w:autoSpaceDN/>
        <w:bidi w:val="0"/>
        <w:adjustRightInd w:val="0"/>
        <w:snapToGrid w:val="0"/>
        <w:spacing w:line="400" w:lineRule="exact"/>
        <w:jc w:val="left"/>
        <w:textAlignment w:val="auto"/>
        <w:rPr>
          <w:rFonts w:hint="eastAsia" w:ascii="宋体" w:hAnsi="宋体" w:eastAsia="宋体" w:cs="宋体"/>
          <w:sz w:val="21"/>
          <w:szCs w:val="21"/>
          <w:highlight w:val="none"/>
          <w:u w:val="single"/>
          <w:lang w:val="en-US" w:eastAsia="zh-CN"/>
        </w:rPr>
      </w:pPr>
      <w:r>
        <w:rPr>
          <w:rFonts w:hint="eastAsia" w:ascii="宋体" w:hAnsi="宋体" w:eastAsia="宋体" w:cs="宋体"/>
          <w:bCs/>
          <w:sz w:val="21"/>
          <w:szCs w:val="21"/>
          <w:highlight w:val="none"/>
          <w:lang w:val="en-US" w:eastAsia="zh-CN"/>
        </w:rPr>
        <w:t>采购</w:t>
      </w:r>
      <w:r>
        <w:rPr>
          <w:rFonts w:hint="eastAsia" w:ascii="宋体" w:hAnsi="宋体" w:eastAsia="宋体" w:cs="宋体"/>
          <w:bCs/>
          <w:sz w:val="21"/>
          <w:szCs w:val="21"/>
          <w:highlight w:val="none"/>
          <w:lang w:eastAsia="zh-CN"/>
        </w:rPr>
        <w:t>项目编号</w:t>
      </w:r>
      <w:r>
        <w:rPr>
          <w:rFonts w:hint="eastAsia" w:ascii="宋体" w:hAnsi="宋体" w:eastAsia="宋体" w:cs="宋体"/>
          <w:bCs/>
          <w:sz w:val="21"/>
          <w:szCs w:val="21"/>
          <w:highlight w:val="none"/>
        </w:rPr>
        <w:t>：</w:t>
      </w:r>
      <w:r>
        <w:rPr>
          <w:rFonts w:hint="eastAsia" w:ascii="宋体" w:hAnsi="宋体" w:eastAsia="宋体" w:cs="宋体"/>
          <w:sz w:val="21"/>
          <w:szCs w:val="21"/>
          <w:highlight w:val="none"/>
          <w:u w:val="single"/>
          <w:lang w:val="en-US" w:eastAsia="zh-CN"/>
        </w:rPr>
        <w:t xml:space="preserve">               </w:t>
      </w:r>
    </w:p>
    <w:tbl>
      <w:tblPr>
        <w:tblStyle w:val="29"/>
        <w:tblW w:w="487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9"/>
        <w:gridCol w:w="1528"/>
        <w:gridCol w:w="2204"/>
        <w:gridCol w:w="853"/>
        <w:gridCol w:w="860"/>
        <w:gridCol w:w="1024"/>
        <w:gridCol w:w="1535"/>
      </w:tblGrid>
      <w:tr w14:paraId="327A3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38" w:hRule="atLeast"/>
          <w:jc w:val="center"/>
        </w:trPr>
        <w:tc>
          <w:tcPr>
            <w:tcW w:w="438" w:type="pct"/>
            <w:noWrap w:val="0"/>
            <w:vAlign w:val="center"/>
          </w:tcPr>
          <w:p w14:paraId="635B0DAF">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序号</w:t>
            </w:r>
          </w:p>
        </w:tc>
        <w:tc>
          <w:tcPr>
            <w:tcW w:w="870" w:type="pct"/>
            <w:noWrap w:val="0"/>
            <w:vAlign w:val="center"/>
          </w:tcPr>
          <w:p w14:paraId="7501B258">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商品</w:t>
            </w:r>
            <w:r>
              <w:rPr>
                <w:rFonts w:hint="eastAsia" w:ascii="宋体" w:hAnsi="宋体" w:eastAsia="宋体" w:cs="宋体"/>
                <w:sz w:val="21"/>
                <w:szCs w:val="21"/>
              </w:rPr>
              <w:t>名称</w:t>
            </w:r>
          </w:p>
        </w:tc>
        <w:tc>
          <w:tcPr>
            <w:tcW w:w="1255" w:type="pct"/>
            <w:noWrap w:val="0"/>
            <w:vAlign w:val="center"/>
          </w:tcPr>
          <w:p w14:paraId="70070592">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品牌、规格、型号</w:t>
            </w:r>
          </w:p>
        </w:tc>
        <w:tc>
          <w:tcPr>
            <w:tcW w:w="486" w:type="pct"/>
            <w:noWrap w:val="0"/>
            <w:vAlign w:val="center"/>
          </w:tcPr>
          <w:p w14:paraId="1D395556">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数量①</w:t>
            </w:r>
          </w:p>
        </w:tc>
        <w:tc>
          <w:tcPr>
            <w:tcW w:w="490" w:type="pct"/>
            <w:noWrap w:val="0"/>
            <w:vAlign w:val="center"/>
          </w:tcPr>
          <w:p w14:paraId="11F36893">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单位</w:t>
            </w:r>
          </w:p>
        </w:tc>
        <w:tc>
          <w:tcPr>
            <w:tcW w:w="583" w:type="pct"/>
            <w:noWrap w:val="0"/>
            <w:vAlign w:val="center"/>
          </w:tcPr>
          <w:p w14:paraId="3119054C">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单价（元）</w:t>
            </w:r>
          </w:p>
          <w:p w14:paraId="7BCEBA72">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②</w:t>
            </w:r>
          </w:p>
        </w:tc>
        <w:tc>
          <w:tcPr>
            <w:tcW w:w="874" w:type="pct"/>
            <w:noWrap w:val="0"/>
            <w:vAlign w:val="center"/>
          </w:tcPr>
          <w:p w14:paraId="6BC88518">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单项合价（元）</w:t>
            </w:r>
          </w:p>
          <w:p w14:paraId="3DA7EC70">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③=①×②</w:t>
            </w:r>
          </w:p>
        </w:tc>
      </w:tr>
      <w:tr w14:paraId="6E3C6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438" w:type="pct"/>
            <w:noWrap w:val="0"/>
            <w:vAlign w:val="center"/>
          </w:tcPr>
          <w:p w14:paraId="07642F1E">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c>
          <w:tcPr>
            <w:tcW w:w="870" w:type="pct"/>
            <w:noWrap w:val="0"/>
            <w:vAlign w:val="center"/>
          </w:tcPr>
          <w:p w14:paraId="382F9C57">
            <w:pPr>
              <w:keepNext w:val="0"/>
              <w:keepLines w:val="0"/>
              <w:pageBreakBefore w:val="0"/>
              <w:kinsoku/>
              <w:overflowPunct/>
              <w:topLinePunct w:val="0"/>
              <w:bidi w:val="0"/>
              <w:spacing w:line="400" w:lineRule="exact"/>
              <w:textAlignment w:val="auto"/>
              <w:rPr>
                <w:rFonts w:hint="eastAsia" w:ascii="宋体" w:hAnsi="宋体" w:eastAsia="宋体" w:cs="宋体"/>
                <w:sz w:val="21"/>
                <w:szCs w:val="21"/>
              </w:rPr>
            </w:pPr>
          </w:p>
        </w:tc>
        <w:tc>
          <w:tcPr>
            <w:tcW w:w="1255" w:type="pct"/>
            <w:noWrap w:val="0"/>
            <w:vAlign w:val="center"/>
          </w:tcPr>
          <w:p w14:paraId="6131A3E7">
            <w:pPr>
              <w:keepNext w:val="0"/>
              <w:keepLines w:val="0"/>
              <w:pageBreakBefore w:val="0"/>
              <w:kinsoku/>
              <w:overflowPunct/>
              <w:topLinePunct w:val="0"/>
              <w:bidi w:val="0"/>
              <w:spacing w:line="400" w:lineRule="exact"/>
              <w:textAlignment w:val="auto"/>
              <w:rPr>
                <w:rFonts w:hint="eastAsia" w:ascii="宋体" w:hAnsi="宋体" w:eastAsia="宋体" w:cs="宋体"/>
                <w:sz w:val="21"/>
                <w:szCs w:val="21"/>
              </w:rPr>
            </w:pPr>
          </w:p>
        </w:tc>
        <w:tc>
          <w:tcPr>
            <w:tcW w:w="486" w:type="pct"/>
            <w:noWrap w:val="0"/>
            <w:vAlign w:val="center"/>
          </w:tcPr>
          <w:p w14:paraId="1B08C664">
            <w:pPr>
              <w:keepNext w:val="0"/>
              <w:keepLines w:val="0"/>
              <w:pageBreakBefore w:val="0"/>
              <w:kinsoku/>
              <w:overflowPunct/>
              <w:topLinePunct w:val="0"/>
              <w:bidi w:val="0"/>
              <w:spacing w:line="400" w:lineRule="exact"/>
              <w:textAlignment w:val="auto"/>
              <w:rPr>
                <w:rFonts w:hint="eastAsia" w:ascii="宋体" w:hAnsi="宋体" w:eastAsia="宋体" w:cs="宋体"/>
                <w:sz w:val="21"/>
                <w:szCs w:val="21"/>
              </w:rPr>
            </w:pPr>
          </w:p>
        </w:tc>
        <w:tc>
          <w:tcPr>
            <w:tcW w:w="490" w:type="pct"/>
            <w:noWrap w:val="0"/>
            <w:vAlign w:val="center"/>
          </w:tcPr>
          <w:p w14:paraId="6F3A17CC">
            <w:pPr>
              <w:keepNext w:val="0"/>
              <w:keepLines w:val="0"/>
              <w:pageBreakBefore w:val="0"/>
              <w:kinsoku/>
              <w:overflowPunct/>
              <w:topLinePunct w:val="0"/>
              <w:bidi w:val="0"/>
              <w:spacing w:line="400" w:lineRule="exact"/>
              <w:textAlignment w:val="auto"/>
              <w:rPr>
                <w:rFonts w:hint="eastAsia" w:ascii="宋体" w:hAnsi="宋体" w:eastAsia="宋体" w:cs="宋体"/>
                <w:sz w:val="21"/>
                <w:szCs w:val="21"/>
              </w:rPr>
            </w:pPr>
          </w:p>
        </w:tc>
        <w:tc>
          <w:tcPr>
            <w:tcW w:w="583" w:type="pct"/>
            <w:noWrap w:val="0"/>
            <w:vAlign w:val="center"/>
          </w:tcPr>
          <w:p w14:paraId="40678AED">
            <w:pPr>
              <w:keepNext w:val="0"/>
              <w:keepLines w:val="0"/>
              <w:pageBreakBefore w:val="0"/>
              <w:kinsoku/>
              <w:overflowPunct/>
              <w:topLinePunct w:val="0"/>
              <w:bidi w:val="0"/>
              <w:spacing w:line="400" w:lineRule="exact"/>
              <w:textAlignment w:val="auto"/>
              <w:rPr>
                <w:rFonts w:hint="eastAsia" w:ascii="宋体" w:hAnsi="宋体" w:eastAsia="宋体" w:cs="宋体"/>
                <w:sz w:val="21"/>
                <w:szCs w:val="21"/>
              </w:rPr>
            </w:pPr>
          </w:p>
        </w:tc>
        <w:tc>
          <w:tcPr>
            <w:tcW w:w="874" w:type="pct"/>
            <w:noWrap w:val="0"/>
            <w:vAlign w:val="center"/>
          </w:tcPr>
          <w:p w14:paraId="64E9FA89">
            <w:pPr>
              <w:keepNext w:val="0"/>
              <w:keepLines w:val="0"/>
              <w:pageBreakBefore w:val="0"/>
              <w:kinsoku/>
              <w:overflowPunct/>
              <w:topLinePunct w:val="0"/>
              <w:bidi w:val="0"/>
              <w:spacing w:line="400" w:lineRule="exact"/>
              <w:textAlignment w:val="auto"/>
              <w:rPr>
                <w:rFonts w:hint="eastAsia" w:ascii="宋体" w:hAnsi="宋体" w:eastAsia="宋体" w:cs="宋体"/>
                <w:sz w:val="21"/>
                <w:szCs w:val="21"/>
              </w:rPr>
            </w:pPr>
          </w:p>
        </w:tc>
      </w:tr>
      <w:tr w14:paraId="75E0D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438" w:type="pct"/>
            <w:noWrap w:val="0"/>
            <w:vAlign w:val="center"/>
          </w:tcPr>
          <w:p w14:paraId="66A34D6F">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2</w:t>
            </w:r>
          </w:p>
        </w:tc>
        <w:tc>
          <w:tcPr>
            <w:tcW w:w="870" w:type="pct"/>
            <w:noWrap w:val="0"/>
            <w:vAlign w:val="center"/>
          </w:tcPr>
          <w:p w14:paraId="3947440C">
            <w:pPr>
              <w:keepNext w:val="0"/>
              <w:keepLines w:val="0"/>
              <w:pageBreakBefore w:val="0"/>
              <w:kinsoku/>
              <w:overflowPunct/>
              <w:topLinePunct w:val="0"/>
              <w:bidi w:val="0"/>
              <w:spacing w:line="400" w:lineRule="exact"/>
              <w:textAlignment w:val="auto"/>
              <w:rPr>
                <w:rFonts w:hint="eastAsia" w:ascii="宋体" w:hAnsi="宋体" w:eastAsia="宋体" w:cs="宋体"/>
                <w:sz w:val="21"/>
                <w:szCs w:val="21"/>
              </w:rPr>
            </w:pPr>
          </w:p>
        </w:tc>
        <w:tc>
          <w:tcPr>
            <w:tcW w:w="1255" w:type="pct"/>
            <w:noWrap w:val="0"/>
            <w:vAlign w:val="center"/>
          </w:tcPr>
          <w:p w14:paraId="74D74BA9">
            <w:pPr>
              <w:keepNext w:val="0"/>
              <w:keepLines w:val="0"/>
              <w:pageBreakBefore w:val="0"/>
              <w:kinsoku/>
              <w:overflowPunct/>
              <w:topLinePunct w:val="0"/>
              <w:bidi w:val="0"/>
              <w:spacing w:line="400" w:lineRule="exact"/>
              <w:textAlignment w:val="auto"/>
              <w:rPr>
                <w:rFonts w:hint="eastAsia" w:ascii="宋体" w:hAnsi="宋体" w:eastAsia="宋体" w:cs="宋体"/>
                <w:sz w:val="21"/>
                <w:szCs w:val="21"/>
              </w:rPr>
            </w:pPr>
          </w:p>
        </w:tc>
        <w:tc>
          <w:tcPr>
            <w:tcW w:w="486" w:type="pct"/>
            <w:noWrap w:val="0"/>
            <w:vAlign w:val="center"/>
          </w:tcPr>
          <w:p w14:paraId="4FDD3B14">
            <w:pPr>
              <w:keepNext w:val="0"/>
              <w:keepLines w:val="0"/>
              <w:pageBreakBefore w:val="0"/>
              <w:kinsoku/>
              <w:overflowPunct/>
              <w:topLinePunct w:val="0"/>
              <w:bidi w:val="0"/>
              <w:spacing w:line="400" w:lineRule="exact"/>
              <w:textAlignment w:val="auto"/>
              <w:rPr>
                <w:rFonts w:hint="eastAsia" w:ascii="宋体" w:hAnsi="宋体" w:eastAsia="宋体" w:cs="宋体"/>
                <w:sz w:val="21"/>
                <w:szCs w:val="21"/>
              </w:rPr>
            </w:pPr>
          </w:p>
        </w:tc>
        <w:tc>
          <w:tcPr>
            <w:tcW w:w="490" w:type="pct"/>
            <w:noWrap w:val="0"/>
            <w:vAlign w:val="center"/>
          </w:tcPr>
          <w:p w14:paraId="7A578776">
            <w:pPr>
              <w:keepNext w:val="0"/>
              <w:keepLines w:val="0"/>
              <w:pageBreakBefore w:val="0"/>
              <w:kinsoku/>
              <w:overflowPunct/>
              <w:topLinePunct w:val="0"/>
              <w:bidi w:val="0"/>
              <w:spacing w:line="400" w:lineRule="exact"/>
              <w:textAlignment w:val="auto"/>
              <w:rPr>
                <w:rFonts w:hint="eastAsia" w:ascii="宋体" w:hAnsi="宋体" w:eastAsia="宋体" w:cs="宋体"/>
                <w:sz w:val="21"/>
                <w:szCs w:val="21"/>
              </w:rPr>
            </w:pPr>
          </w:p>
        </w:tc>
        <w:tc>
          <w:tcPr>
            <w:tcW w:w="583" w:type="pct"/>
            <w:noWrap w:val="0"/>
            <w:vAlign w:val="center"/>
          </w:tcPr>
          <w:p w14:paraId="765D5102">
            <w:pPr>
              <w:keepNext w:val="0"/>
              <w:keepLines w:val="0"/>
              <w:pageBreakBefore w:val="0"/>
              <w:kinsoku/>
              <w:overflowPunct/>
              <w:topLinePunct w:val="0"/>
              <w:bidi w:val="0"/>
              <w:spacing w:line="400" w:lineRule="exact"/>
              <w:textAlignment w:val="auto"/>
              <w:rPr>
                <w:rFonts w:hint="eastAsia" w:ascii="宋体" w:hAnsi="宋体" w:eastAsia="宋体" w:cs="宋体"/>
                <w:sz w:val="21"/>
                <w:szCs w:val="21"/>
              </w:rPr>
            </w:pPr>
          </w:p>
        </w:tc>
        <w:tc>
          <w:tcPr>
            <w:tcW w:w="874" w:type="pct"/>
            <w:noWrap w:val="0"/>
            <w:vAlign w:val="center"/>
          </w:tcPr>
          <w:p w14:paraId="66F31A2A">
            <w:pPr>
              <w:keepNext w:val="0"/>
              <w:keepLines w:val="0"/>
              <w:pageBreakBefore w:val="0"/>
              <w:kinsoku/>
              <w:overflowPunct/>
              <w:topLinePunct w:val="0"/>
              <w:bidi w:val="0"/>
              <w:spacing w:line="400" w:lineRule="exact"/>
              <w:textAlignment w:val="auto"/>
              <w:rPr>
                <w:rFonts w:hint="eastAsia" w:ascii="宋体" w:hAnsi="宋体" w:eastAsia="宋体" w:cs="宋体"/>
                <w:sz w:val="21"/>
                <w:szCs w:val="21"/>
              </w:rPr>
            </w:pPr>
          </w:p>
        </w:tc>
      </w:tr>
      <w:tr w14:paraId="54B04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438" w:type="pct"/>
            <w:noWrap w:val="0"/>
            <w:vAlign w:val="center"/>
          </w:tcPr>
          <w:p w14:paraId="578AC141">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870" w:type="pct"/>
            <w:noWrap w:val="0"/>
            <w:vAlign w:val="center"/>
          </w:tcPr>
          <w:p w14:paraId="73EF4750">
            <w:pPr>
              <w:keepNext w:val="0"/>
              <w:keepLines w:val="0"/>
              <w:pageBreakBefore w:val="0"/>
              <w:kinsoku/>
              <w:overflowPunct/>
              <w:topLinePunct w:val="0"/>
              <w:bidi w:val="0"/>
              <w:spacing w:line="400" w:lineRule="exact"/>
              <w:textAlignment w:val="auto"/>
              <w:rPr>
                <w:rFonts w:hint="eastAsia" w:ascii="宋体" w:hAnsi="宋体" w:eastAsia="宋体" w:cs="宋体"/>
                <w:sz w:val="21"/>
                <w:szCs w:val="21"/>
              </w:rPr>
            </w:pPr>
          </w:p>
        </w:tc>
        <w:tc>
          <w:tcPr>
            <w:tcW w:w="1255" w:type="pct"/>
            <w:noWrap w:val="0"/>
            <w:vAlign w:val="center"/>
          </w:tcPr>
          <w:p w14:paraId="13E4F257">
            <w:pPr>
              <w:keepNext w:val="0"/>
              <w:keepLines w:val="0"/>
              <w:pageBreakBefore w:val="0"/>
              <w:kinsoku/>
              <w:overflowPunct/>
              <w:topLinePunct w:val="0"/>
              <w:bidi w:val="0"/>
              <w:spacing w:line="400" w:lineRule="exact"/>
              <w:textAlignment w:val="auto"/>
              <w:rPr>
                <w:rFonts w:hint="eastAsia" w:ascii="宋体" w:hAnsi="宋体" w:eastAsia="宋体" w:cs="宋体"/>
                <w:sz w:val="21"/>
                <w:szCs w:val="21"/>
              </w:rPr>
            </w:pPr>
          </w:p>
        </w:tc>
        <w:tc>
          <w:tcPr>
            <w:tcW w:w="486" w:type="pct"/>
            <w:noWrap w:val="0"/>
            <w:vAlign w:val="center"/>
          </w:tcPr>
          <w:p w14:paraId="1CA00C36">
            <w:pPr>
              <w:keepNext w:val="0"/>
              <w:keepLines w:val="0"/>
              <w:pageBreakBefore w:val="0"/>
              <w:kinsoku/>
              <w:overflowPunct/>
              <w:topLinePunct w:val="0"/>
              <w:bidi w:val="0"/>
              <w:spacing w:line="400" w:lineRule="exact"/>
              <w:textAlignment w:val="auto"/>
              <w:rPr>
                <w:rFonts w:hint="eastAsia" w:ascii="宋体" w:hAnsi="宋体" w:eastAsia="宋体" w:cs="宋体"/>
                <w:sz w:val="21"/>
                <w:szCs w:val="21"/>
              </w:rPr>
            </w:pPr>
          </w:p>
        </w:tc>
        <w:tc>
          <w:tcPr>
            <w:tcW w:w="490" w:type="pct"/>
            <w:noWrap w:val="0"/>
            <w:vAlign w:val="center"/>
          </w:tcPr>
          <w:p w14:paraId="1FDDEB22">
            <w:pPr>
              <w:keepNext w:val="0"/>
              <w:keepLines w:val="0"/>
              <w:pageBreakBefore w:val="0"/>
              <w:kinsoku/>
              <w:overflowPunct/>
              <w:topLinePunct w:val="0"/>
              <w:bidi w:val="0"/>
              <w:spacing w:line="400" w:lineRule="exact"/>
              <w:textAlignment w:val="auto"/>
              <w:rPr>
                <w:rFonts w:hint="eastAsia" w:ascii="宋体" w:hAnsi="宋体" w:eastAsia="宋体" w:cs="宋体"/>
                <w:sz w:val="21"/>
                <w:szCs w:val="21"/>
              </w:rPr>
            </w:pPr>
          </w:p>
        </w:tc>
        <w:tc>
          <w:tcPr>
            <w:tcW w:w="583" w:type="pct"/>
            <w:noWrap w:val="0"/>
            <w:vAlign w:val="center"/>
          </w:tcPr>
          <w:p w14:paraId="4F255BC8">
            <w:pPr>
              <w:keepNext w:val="0"/>
              <w:keepLines w:val="0"/>
              <w:pageBreakBefore w:val="0"/>
              <w:kinsoku/>
              <w:overflowPunct/>
              <w:topLinePunct w:val="0"/>
              <w:bidi w:val="0"/>
              <w:spacing w:line="400" w:lineRule="exact"/>
              <w:textAlignment w:val="auto"/>
              <w:rPr>
                <w:rFonts w:hint="eastAsia" w:ascii="宋体" w:hAnsi="宋体" w:eastAsia="宋体" w:cs="宋体"/>
                <w:sz w:val="21"/>
                <w:szCs w:val="21"/>
              </w:rPr>
            </w:pPr>
          </w:p>
        </w:tc>
        <w:tc>
          <w:tcPr>
            <w:tcW w:w="874" w:type="pct"/>
            <w:noWrap w:val="0"/>
            <w:vAlign w:val="center"/>
          </w:tcPr>
          <w:p w14:paraId="52A6A23D">
            <w:pPr>
              <w:keepNext w:val="0"/>
              <w:keepLines w:val="0"/>
              <w:pageBreakBefore w:val="0"/>
              <w:kinsoku/>
              <w:overflowPunct/>
              <w:topLinePunct w:val="0"/>
              <w:bidi w:val="0"/>
              <w:spacing w:line="400" w:lineRule="exact"/>
              <w:textAlignment w:val="auto"/>
              <w:rPr>
                <w:rFonts w:hint="eastAsia" w:ascii="宋体" w:hAnsi="宋体" w:eastAsia="宋体" w:cs="宋体"/>
                <w:sz w:val="21"/>
                <w:szCs w:val="21"/>
              </w:rPr>
            </w:pPr>
          </w:p>
        </w:tc>
      </w:tr>
    </w:tbl>
    <w:p w14:paraId="671199B6">
      <w:pPr>
        <w:keepNext w:val="0"/>
        <w:keepLines w:val="0"/>
        <w:pageBreakBefore w:val="0"/>
        <w:tabs>
          <w:tab w:val="left" w:pos="180"/>
          <w:tab w:val="left" w:pos="1620"/>
        </w:tabs>
        <w:kinsoku/>
        <w:wordWrap/>
        <w:overflowPunct/>
        <w:topLinePunct w:val="0"/>
        <w:autoSpaceDE/>
        <w:autoSpaceDN/>
        <w:bidi w:val="0"/>
        <w:snapToGrid/>
        <w:spacing w:line="400" w:lineRule="exact"/>
        <w:jc w:val="left"/>
        <w:textAlignment w:val="auto"/>
        <w:rPr>
          <w:rFonts w:hint="eastAsia" w:ascii="宋体" w:hAnsi="宋体" w:eastAsia="宋体" w:cs="宋体"/>
          <w:b/>
          <w:bCs/>
          <w:sz w:val="21"/>
          <w:szCs w:val="21"/>
          <w:highlight w:val="none"/>
          <w:lang w:eastAsia="zh-CN"/>
        </w:rPr>
      </w:pPr>
    </w:p>
    <w:p w14:paraId="6E74B7DD">
      <w:pPr>
        <w:keepNext w:val="0"/>
        <w:keepLines w:val="0"/>
        <w:pageBreakBefore w:val="0"/>
        <w:tabs>
          <w:tab w:val="left" w:pos="180"/>
          <w:tab w:val="left" w:pos="1620"/>
        </w:tabs>
        <w:kinsoku/>
        <w:wordWrap/>
        <w:overflowPunct/>
        <w:topLinePunct w:val="0"/>
        <w:autoSpaceDE/>
        <w:autoSpaceDN/>
        <w:bidi w:val="0"/>
        <w:snapToGrid/>
        <w:spacing w:line="400" w:lineRule="exact"/>
        <w:ind w:firstLine="420" w:firstLineChars="200"/>
        <w:jc w:val="left"/>
        <w:textAlignment w:val="auto"/>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lang w:eastAsia="zh-CN"/>
        </w:rPr>
        <w:t>注</w:t>
      </w:r>
      <w:r>
        <w:rPr>
          <w:rFonts w:hint="eastAsia" w:ascii="宋体" w:hAnsi="宋体" w:eastAsia="宋体" w:cs="宋体"/>
          <w:b w:val="0"/>
          <w:bCs w:val="0"/>
          <w:sz w:val="21"/>
          <w:szCs w:val="21"/>
          <w:highlight w:val="none"/>
        </w:rPr>
        <w:t>：</w:t>
      </w:r>
    </w:p>
    <w:p w14:paraId="69307612">
      <w:pPr>
        <w:keepNext w:val="0"/>
        <w:keepLines w:val="0"/>
        <w:pageBreakBefore w:val="0"/>
        <w:tabs>
          <w:tab w:val="left" w:pos="180"/>
          <w:tab w:val="left" w:pos="1620"/>
        </w:tabs>
        <w:kinsoku/>
        <w:wordWrap/>
        <w:overflowPunct/>
        <w:topLinePunct w:val="0"/>
        <w:autoSpaceDE/>
        <w:autoSpaceDN/>
        <w:bidi w:val="0"/>
        <w:snapToGrid/>
        <w:spacing w:line="400" w:lineRule="exact"/>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1.本项目报价以人民币计价，单位为元，精确至小数点后两位。</w:t>
      </w:r>
    </w:p>
    <w:p w14:paraId="6FB1A0D7">
      <w:pPr>
        <w:keepNext w:val="0"/>
        <w:keepLines w:val="0"/>
        <w:pageBreakBefore w:val="0"/>
        <w:tabs>
          <w:tab w:val="left" w:pos="180"/>
          <w:tab w:val="left" w:pos="1620"/>
        </w:tabs>
        <w:kinsoku/>
        <w:wordWrap/>
        <w:overflowPunct/>
        <w:topLinePunct w:val="0"/>
        <w:autoSpaceDE/>
        <w:autoSpaceDN/>
        <w:bidi w:val="0"/>
        <w:snapToGrid/>
        <w:spacing w:line="400" w:lineRule="exact"/>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2.供应商可自行增加表格栏目。</w:t>
      </w:r>
    </w:p>
    <w:p w14:paraId="61E02F36">
      <w:pPr>
        <w:keepNext w:val="0"/>
        <w:keepLines w:val="0"/>
        <w:pageBreakBefore w:val="0"/>
        <w:tabs>
          <w:tab w:val="left" w:pos="180"/>
          <w:tab w:val="left" w:pos="1620"/>
        </w:tabs>
        <w:kinsoku/>
        <w:wordWrap/>
        <w:overflowPunct/>
        <w:topLinePunct w:val="0"/>
        <w:autoSpaceDE/>
        <w:autoSpaceDN/>
        <w:bidi w:val="0"/>
        <w:snapToGrid/>
        <w:spacing w:line="400" w:lineRule="exact"/>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3.报价包含税费、配送费等所有费用。</w:t>
      </w:r>
    </w:p>
    <w:p w14:paraId="7DA3DF35">
      <w:pPr>
        <w:keepNext w:val="0"/>
        <w:keepLines w:val="0"/>
        <w:pageBreakBefore w:val="0"/>
        <w:tabs>
          <w:tab w:val="left" w:pos="180"/>
          <w:tab w:val="left" w:pos="1620"/>
        </w:tabs>
        <w:kinsoku/>
        <w:wordWrap/>
        <w:overflowPunct/>
        <w:topLinePunct w:val="0"/>
        <w:autoSpaceDE/>
        <w:autoSpaceDN/>
        <w:bidi w:val="0"/>
        <w:snapToGrid/>
        <w:spacing w:line="400" w:lineRule="exact"/>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4.供应商须对本项目全部服务内容作出完整唯一报价，投标报价超出预算金额、存在漏项报价、选择性报价及有条件报价的，均作响应无效处理。</w:t>
      </w:r>
    </w:p>
    <w:p w14:paraId="7D6AA114">
      <w:pPr>
        <w:keepNext w:val="0"/>
        <w:keepLines w:val="0"/>
        <w:pageBreakBefore w:val="0"/>
        <w:kinsoku/>
        <w:overflowPunct/>
        <w:topLinePunct w:val="0"/>
        <w:bidi w:val="0"/>
        <w:spacing w:line="400" w:lineRule="exact"/>
        <w:ind w:firstLine="3780" w:firstLineChars="1800"/>
        <w:textAlignment w:val="auto"/>
        <w:rPr>
          <w:rFonts w:hint="eastAsia" w:ascii="宋体" w:hAnsi="宋体" w:eastAsia="宋体" w:cs="宋体"/>
          <w:sz w:val="21"/>
          <w:szCs w:val="21"/>
          <w:highlight w:val="none"/>
        </w:rPr>
      </w:pPr>
    </w:p>
    <w:p w14:paraId="3851886C">
      <w:pPr>
        <w:keepNext w:val="0"/>
        <w:keepLines w:val="0"/>
        <w:pageBreakBefore w:val="0"/>
        <w:kinsoku/>
        <w:overflowPunct/>
        <w:topLinePunct w:val="0"/>
        <w:bidi w:val="0"/>
        <w:spacing w:line="400" w:lineRule="exact"/>
        <w:ind w:firstLine="3780" w:firstLineChars="1800"/>
        <w:textAlignment w:val="auto"/>
        <w:rPr>
          <w:rFonts w:hint="eastAsia" w:ascii="宋体" w:hAnsi="宋体" w:eastAsia="宋体" w:cs="宋体"/>
          <w:sz w:val="21"/>
          <w:szCs w:val="21"/>
          <w:highlight w:val="none"/>
          <w:u w:val="single"/>
          <w:lang w:val="en-US" w:eastAsia="zh-CN"/>
        </w:rPr>
      </w:pPr>
      <w:r>
        <w:rPr>
          <w:rFonts w:hint="eastAsia" w:ascii="宋体" w:hAnsi="宋体" w:eastAsia="宋体" w:cs="宋体"/>
          <w:sz w:val="21"/>
          <w:szCs w:val="21"/>
          <w:highlight w:val="none"/>
        </w:rPr>
        <w:t>法定代表人或委托代理人（签字）</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p>
    <w:p w14:paraId="2A29A7DA">
      <w:pPr>
        <w:keepNext w:val="0"/>
        <w:keepLines w:val="0"/>
        <w:pageBreakBefore w:val="0"/>
        <w:kinsoku/>
        <w:overflowPunct/>
        <w:topLinePunct w:val="0"/>
        <w:bidi w:val="0"/>
        <w:spacing w:line="400" w:lineRule="exact"/>
        <w:ind w:firstLine="6090" w:firstLineChars="29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联系电话</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p>
    <w:p w14:paraId="535A2D6A">
      <w:pPr>
        <w:keepNext w:val="0"/>
        <w:keepLines w:val="0"/>
        <w:pageBreakBefore w:val="0"/>
        <w:kinsoku/>
        <w:overflowPunct/>
        <w:topLinePunct w:val="0"/>
        <w:bidi w:val="0"/>
        <w:spacing w:line="400" w:lineRule="exact"/>
        <w:ind w:firstLine="4830" w:firstLineChars="2300"/>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供应商名称（盖公章）：</w:t>
      </w:r>
      <w:r>
        <w:rPr>
          <w:rFonts w:hint="eastAsia" w:ascii="宋体" w:hAnsi="宋体" w:eastAsia="宋体" w:cs="宋体"/>
          <w:sz w:val="21"/>
          <w:szCs w:val="21"/>
          <w:highlight w:val="none"/>
          <w:u w:val="single"/>
        </w:rPr>
        <w:t xml:space="preserve">            </w:t>
      </w:r>
    </w:p>
    <w:p w14:paraId="3849939D">
      <w:pPr>
        <w:keepNext w:val="0"/>
        <w:keepLines w:val="0"/>
        <w:pageBreakBefore w:val="0"/>
        <w:kinsoku/>
        <w:overflowPunct/>
        <w:topLinePunct w:val="0"/>
        <w:bidi w:val="0"/>
        <w:adjustRightInd w:val="0"/>
        <w:snapToGrid w:val="0"/>
        <w:spacing w:line="400" w:lineRule="exact"/>
        <w:ind w:right="12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日期：</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日</w:t>
      </w:r>
      <w:bookmarkStart w:id="6" w:name="_Toc6622"/>
    </w:p>
    <w:p w14:paraId="7DAE9A81">
      <w:pPr>
        <w:keepNext w:val="0"/>
        <w:keepLines w:val="0"/>
        <w:pageBreakBefore w:val="0"/>
        <w:kinsoku/>
        <w:overflowPunct/>
        <w:topLinePunct w:val="0"/>
        <w:bidi w:val="0"/>
        <w:spacing w:line="400" w:lineRule="exact"/>
        <w:textAlignment w:val="auto"/>
        <w:rPr>
          <w:rFonts w:hint="eastAsia" w:ascii="宋体" w:hAnsi="宋体" w:cs="宋体"/>
          <w:szCs w:val="21"/>
          <w:highlight w:val="none"/>
        </w:rPr>
      </w:pPr>
    </w:p>
    <w:p w14:paraId="08FCFBC0">
      <w:pPr>
        <w:rPr>
          <w:rFonts w:hint="eastAsia" w:ascii="宋体" w:hAnsi="宋体"/>
          <w:b/>
          <w:color w:val="000000"/>
          <w:sz w:val="24"/>
          <w:highlight w:val="none"/>
          <w:lang w:val="en-US" w:eastAsia="zh-CN"/>
        </w:rPr>
      </w:pPr>
      <w:r>
        <w:rPr>
          <w:rFonts w:hint="eastAsia" w:ascii="宋体" w:hAnsi="宋体"/>
          <w:b/>
          <w:color w:val="000000"/>
          <w:sz w:val="24"/>
          <w:highlight w:val="none"/>
          <w:lang w:val="en-US" w:eastAsia="zh-CN"/>
        </w:rPr>
        <w:br w:type="page"/>
      </w:r>
    </w:p>
    <w:p w14:paraId="7511E425">
      <w:pPr>
        <w:pStyle w:val="3"/>
        <w:keepNext/>
        <w:keepLines/>
        <w:pageBreakBefore/>
        <w:widowControl w:val="0"/>
        <w:numPr>
          <w:ilvl w:val="0"/>
          <w:numId w:val="0"/>
        </w:numPr>
        <w:kinsoku/>
        <w:wordWrap/>
        <w:overflowPunct/>
        <w:topLinePunct w:val="0"/>
        <w:autoSpaceDE/>
        <w:autoSpaceDN/>
        <w:bidi w:val="0"/>
        <w:adjustRightInd/>
        <w:snapToGrid/>
        <w:spacing w:line="400" w:lineRule="exact"/>
        <w:ind w:leftChars="0"/>
        <w:jc w:val="center"/>
        <w:textAlignment w:val="auto"/>
        <w:outlineLvl w:val="0"/>
        <w:rPr>
          <w:rFonts w:hint="eastAsia" w:ascii="Times New Roman" w:hAnsi="Times New Roman" w:cs="Times New Roman"/>
          <w:sz w:val="36"/>
          <w:szCs w:val="36"/>
          <w:highlight w:val="none"/>
          <w:lang w:val="en-US" w:eastAsia="zh-CN"/>
        </w:rPr>
      </w:pPr>
      <w:bookmarkStart w:id="7" w:name="_Toc22671"/>
      <w:r>
        <w:rPr>
          <w:rFonts w:hint="eastAsia" w:ascii="Times New Roman" w:hAnsi="Times New Roman" w:cs="Times New Roman"/>
          <w:sz w:val="36"/>
          <w:szCs w:val="36"/>
          <w:highlight w:val="none"/>
          <w:lang w:val="en-US" w:eastAsia="zh-CN"/>
        </w:rPr>
        <w:t>第</w:t>
      </w:r>
      <w:r>
        <w:rPr>
          <w:rFonts w:hint="eastAsia" w:cs="Times New Roman"/>
          <w:sz w:val="36"/>
          <w:szCs w:val="36"/>
          <w:highlight w:val="none"/>
          <w:lang w:val="en-US" w:eastAsia="zh-CN"/>
        </w:rPr>
        <w:t>四</w:t>
      </w:r>
      <w:r>
        <w:rPr>
          <w:rFonts w:hint="eastAsia" w:ascii="Times New Roman" w:hAnsi="Times New Roman" w:cs="Times New Roman"/>
          <w:sz w:val="36"/>
          <w:szCs w:val="36"/>
          <w:highlight w:val="none"/>
          <w:lang w:val="en-US" w:eastAsia="zh-CN"/>
        </w:rPr>
        <w:t>章 合同主要条款</w:t>
      </w:r>
      <w:bookmarkEnd w:id="6"/>
      <w:bookmarkEnd w:id="7"/>
    </w:p>
    <w:p w14:paraId="4E5894A5">
      <w:pPr>
        <w:pStyle w:val="4"/>
        <w:keepNext/>
        <w:keepLines/>
        <w:pageBreakBefore w:val="0"/>
        <w:widowControl w:val="0"/>
        <w:kinsoku/>
        <w:wordWrap/>
        <w:overflowPunct/>
        <w:topLinePunct w:val="0"/>
        <w:autoSpaceDE/>
        <w:autoSpaceDN/>
        <w:bidi w:val="0"/>
        <w:adjustRightInd/>
        <w:snapToGrid/>
        <w:spacing w:before="0" w:after="0" w:line="240" w:lineRule="atLeast"/>
        <w:jc w:val="center"/>
        <w:textAlignment w:val="auto"/>
        <w:outlineLvl w:val="1"/>
        <w:rPr>
          <w:rFonts w:hint="eastAsia"/>
        </w:rPr>
      </w:pPr>
      <w:r>
        <w:rPr>
          <w:rFonts w:hint="eastAsia"/>
        </w:rPr>
        <w:t>合</w:t>
      </w:r>
      <w:r>
        <w:rPr>
          <w:rFonts w:hint="eastAsia"/>
          <w:lang w:val="en-US" w:eastAsia="zh-CN"/>
        </w:rPr>
        <w:t xml:space="preserve"> </w:t>
      </w:r>
      <w:r>
        <w:rPr>
          <w:rFonts w:hint="eastAsia"/>
        </w:rPr>
        <w:t>同</w:t>
      </w:r>
      <w:r>
        <w:rPr>
          <w:rFonts w:hint="eastAsia"/>
          <w:lang w:val="en-US" w:eastAsia="zh-CN"/>
        </w:rPr>
        <w:t xml:space="preserve"> 书（模板）</w:t>
      </w:r>
    </w:p>
    <w:p w14:paraId="1DDFAC8D">
      <w:pPr>
        <w:keepNext w:val="0"/>
        <w:keepLines w:val="0"/>
        <w:pageBreakBefore w:val="0"/>
        <w:kinsoku/>
        <w:wordWrap/>
        <w:overflowPunct/>
        <w:topLinePunct w:val="0"/>
        <w:autoSpaceDE/>
        <w:autoSpaceDN/>
        <w:bidi w:val="0"/>
        <w:adjustRightInd/>
        <w:snapToGrid w:val="0"/>
        <w:spacing w:line="380" w:lineRule="exact"/>
        <w:ind w:right="480"/>
        <w:jc w:val="left"/>
        <w:rPr>
          <w:rFonts w:hint="eastAsia" w:ascii="宋体" w:hAnsi="宋体" w:eastAsia="宋体" w:cs="宋体"/>
          <w:bCs/>
          <w:color w:val="auto"/>
          <w:sz w:val="24"/>
          <w:szCs w:val="24"/>
          <w:highlight w:val="none"/>
          <w:u w:val="none"/>
        </w:rPr>
      </w:pPr>
      <w:r>
        <w:rPr>
          <w:rFonts w:hint="eastAsia" w:ascii="宋体" w:hAnsi="宋体" w:eastAsia="宋体" w:cs="宋体"/>
          <w:bCs/>
          <w:color w:val="auto"/>
          <w:sz w:val="24"/>
          <w:szCs w:val="24"/>
          <w:highlight w:val="none"/>
          <w:u w:val="none"/>
        </w:rPr>
        <w:t>合同</w:t>
      </w:r>
      <w:r>
        <w:rPr>
          <w:rFonts w:hint="eastAsia" w:ascii="宋体" w:hAnsi="宋体" w:eastAsia="宋体" w:cs="宋体"/>
          <w:bCs/>
          <w:color w:val="auto"/>
          <w:sz w:val="24"/>
          <w:szCs w:val="24"/>
          <w:highlight w:val="none"/>
          <w:u w:val="none"/>
          <w:lang w:eastAsia="zh-CN"/>
        </w:rPr>
        <w:t>名称</w:t>
      </w:r>
      <w:r>
        <w:rPr>
          <w:rFonts w:hint="eastAsia" w:ascii="宋体" w:hAnsi="宋体" w:eastAsia="宋体" w:cs="宋体"/>
          <w:bCs/>
          <w:color w:val="auto"/>
          <w:sz w:val="24"/>
          <w:szCs w:val="24"/>
          <w:highlight w:val="none"/>
          <w:u w:val="none"/>
        </w:rPr>
        <w:t>：</w:t>
      </w:r>
    </w:p>
    <w:p w14:paraId="3728D2A4">
      <w:pPr>
        <w:keepNext w:val="0"/>
        <w:keepLines w:val="0"/>
        <w:pageBreakBefore w:val="0"/>
        <w:kinsoku/>
        <w:wordWrap/>
        <w:overflowPunct/>
        <w:topLinePunct w:val="0"/>
        <w:autoSpaceDE/>
        <w:autoSpaceDN/>
        <w:bidi w:val="0"/>
        <w:adjustRightInd/>
        <w:snapToGrid w:val="0"/>
        <w:spacing w:line="380" w:lineRule="exact"/>
        <w:ind w:right="480"/>
        <w:jc w:val="left"/>
        <w:rPr>
          <w:rFonts w:hint="eastAsia" w:ascii="宋体" w:hAnsi="宋体" w:eastAsia="宋体" w:cs="宋体"/>
          <w:bCs/>
          <w:color w:val="auto"/>
          <w:sz w:val="24"/>
          <w:szCs w:val="24"/>
          <w:highlight w:val="none"/>
          <w:u w:val="none"/>
          <w:lang w:val="en-US" w:eastAsia="zh-CN"/>
        </w:rPr>
      </w:pPr>
      <w:r>
        <w:rPr>
          <w:rFonts w:hint="eastAsia" w:ascii="宋体" w:hAnsi="宋体" w:eastAsia="宋体" w:cs="宋体"/>
          <w:bCs/>
          <w:color w:val="auto"/>
          <w:sz w:val="24"/>
          <w:szCs w:val="24"/>
          <w:highlight w:val="none"/>
          <w:u w:val="none"/>
          <w:lang w:val="en-US" w:eastAsia="zh-CN"/>
        </w:rPr>
        <w:t>合同编号：</w:t>
      </w:r>
    </w:p>
    <w:p w14:paraId="6A2E9DB6">
      <w:pPr>
        <w:keepNext w:val="0"/>
        <w:keepLines w:val="0"/>
        <w:pageBreakBefore w:val="0"/>
        <w:kinsoku/>
        <w:wordWrap/>
        <w:overflowPunct/>
        <w:topLinePunct w:val="0"/>
        <w:autoSpaceDE/>
        <w:autoSpaceDN/>
        <w:bidi w:val="0"/>
        <w:adjustRightInd/>
        <w:snapToGrid w:val="0"/>
        <w:spacing w:line="380" w:lineRule="exact"/>
        <w:ind w:right="480"/>
        <w:jc w:val="left"/>
        <w:rPr>
          <w:rFonts w:hint="default" w:ascii="宋体" w:hAnsi="宋体" w:eastAsia="宋体" w:cs="宋体"/>
          <w:bCs/>
          <w:color w:val="auto"/>
          <w:sz w:val="24"/>
          <w:szCs w:val="24"/>
          <w:highlight w:val="none"/>
          <w:u w:val="single"/>
          <w:lang w:val="en-US" w:eastAsia="zh-CN"/>
        </w:rPr>
      </w:pPr>
      <w:r>
        <w:rPr>
          <w:rFonts w:hint="eastAsia" w:ascii="宋体" w:hAnsi="宋体" w:eastAsia="宋体" w:cs="宋体"/>
          <w:color w:val="auto"/>
          <w:sz w:val="24"/>
          <w:szCs w:val="24"/>
          <w:highlight w:val="none"/>
          <w:u w:val="none"/>
          <w:lang w:eastAsia="zh-CN"/>
        </w:rPr>
        <w:t>项目编号：</w:t>
      </w:r>
    </w:p>
    <w:p w14:paraId="2B6B294B">
      <w:pPr>
        <w:keepNext w:val="0"/>
        <w:keepLines w:val="0"/>
        <w:pageBreakBefore w:val="0"/>
        <w:kinsoku/>
        <w:wordWrap/>
        <w:overflowPunct/>
        <w:topLinePunct w:val="0"/>
        <w:autoSpaceDE/>
        <w:autoSpaceDN/>
        <w:bidi w:val="0"/>
        <w:adjustRightInd/>
        <w:snapToGrid w:val="0"/>
        <w:spacing w:line="380" w:lineRule="exact"/>
        <w:jc w:val="left"/>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none"/>
        </w:rPr>
        <w:t>采购单位（甲方）</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z w:val="24"/>
          <w:szCs w:val="24"/>
          <w:highlight w:val="none"/>
          <w:u w:val="single"/>
        </w:rPr>
        <w:t xml:space="preserve">                        </w:t>
      </w:r>
    </w:p>
    <w:p w14:paraId="2D18AAB5">
      <w:pPr>
        <w:keepNext w:val="0"/>
        <w:keepLines w:val="0"/>
        <w:pageBreakBefore w:val="0"/>
        <w:kinsoku/>
        <w:wordWrap/>
        <w:overflowPunct/>
        <w:topLinePunct w:val="0"/>
        <w:autoSpaceDE/>
        <w:autoSpaceDN/>
        <w:bidi w:val="0"/>
        <w:adjustRightInd/>
        <w:snapToGrid w:val="0"/>
        <w:spacing w:line="380" w:lineRule="exact"/>
        <w:jc w:val="left"/>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none"/>
        </w:rPr>
        <w:t>供 应 商（乙方）</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z w:val="24"/>
          <w:szCs w:val="24"/>
          <w:highlight w:val="none"/>
          <w:u w:val="single"/>
        </w:rPr>
        <w:t xml:space="preserve">                        </w:t>
      </w:r>
    </w:p>
    <w:p w14:paraId="7B02F862">
      <w:pPr>
        <w:pStyle w:val="17"/>
        <w:keepNext w:val="0"/>
        <w:keepLines w:val="0"/>
        <w:pageBreakBefore w:val="0"/>
        <w:tabs>
          <w:tab w:val="left" w:leader="middleDot" w:pos="9240"/>
        </w:tabs>
        <w:kinsoku/>
        <w:wordWrap/>
        <w:overflowPunct/>
        <w:topLinePunct w:val="0"/>
        <w:autoSpaceDE/>
        <w:autoSpaceDN/>
        <w:bidi w:val="0"/>
        <w:adjustRightInd/>
        <w:spacing w:line="380" w:lineRule="exact"/>
        <w:ind w:firstLine="480" w:firstLineChars="200"/>
        <w:rPr>
          <w:rFonts w:hint="eastAsia" w:ascii="宋体" w:hAnsi="宋体" w:eastAsia="宋体" w:cs="宋体"/>
          <w:color w:val="auto"/>
          <w:sz w:val="24"/>
          <w:szCs w:val="24"/>
          <w:highlight w:val="none"/>
        </w:rPr>
      </w:pPr>
    </w:p>
    <w:p w14:paraId="73C783E3">
      <w:pPr>
        <w:pStyle w:val="17"/>
        <w:keepNext w:val="0"/>
        <w:keepLines w:val="0"/>
        <w:pageBreakBefore w:val="0"/>
        <w:tabs>
          <w:tab w:val="left" w:leader="middleDot" w:pos="9240"/>
        </w:tabs>
        <w:kinsoku/>
        <w:wordWrap/>
        <w:overflowPunct/>
        <w:topLinePunct w:val="0"/>
        <w:autoSpaceDE/>
        <w:autoSpaceDN/>
        <w:bidi w:val="0"/>
        <w:adjustRightInd/>
        <w:spacing w:line="3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根据《中华人民共和国政府采购法》、《中华人民共和国民法典》等法律、法规规定，按照</w:t>
      </w:r>
      <w:r>
        <w:rPr>
          <w:rFonts w:hint="eastAsia" w:ascii="宋体" w:hAnsi="宋体" w:eastAsia="宋体" w:cs="宋体"/>
          <w:color w:val="auto"/>
          <w:sz w:val="24"/>
          <w:szCs w:val="24"/>
          <w:highlight w:val="none"/>
          <w:lang w:eastAsia="zh-CN"/>
        </w:rPr>
        <w:t>采购</w:t>
      </w:r>
      <w:r>
        <w:rPr>
          <w:rFonts w:hint="eastAsia" w:ascii="宋体" w:hAnsi="宋体" w:eastAsia="宋体" w:cs="宋体"/>
          <w:color w:val="auto"/>
          <w:sz w:val="24"/>
          <w:szCs w:val="24"/>
          <w:highlight w:val="none"/>
        </w:rPr>
        <w:t>文件规定条款和成交供应商响应文件（以下简称“响应文件”）及其承诺，甲乙双方签订本合同。</w:t>
      </w:r>
    </w:p>
    <w:p w14:paraId="5F507851">
      <w:pPr>
        <w:pStyle w:val="17"/>
        <w:keepNext w:val="0"/>
        <w:keepLines w:val="0"/>
        <w:pageBreakBefore w:val="0"/>
        <w:tabs>
          <w:tab w:val="left" w:leader="middleDot" w:pos="9240"/>
        </w:tabs>
        <w:kinsoku/>
        <w:wordWrap/>
        <w:overflowPunct/>
        <w:topLinePunct w:val="0"/>
        <w:autoSpaceDE/>
        <w:autoSpaceDN/>
        <w:bidi w:val="0"/>
        <w:adjustRightInd/>
        <w:spacing w:line="380" w:lineRule="exact"/>
        <w:ind w:firstLine="482" w:firstLineChars="200"/>
        <w:rPr>
          <w:rFonts w:hint="eastAsia" w:ascii="宋体" w:hAnsi="宋体" w:eastAsia="宋体" w:cs="宋体"/>
          <w:b/>
          <w:bCs/>
          <w:color w:val="000000"/>
          <w:sz w:val="24"/>
          <w:szCs w:val="24"/>
        </w:rPr>
      </w:pPr>
      <w:r>
        <w:rPr>
          <w:rFonts w:hint="eastAsia" w:ascii="宋体" w:hAnsi="宋体" w:eastAsia="宋体" w:cs="宋体"/>
          <w:b/>
          <w:bCs/>
          <w:color w:val="000000"/>
          <w:sz w:val="24"/>
          <w:szCs w:val="24"/>
        </w:rPr>
        <w:t>1、合同文件</w:t>
      </w:r>
    </w:p>
    <w:p w14:paraId="1D2E59CB">
      <w:pPr>
        <w:pStyle w:val="17"/>
        <w:keepNext w:val="0"/>
        <w:keepLines w:val="0"/>
        <w:pageBreakBefore w:val="0"/>
        <w:tabs>
          <w:tab w:val="left" w:leader="middleDot" w:pos="9240"/>
        </w:tabs>
        <w:kinsoku/>
        <w:wordWrap/>
        <w:overflowPunct/>
        <w:topLinePunct w:val="0"/>
        <w:autoSpaceDE/>
        <w:autoSpaceDN/>
        <w:bidi w:val="0"/>
        <w:adjustRightInd/>
        <w:spacing w:line="38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本合同所附下列文件是构成本合同不可分割的部分：</w:t>
      </w:r>
    </w:p>
    <w:p w14:paraId="67FC5DF4">
      <w:pPr>
        <w:pStyle w:val="17"/>
        <w:keepNext w:val="0"/>
        <w:keepLines w:val="0"/>
        <w:pageBreakBefore w:val="0"/>
        <w:tabs>
          <w:tab w:val="left" w:leader="middleDot" w:pos="9240"/>
        </w:tabs>
        <w:kinsoku/>
        <w:wordWrap/>
        <w:overflowPunct/>
        <w:topLinePunct w:val="0"/>
        <w:autoSpaceDE/>
        <w:autoSpaceDN/>
        <w:bidi w:val="0"/>
        <w:adjustRightInd/>
        <w:spacing w:line="380" w:lineRule="exact"/>
        <w:ind w:firstLine="240" w:firstLineChars="100"/>
        <w:rPr>
          <w:rFonts w:hint="eastAsia" w:ascii="宋体" w:hAnsi="宋体" w:eastAsia="宋体" w:cs="宋体"/>
          <w:sz w:val="24"/>
          <w:szCs w:val="24"/>
        </w:rPr>
      </w:pPr>
      <w:r>
        <w:rPr>
          <w:rFonts w:hint="eastAsia" w:ascii="宋体" w:hAnsi="宋体" w:eastAsia="宋体" w:cs="宋体"/>
          <w:sz w:val="24"/>
          <w:szCs w:val="24"/>
        </w:rPr>
        <w:t>（1）合同基本条款</w:t>
      </w:r>
    </w:p>
    <w:p w14:paraId="3097884B">
      <w:pPr>
        <w:pStyle w:val="17"/>
        <w:keepNext w:val="0"/>
        <w:keepLines w:val="0"/>
        <w:pageBreakBefore w:val="0"/>
        <w:tabs>
          <w:tab w:val="left" w:leader="middleDot" w:pos="9240"/>
        </w:tabs>
        <w:kinsoku/>
        <w:wordWrap/>
        <w:overflowPunct/>
        <w:topLinePunct w:val="0"/>
        <w:autoSpaceDE/>
        <w:autoSpaceDN/>
        <w:bidi w:val="0"/>
        <w:adjustRightInd/>
        <w:spacing w:line="380" w:lineRule="exact"/>
        <w:rPr>
          <w:rFonts w:hint="eastAsia" w:ascii="宋体" w:hAnsi="宋体" w:eastAsia="宋体" w:cs="宋体"/>
          <w:b/>
          <w:bCs/>
          <w:color w:val="000000"/>
          <w:sz w:val="24"/>
          <w:szCs w:val="24"/>
        </w:rPr>
      </w:pPr>
      <w:r>
        <w:rPr>
          <w:rFonts w:hint="eastAsia" w:ascii="宋体" w:hAnsi="宋体" w:eastAsia="宋体" w:cs="宋体"/>
          <w:b/>
          <w:bCs/>
          <w:color w:val="000000"/>
          <w:sz w:val="24"/>
          <w:szCs w:val="24"/>
        </w:rPr>
        <w:t>2、合同范围和条件</w:t>
      </w:r>
    </w:p>
    <w:p w14:paraId="718CACB1">
      <w:pPr>
        <w:pStyle w:val="17"/>
        <w:keepNext w:val="0"/>
        <w:keepLines w:val="0"/>
        <w:pageBreakBefore w:val="0"/>
        <w:tabs>
          <w:tab w:val="left" w:leader="middleDot" w:pos="9240"/>
        </w:tabs>
        <w:kinsoku/>
        <w:wordWrap/>
        <w:overflowPunct/>
        <w:topLinePunct w:val="0"/>
        <w:autoSpaceDE/>
        <w:autoSpaceDN/>
        <w:bidi w:val="0"/>
        <w:adjustRightInd/>
        <w:spacing w:line="38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本合同的范围和条件应与上述合同文件的规定相一致。</w:t>
      </w:r>
    </w:p>
    <w:p w14:paraId="29DD2C77">
      <w:pPr>
        <w:pStyle w:val="17"/>
        <w:keepNext w:val="0"/>
        <w:keepLines w:val="0"/>
        <w:pageBreakBefore w:val="0"/>
        <w:tabs>
          <w:tab w:val="left" w:leader="middleDot" w:pos="9240"/>
        </w:tabs>
        <w:kinsoku/>
        <w:wordWrap/>
        <w:overflowPunct/>
        <w:topLinePunct w:val="0"/>
        <w:autoSpaceDE/>
        <w:autoSpaceDN/>
        <w:bidi w:val="0"/>
        <w:adjustRightInd/>
        <w:spacing w:line="380" w:lineRule="exact"/>
        <w:rPr>
          <w:rFonts w:hint="eastAsia" w:ascii="宋体" w:hAnsi="宋体" w:eastAsia="宋体" w:cs="宋体"/>
          <w:b/>
          <w:bCs/>
          <w:color w:val="000000"/>
          <w:sz w:val="24"/>
          <w:szCs w:val="24"/>
        </w:rPr>
      </w:pPr>
      <w:r>
        <w:rPr>
          <w:rFonts w:hint="eastAsia" w:ascii="宋体" w:hAnsi="宋体" w:eastAsia="宋体" w:cs="宋体"/>
          <w:b/>
          <w:bCs/>
          <w:color w:val="000000"/>
          <w:sz w:val="24"/>
          <w:szCs w:val="24"/>
        </w:rPr>
        <w:t>3、货物采购金额和服务内容</w:t>
      </w:r>
    </w:p>
    <w:p w14:paraId="3A1444AC">
      <w:pPr>
        <w:pStyle w:val="17"/>
        <w:keepNext w:val="0"/>
        <w:keepLines w:val="0"/>
        <w:pageBreakBefore w:val="0"/>
        <w:tabs>
          <w:tab w:val="left" w:leader="middleDot" w:pos="9240"/>
        </w:tabs>
        <w:kinsoku/>
        <w:wordWrap/>
        <w:overflowPunct/>
        <w:topLinePunct w:val="0"/>
        <w:autoSpaceDE/>
        <w:autoSpaceDN/>
        <w:bidi w:val="0"/>
        <w:adjustRightInd/>
        <w:spacing w:line="38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本合同所涉及的乙方应提供的货物报价明细如下：</w:t>
      </w:r>
    </w:p>
    <w:tbl>
      <w:tblPr>
        <w:tblStyle w:val="29"/>
        <w:tblpPr w:leftFromText="180" w:rightFromText="180" w:vertAnchor="text" w:horzAnchor="page" w:tblpXSpec="center" w:tblpY="184"/>
        <w:tblOverlap w:val="never"/>
        <w:tblW w:w="542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0"/>
        <w:gridCol w:w="739"/>
        <w:gridCol w:w="1007"/>
        <w:gridCol w:w="1045"/>
        <w:gridCol w:w="1014"/>
        <w:gridCol w:w="718"/>
        <w:gridCol w:w="608"/>
        <w:gridCol w:w="594"/>
        <w:gridCol w:w="687"/>
        <w:gridCol w:w="861"/>
        <w:gridCol w:w="1055"/>
        <w:gridCol w:w="1055"/>
      </w:tblGrid>
      <w:tr w14:paraId="4A22E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0" w:hRule="atLeast"/>
          <w:jc w:val="center"/>
        </w:trPr>
        <w:tc>
          <w:tcPr>
            <w:tcW w:w="194" w:type="pct"/>
            <w:tcBorders>
              <w:top w:val="single" w:color="auto" w:sz="4" w:space="0"/>
              <w:left w:val="single" w:color="auto" w:sz="4" w:space="0"/>
              <w:bottom w:val="single" w:color="auto" w:sz="4" w:space="0"/>
              <w:right w:val="single" w:color="auto" w:sz="4" w:space="0"/>
            </w:tcBorders>
            <w:noWrap w:val="0"/>
            <w:vAlign w:val="center"/>
          </w:tcPr>
          <w:p w14:paraId="3CD23BDC">
            <w:pPr>
              <w:keepNext w:val="0"/>
              <w:keepLines w:val="0"/>
              <w:pageBreakBefore w:val="0"/>
              <w:tabs>
                <w:tab w:val="left" w:leader="middleDot" w:pos="9240"/>
              </w:tabs>
              <w:kinsoku/>
              <w:wordWrap/>
              <w:overflowPunct/>
              <w:topLinePunct w:val="0"/>
              <w:autoSpaceDE/>
              <w:autoSpaceDN/>
              <w:bidi w:val="0"/>
              <w:adjustRightInd/>
              <w:spacing w:line="380" w:lineRule="exact"/>
              <w:jc w:val="center"/>
              <w:rPr>
                <w:rFonts w:hint="eastAsia" w:ascii="宋体" w:hAnsi="宋体" w:eastAsia="宋体" w:cs="宋体"/>
                <w:color w:val="000000"/>
                <w:sz w:val="21"/>
                <w:szCs w:val="21"/>
                <w:highlight w:val="none"/>
              </w:rPr>
            </w:pPr>
            <w:r>
              <w:rPr>
                <w:rFonts w:hint="eastAsia" w:ascii="宋体" w:hAnsi="宋体" w:eastAsia="宋体" w:cs="宋体"/>
                <w:sz w:val="21"/>
                <w:szCs w:val="21"/>
                <w:highlight w:val="none"/>
              </w:rPr>
              <w:t>序号</w:t>
            </w:r>
          </w:p>
        </w:tc>
        <w:tc>
          <w:tcPr>
            <w:tcW w:w="378" w:type="pct"/>
            <w:tcBorders>
              <w:top w:val="single" w:color="auto" w:sz="4" w:space="0"/>
              <w:left w:val="single" w:color="auto" w:sz="4" w:space="0"/>
              <w:bottom w:val="single" w:color="auto" w:sz="4" w:space="0"/>
              <w:right w:val="single" w:color="auto" w:sz="4" w:space="0"/>
            </w:tcBorders>
            <w:noWrap w:val="0"/>
            <w:vAlign w:val="center"/>
          </w:tcPr>
          <w:p w14:paraId="548FB3ED">
            <w:pPr>
              <w:keepNext w:val="0"/>
              <w:keepLines w:val="0"/>
              <w:pageBreakBefore w:val="0"/>
              <w:tabs>
                <w:tab w:val="left" w:leader="middleDot" w:pos="9240"/>
              </w:tabs>
              <w:kinsoku/>
              <w:wordWrap/>
              <w:overflowPunct/>
              <w:topLinePunct w:val="0"/>
              <w:autoSpaceDE/>
              <w:autoSpaceDN/>
              <w:bidi w:val="0"/>
              <w:adjustRightInd/>
              <w:spacing w:line="380" w:lineRule="exact"/>
              <w:jc w:val="center"/>
              <w:rPr>
                <w:rFonts w:hint="eastAsia" w:ascii="宋体" w:hAnsi="宋体" w:eastAsia="宋体" w:cs="宋体"/>
                <w:color w:val="000000"/>
                <w:sz w:val="21"/>
                <w:szCs w:val="21"/>
                <w:highlight w:val="none"/>
              </w:rPr>
            </w:pPr>
            <w:r>
              <w:rPr>
                <w:rFonts w:hint="eastAsia" w:ascii="宋体" w:hAnsi="宋体" w:eastAsia="宋体" w:cs="宋体"/>
                <w:sz w:val="21"/>
                <w:szCs w:val="21"/>
                <w:highlight w:val="none"/>
              </w:rPr>
              <w:t>医保编码</w:t>
            </w:r>
          </w:p>
        </w:tc>
        <w:tc>
          <w:tcPr>
            <w:tcW w:w="515" w:type="pct"/>
            <w:tcBorders>
              <w:top w:val="single" w:color="auto" w:sz="4" w:space="0"/>
              <w:left w:val="single" w:color="auto" w:sz="4" w:space="0"/>
              <w:bottom w:val="single" w:color="auto" w:sz="4" w:space="0"/>
              <w:right w:val="single" w:color="auto" w:sz="4" w:space="0"/>
            </w:tcBorders>
            <w:noWrap w:val="0"/>
            <w:vAlign w:val="center"/>
          </w:tcPr>
          <w:p w14:paraId="69EDB37E">
            <w:pPr>
              <w:keepNext w:val="0"/>
              <w:keepLines w:val="0"/>
              <w:pageBreakBefore w:val="0"/>
              <w:tabs>
                <w:tab w:val="left" w:leader="middleDot" w:pos="9240"/>
              </w:tabs>
              <w:kinsoku/>
              <w:wordWrap/>
              <w:overflowPunct/>
              <w:topLinePunct w:val="0"/>
              <w:autoSpaceDE/>
              <w:autoSpaceDN/>
              <w:bidi w:val="0"/>
              <w:adjustRightInd/>
              <w:spacing w:line="380" w:lineRule="exact"/>
              <w:jc w:val="cente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货物名称</w:t>
            </w:r>
          </w:p>
        </w:tc>
        <w:tc>
          <w:tcPr>
            <w:tcW w:w="535" w:type="pct"/>
            <w:tcBorders>
              <w:top w:val="single" w:color="auto" w:sz="4" w:space="0"/>
              <w:left w:val="single" w:color="auto" w:sz="4" w:space="0"/>
              <w:bottom w:val="single" w:color="auto" w:sz="4" w:space="0"/>
              <w:right w:val="single" w:color="auto" w:sz="4" w:space="0"/>
            </w:tcBorders>
            <w:noWrap w:val="0"/>
            <w:vAlign w:val="center"/>
          </w:tcPr>
          <w:p w14:paraId="1D62EF99">
            <w:pPr>
              <w:keepNext w:val="0"/>
              <w:keepLines w:val="0"/>
              <w:pageBreakBefore w:val="0"/>
              <w:tabs>
                <w:tab w:val="left" w:leader="middleDot" w:pos="9240"/>
              </w:tabs>
              <w:kinsoku/>
              <w:wordWrap/>
              <w:overflowPunct/>
              <w:topLinePunct w:val="0"/>
              <w:autoSpaceDE/>
              <w:autoSpaceDN/>
              <w:bidi w:val="0"/>
              <w:adjustRightInd/>
              <w:spacing w:line="380" w:lineRule="exact"/>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注册证</w:t>
            </w:r>
            <w:r>
              <w:rPr>
                <w:rFonts w:hint="eastAsia" w:ascii="宋体" w:hAnsi="宋体" w:cs="宋体"/>
                <w:sz w:val="21"/>
                <w:szCs w:val="21"/>
                <w:highlight w:val="none"/>
                <w:lang w:val="en-US" w:eastAsia="zh-CN"/>
              </w:rPr>
              <w:t>/外包装</w:t>
            </w:r>
            <w:r>
              <w:rPr>
                <w:rFonts w:hint="eastAsia" w:ascii="宋体" w:hAnsi="宋体" w:cs="宋体"/>
                <w:sz w:val="21"/>
                <w:szCs w:val="21"/>
                <w:highlight w:val="none"/>
                <w:lang w:eastAsia="zh-CN"/>
              </w:rPr>
              <w:t>名称</w:t>
            </w:r>
          </w:p>
        </w:tc>
        <w:tc>
          <w:tcPr>
            <w:tcW w:w="519" w:type="pct"/>
            <w:tcBorders>
              <w:top w:val="single" w:color="auto" w:sz="4" w:space="0"/>
              <w:left w:val="single" w:color="auto" w:sz="4" w:space="0"/>
              <w:bottom w:val="single" w:color="auto" w:sz="4" w:space="0"/>
              <w:right w:val="single" w:color="auto" w:sz="4" w:space="0"/>
            </w:tcBorders>
            <w:noWrap w:val="0"/>
            <w:vAlign w:val="center"/>
          </w:tcPr>
          <w:p w14:paraId="6DC4B1F4">
            <w:pPr>
              <w:keepNext w:val="0"/>
              <w:keepLines w:val="0"/>
              <w:pageBreakBefore w:val="0"/>
              <w:tabs>
                <w:tab w:val="left" w:leader="middleDot" w:pos="9240"/>
              </w:tabs>
              <w:kinsoku/>
              <w:wordWrap/>
              <w:overflowPunct/>
              <w:topLinePunct w:val="0"/>
              <w:autoSpaceDE/>
              <w:autoSpaceDN/>
              <w:bidi w:val="0"/>
              <w:adjustRightInd/>
              <w:spacing w:line="380" w:lineRule="exact"/>
              <w:jc w:val="center"/>
              <w:rPr>
                <w:rFonts w:hint="eastAsia" w:ascii="宋体" w:hAnsi="宋体" w:eastAsia="宋体" w:cs="宋体"/>
                <w:color w:val="000000"/>
                <w:sz w:val="21"/>
                <w:szCs w:val="21"/>
                <w:highlight w:val="none"/>
              </w:rPr>
            </w:pPr>
            <w:r>
              <w:rPr>
                <w:rFonts w:hint="eastAsia" w:ascii="宋体" w:hAnsi="宋体" w:cs="宋体"/>
                <w:sz w:val="21"/>
                <w:szCs w:val="21"/>
                <w:highlight w:val="none"/>
              </w:rPr>
              <w:t>厂家</w:t>
            </w:r>
          </w:p>
        </w:tc>
        <w:tc>
          <w:tcPr>
            <w:tcW w:w="367" w:type="pct"/>
            <w:tcBorders>
              <w:top w:val="single" w:color="auto" w:sz="4" w:space="0"/>
              <w:left w:val="single" w:color="auto" w:sz="4" w:space="0"/>
              <w:bottom w:val="single" w:color="auto" w:sz="4" w:space="0"/>
              <w:right w:val="single" w:color="auto" w:sz="4" w:space="0"/>
            </w:tcBorders>
            <w:noWrap w:val="0"/>
            <w:vAlign w:val="center"/>
          </w:tcPr>
          <w:p w14:paraId="3E3B2BAD">
            <w:pPr>
              <w:keepNext w:val="0"/>
              <w:keepLines w:val="0"/>
              <w:pageBreakBefore w:val="0"/>
              <w:tabs>
                <w:tab w:val="left" w:leader="middleDot" w:pos="9240"/>
              </w:tabs>
              <w:kinsoku/>
              <w:wordWrap/>
              <w:overflowPunct/>
              <w:topLinePunct w:val="0"/>
              <w:autoSpaceDE/>
              <w:autoSpaceDN/>
              <w:bidi w:val="0"/>
              <w:adjustRightInd/>
              <w:spacing w:line="380" w:lineRule="exact"/>
              <w:jc w:val="center"/>
              <w:rPr>
                <w:rFonts w:hint="eastAsia" w:ascii="宋体" w:hAnsi="宋体" w:eastAsia="宋体" w:cs="宋体"/>
                <w:color w:val="000000"/>
                <w:sz w:val="21"/>
                <w:szCs w:val="21"/>
                <w:highlight w:val="none"/>
              </w:rPr>
            </w:pPr>
            <w:r>
              <w:rPr>
                <w:rFonts w:hint="eastAsia" w:ascii="宋体" w:hAnsi="宋体" w:cs="宋体"/>
                <w:sz w:val="21"/>
                <w:szCs w:val="21"/>
                <w:highlight w:val="none"/>
              </w:rPr>
              <w:t>规格型号</w:t>
            </w:r>
          </w:p>
        </w:tc>
        <w:tc>
          <w:tcPr>
            <w:tcW w:w="311" w:type="pct"/>
            <w:tcBorders>
              <w:top w:val="single" w:color="auto" w:sz="4" w:space="0"/>
              <w:left w:val="single" w:color="auto" w:sz="4" w:space="0"/>
              <w:bottom w:val="single" w:color="auto" w:sz="4" w:space="0"/>
              <w:right w:val="single" w:color="auto" w:sz="4" w:space="0"/>
            </w:tcBorders>
            <w:noWrap w:val="0"/>
            <w:vAlign w:val="center"/>
          </w:tcPr>
          <w:p w14:paraId="2BDBBE78">
            <w:pPr>
              <w:keepNext w:val="0"/>
              <w:keepLines w:val="0"/>
              <w:pageBreakBefore w:val="0"/>
              <w:tabs>
                <w:tab w:val="left" w:leader="middleDot" w:pos="9240"/>
              </w:tabs>
              <w:kinsoku/>
              <w:wordWrap/>
              <w:overflowPunct/>
              <w:topLinePunct w:val="0"/>
              <w:autoSpaceDE/>
              <w:autoSpaceDN/>
              <w:bidi w:val="0"/>
              <w:adjustRightInd/>
              <w:spacing w:line="38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单位</w:t>
            </w:r>
          </w:p>
        </w:tc>
        <w:tc>
          <w:tcPr>
            <w:tcW w:w="304" w:type="pct"/>
            <w:tcBorders>
              <w:top w:val="single" w:color="auto" w:sz="4" w:space="0"/>
              <w:left w:val="single" w:color="auto" w:sz="4" w:space="0"/>
              <w:bottom w:val="single" w:color="auto" w:sz="4" w:space="0"/>
              <w:right w:val="single" w:color="auto" w:sz="4" w:space="0"/>
            </w:tcBorders>
            <w:noWrap w:val="0"/>
            <w:vAlign w:val="center"/>
          </w:tcPr>
          <w:p w14:paraId="52627437">
            <w:pPr>
              <w:keepNext w:val="0"/>
              <w:keepLines w:val="0"/>
              <w:pageBreakBefore w:val="0"/>
              <w:tabs>
                <w:tab w:val="left" w:leader="middleDot" w:pos="9240"/>
              </w:tabs>
              <w:kinsoku/>
              <w:wordWrap/>
              <w:overflowPunct/>
              <w:topLinePunct w:val="0"/>
              <w:autoSpaceDE/>
              <w:autoSpaceDN/>
              <w:bidi w:val="0"/>
              <w:adjustRightInd/>
              <w:spacing w:line="380" w:lineRule="exact"/>
              <w:jc w:val="cente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数量</w:t>
            </w:r>
          </w:p>
        </w:tc>
        <w:tc>
          <w:tcPr>
            <w:tcW w:w="351" w:type="pct"/>
            <w:tcBorders>
              <w:top w:val="single" w:color="auto" w:sz="4" w:space="0"/>
              <w:left w:val="single" w:color="auto" w:sz="4" w:space="0"/>
              <w:bottom w:val="single" w:color="auto" w:sz="4" w:space="0"/>
              <w:right w:val="single" w:color="auto" w:sz="4" w:space="0"/>
            </w:tcBorders>
            <w:noWrap w:val="0"/>
            <w:vAlign w:val="center"/>
          </w:tcPr>
          <w:p w14:paraId="0B895D87">
            <w:pPr>
              <w:keepNext w:val="0"/>
              <w:keepLines w:val="0"/>
              <w:pageBreakBefore w:val="0"/>
              <w:tabs>
                <w:tab w:val="left" w:leader="middleDot" w:pos="9240"/>
              </w:tabs>
              <w:kinsoku/>
              <w:wordWrap/>
              <w:overflowPunct/>
              <w:topLinePunct w:val="0"/>
              <w:autoSpaceDE/>
              <w:autoSpaceDN/>
              <w:bidi w:val="0"/>
              <w:adjustRightInd/>
              <w:spacing w:line="380" w:lineRule="exact"/>
              <w:jc w:val="center"/>
              <w:rPr>
                <w:rFonts w:hint="eastAsia" w:ascii="宋体" w:hAnsi="宋体" w:eastAsia="宋体" w:cs="宋体"/>
                <w:color w:val="000000"/>
                <w:sz w:val="21"/>
                <w:szCs w:val="21"/>
                <w:highlight w:val="none"/>
              </w:rPr>
            </w:pPr>
            <w:r>
              <w:rPr>
                <w:rFonts w:hint="eastAsia" w:ascii="宋体" w:hAnsi="宋体" w:eastAsia="宋体" w:cs="宋体"/>
                <w:sz w:val="21"/>
                <w:szCs w:val="21"/>
                <w:highlight w:val="none"/>
              </w:rPr>
              <w:t>单价（元）</w:t>
            </w:r>
          </w:p>
        </w:tc>
        <w:tc>
          <w:tcPr>
            <w:tcW w:w="440" w:type="pct"/>
            <w:tcBorders>
              <w:top w:val="single" w:color="auto" w:sz="4" w:space="0"/>
              <w:left w:val="single" w:color="auto" w:sz="4" w:space="0"/>
              <w:bottom w:val="single" w:color="auto" w:sz="4" w:space="0"/>
              <w:right w:val="single" w:color="auto" w:sz="4" w:space="0"/>
            </w:tcBorders>
            <w:noWrap w:val="0"/>
            <w:vAlign w:val="center"/>
          </w:tcPr>
          <w:p w14:paraId="65A40875">
            <w:pPr>
              <w:spacing w:line="300" w:lineRule="exact"/>
              <w:jc w:val="center"/>
              <w:rPr>
                <w:rFonts w:ascii="宋体" w:hAnsi="宋体"/>
                <w:b w:val="0"/>
                <w:bCs w:val="0"/>
                <w:color w:val="auto"/>
                <w:sz w:val="21"/>
                <w:szCs w:val="21"/>
                <w:highlight w:val="none"/>
              </w:rPr>
            </w:pPr>
            <w:r>
              <w:rPr>
                <w:rFonts w:hint="eastAsia" w:ascii="宋体" w:hAnsi="宋体"/>
                <w:b w:val="0"/>
                <w:bCs w:val="0"/>
                <w:color w:val="auto"/>
                <w:sz w:val="21"/>
                <w:szCs w:val="21"/>
                <w:highlight w:val="none"/>
                <w:lang w:eastAsia="zh-CN"/>
              </w:rPr>
              <w:t>单项合计</w:t>
            </w:r>
          </w:p>
          <w:p w14:paraId="6764385D">
            <w:pPr>
              <w:keepNext w:val="0"/>
              <w:keepLines w:val="0"/>
              <w:pageBreakBefore w:val="0"/>
              <w:tabs>
                <w:tab w:val="left" w:pos="353"/>
                <w:tab w:val="left" w:leader="middleDot" w:pos="9240"/>
              </w:tabs>
              <w:kinsoku/>
              <w:wordWrap/>
              <w:overflowPunct/>
              <w:topLinePunct w:val="0"/>
              <w:autoSpaceDE/>
              <w:autoSpaceDN/>
              <w:bidi w:val="0"/>
              <w:adjustRightInd/>
              <w:spacing w:line="380" w:lineRule="exact"/>
              <w:jc w:val="left"/>
              <w:rPr>
                <w:rFonts w:hint="eastAsia" w:ascii="宋体" w:hAnsi="宋体" w:eastAsia="宋体" w:cs="宋体"/>
                <w:sz w:val="21"/>
                <w:szCs w:val="21"/>
                <w:highlight w:val="none"/>
                <w:lang w:eastAsia="zh-CN"/>
              </w:rPr>
            </w:pPr>
            <w:r>
              <w:rPr>
                <w:rFonts w:hint="eastAsia" w:ascii="宋体" w:hAnsi="宋体"/>
                <w:b w:val="0"/>
                <w:bCs w:val="0"/>
                <w:color w:val="auto"/>
                <w:sz w:val="21"/>
                <w:szCs w:val="21"/>
                <w:highlight w:val="none"/>
              </w:rPr>
              <w:t>（</w:t>
            </w:r>
            <w:r>
              <w:rPr>
                <w:rFonts w:hint="eastAsia" w:ascii="宋体" w:hAnsi="宋体"/>
                <w:b w:val="0"/>
                <w:bCs w:val="0"/>
                <w:color w:val="auto"/>
                <w:sz w:val="21"/>
                <w:szCs w:val="21"/>
                <w:highlight w:val="none"/>
                <w:lang w:eastAsia="zh-CN"/>
              </w:rPr>
              <w:t>元</w:t>
            </w:r>
            <w:r>
              <w:rPr>
                <w:rFonts w:hint="eastAsia" w:ascii="宋体" w:hAnsi="宋体"/>
                <w:b w:val="0"/>
                <w:bCs w:val="0"/>
                <w:color w:val="auto"/>
                <w:sz w:val="21"/>
                <w:szCs w:val="21"/>
                <w:highlight w:val="none"/>
              </w:rPr>
              <w:t>）</w:t>
            </w:r>
          </w:p>
        </w:tc>
        <w:tc>
          <w:tcPr>
            <w:tcW w:w="540" w:type="pct"/>
            <w:tcBorders>
              <w:top w:val="single" w:color="auto" w:sz="4" w:space="0"/>
              <w:left w:val="single" w:color="auto" w:sz="4" w:space="0"/>
              <w:bottom w:val="single" w:color="auto" w:sz="4" w:space="0"/>
              <w:right w:val="single" w:color="auto" w:sz="4" w:space="0"/>
            </w:tcBorders>
            <w:noWrap w:val="0"/>
            <w:vAlign w:val="center"/>
          </w:tcPr>
          <w:p w14:paraId="61F73669">
            <w:pPr>
              <w:keepNext w:val="0"/>
              <w:keepLines w:val="0"/>
              <w:pageBreakBefore w:val="0"/>
              <w:tabs>
                <w:tab w:val="left" w:leader="middleDot" w:pos="9240"/>
              </w:tabs>
              <w:kinsoku/>
              <w:wordWrap/>
              <w:overflowPunct/>
              <w:topLinePunct w:val="0"/>
              <w:autoSpaceDE/>
              <w:autoSpaceDN/>
              <w:bidi w:val="0"/>
              <w:adjustRightInd/>
              <w:spacing w:line="38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质保期</w:t>
            </w:r>
          </w:p>
        </w:tc>
        <w:tc>
          <w:tcPr>
            <w:tcW w:w="540" w:type="pct"/>
            <w:tcBorders>
              <w:top w:val="single" w:color="auto" w:sz="4" w:space="0"/>
              <w:left w:val="single" w:color="auto" w:sz="4" w:space="0"/>
              <w:bottom w:val="single" w:color="auto" w:sz="4" w:space="0"/>
              <w:right w:val="single" w:color="auto" w:sz="4" w:space="0"/>
            </w:tcBorders>
            <w:noWrap w:val="0"/>
            <w:vAlign w:val="center"/>
          </w:tcPr>
          <w:p w14:paraId="5A9AA867">
            <w:pPr>
              <w:keepNext w:val="0"/>
              <w:keepLines w:val="0"/>
              <w:pageBreakBefore w:val="0"/>
              <w:tabs>
                <w:tab w:val="left" w:leader="middleDot" w:pos="9240"/>
              </w:tabs>
              <w:kinsoku/>
              <w:wordWrap/>
              <w:overflowPunct/>
              <w:topLinePunct w:val="0"/>
              <w:autoSpaceDE/>
              <w:autoSpaceDN/>
              <w:bidi w:val="0"/>
              <w:adjustRightInd/>
              <w:spacing w:line="38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注册</w:t>
            </w:r>
          </w:p>
          <w:p w14:paraId="056FD574">
            <w:pPr>
              <w:keepNext w:val="0"/>
              <w:keepLines w:val="0"/>
              <w:pageBreakBefore w:val="0"/>
              <w:tabs>
                <w:tab w:val="left" w:leader="middleDot" w:pos="9240"/>
              </w:tabs>
              <w:kinsoku/>
              <w:wordWrap/>
              <w:overflowPunct/>
              <w:topLinePunct w:val="0"/>
              <w:autoSpaceDE/>
              <w:autoSpaceDN/>
              <w:bidi w:val="0"/>
              <w:adjustRightInd/>
              <w:spacing w:line="38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证号</w:t>
            </w:r>
          </w:p>
        </w:tc>
      </w:tr>
      <w:tr w14:paraId="79D93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jc w:val="center"/>
        </w:trPr>
        <w:tc>
          <w:tcPr>
            <w:tcW w:w="194" w:type="pct"/>
            <w:tcBorders>
              <w:top w:val="single" w:color="auto" w:sz="4" w:space="0"/>
              <w:left w:val="single" w:color="auto" w:sz="4" w:space="0"/>
              <w:bottom w:val="single" w:color="auto" w:sz="4" w:space="0"/>
              <w:right w:val="single" w:color="auto" w:sz="4" w:space="0"/>
            </w:tcBorders>
            <w:noWrap w:val="0"/>
            <w:vAlign w:val="center"/>
          </w:tcPr>
          <w:p w14:paraId="75FC6871">
            <w:pPr>
              <w:keepNext w:val="0"/>
              <w:keepLines w:val="0"/>
              <w:pageBreakBefore w:val="0"/>
              <w:tabs>
                <w:tab w:val="left" w:leader="middleDot" w:pos="9240"/>
              </w:tabs>
              <w:kinsoku/>
              <w:wordWrap/>
              <w:overflowPunct/>
              <w:topLinePunct w:val="0"/>
              <w:autoSpaceDE/>
              <w:autoSpaceDN/>
              <w:bidi w:val="0"/>
              <w:adjustRightInd/>
              <w:spacing w:line="380" w:lineRule="exact"/>
              <w:jc w:val="center"/>
              <w:rPr>
                <w:rFonts w:hint="eastAsia" w:ascii="宋体" w:hAnsi="宋体" w:eastAsia="宋体" w:cs="宋体"/>
                <w:color w:val="000000"/>
                <w:sz w:val="24"/>
                <w:szCs w:val="24"/>
              </w:rPr>
            </w:pPr>
          </w:p>
        </w:tc>
        <w:tc>
          <w:tcPr>
            <w:tcW w:w="378" w:type="pct"/>
            <w:tcBorders>
              <w:top w:val="single" w:color="auto" w:sz="4" w:space="0"/>
              <w:left w:val="single" w:color="auto" w:sz="4" w:space="0"/>
              <w:bottom w:val="single" w:color="auto" w:sz="4" w:space="0"/>
              <w:right w:val="single" w:color="auto" w:sz="4" w:space="0"/>
            </w:tcBorders>
            <w:noWrap w:val="0"/>
            <w:vAlign w:val="center"/>
          </w:tcPr>
          <w:p w14:paraId="6D95F258">
            <w:pPr>
              <w:keepNext w:val="0"/>
              <w:keepLines w:val="0"/>
              <w:pageBreakBefore w:val="0"/>
              <w:widowControl/>
              <w:tabs>
                <w:tab w:val="left" w:leader="middleDot" w:pos="9240"/>
              </w:tabs>
              <w:kinsoku/>
              <w:wordWrap/>
              <w:overflowPunct/>
              <w:topLinePunct w:val="0"/>
              <w:autoSpaceDE/>
              <w:autoSpaceDN/>
              <w:bidi w:val="0"/>
              <w:adjustRightInd/>
              <w:spacing w:line="380" w:lineRule="exact"/>
              <w:jc w:val="left"/>
              <w:textAlignment w:val="center"/>
              <w:rPr>
                <w:rFonts w:hint="eastAsia" w:ascii="宋体" w:hAnsi="宋体" w:eastAsia="宋体" w:cs="宋体"/>
                <w:color w:val="000000"/>
                <w:sz w:val="24"/>
                <w:szCs w:val="24"/>
              </w:rPr>
            </w:pPr>
          </w:p>
        </w:tc>
        <w:tc>
          <w:tcPr>
            <w:tcW w:w="515" w:type="pct"/>
            <w:tcBorders>
              <w:top w:val="single" w:color="auto" w:sz="4" w:space="0"/>
              <w:left w:val="single" w:color="auto" w:sz="4" w:space="0"/>
              <w:bottom w:val="single" w:color="auto" w:sz="4" w:space="0"/>
              <w:right w:val="single" w:color="auto" w:sz="4" w:space="0"/>
            </w:tcBorders>
            <w:noWrap w:val="0"/>
            <w:vAlign w:val="center"/>
          </w:tcPr>
          <w:p w14:paraId="5084A111">
            <w:pPr>
              <w:keepNext w:val="0"/>
              <w:keepLines w:val="0"/>
              <w:pageBreakBefore w:val="0"/>
              <w:widowControl/>
              <w:tabs>
                <w:tab w:val="left" w:leader="middleDot" w:pos="9240"/>
              </w:tabs>
              <w:kinsoku/>
              <w:wordWrap/>
              <w:overflowPunct/>
              <w:topLinePunct w:val="0"/>
              <w:autoSpaceDE/>
              <w:autoSpaceDN/>
              <w:bidi w:val="0"/>
              <w:adjustRightInd/>
              <w:spacing w:line="380" w:lineRule="exact"/>
              <w:jc w:val="center"/>
              <w:textAlignment w:val="center"/>
              <w:rPr>
                <w:rFonts w:hint="eastAsia" w:ascii="宋体" w:hAnsi="宋体" w:eastAsia="宋体" w:cs="宋体"/>
                <w:color w:val="000000"/>
                <w:sz w:val="24"/>
                <w:szCs w:val="24"/>
              </w:rPr>
            </w:pPr>
          </w:p>
        </w:tc>
        <w:tc>
          <w:tcPr>
            <w:tcW w:w="535" w:type="pct"/>
            <w:tcBorders>
              <w:top w:val="single" w:color="auto" w:sz="4" w:space="0"/>
              <w:left w:val="single" w:color="auto" w:sz="4" w:space="0"/>
              <w:bottom w:val="single" w:color="auto" w:sz="4" w:space="0"/>
              <w:right w:val="single" w:color="auto" w:sz="4" w:space="0"/>
            </w:tcBorders>
            <w:noWrap w:val="0"/>
            <w:vAlign w:val="center"/>
          </w:tcPr>
          <w:p w14:paraId="6A08F4AE">
            <w:pPr>
              <w:keepNext w:val="0"/>
              <w:keepLines w:val="0"/>
              <w:pageBreakBefore w:val="0"/>
              <w:widowControl/>
              <w:tabs>
                <w:tab w:val="left" w:leader="middleDot" w:pos="9240"/>
              </w:tabs>
              <w:kinsoku/>
              <w:wordWrap/>
              <w:overflowPunct/>
              <w:topLinePunct w:val="0"/>
              <w:autoSpaceDE/>
              <w:autoSpaceDN/>
              <w:bidi w:val="0"/>
              <w:adjustRightInd/>
              <w:spacing w:line="380" w:lineRule="exact"/>
              <w:jc w:val="center"/>
              <w:textAlignment w:val="center"/>
              <w:rPr>
                <w:rFonts w:hint="eastAsia" w:ascii="宋体" w:hAnsi="宋体" w:eastAsia="宋体" w:cs="宋体"/>
                <w:color w:val="000000"/>
                <w:sz w:val="24"/>
                <w:szCs w:val="24"/>
              </w:rPr>
            </w:pPr>
          </w:p>
        </w:tc>
        <w:tc>
          <w:tcPr>
            <w:tcW w:w="519" w:type="pct"/>
            <w:tcBorders>
              <w:top w:val="single" w:color="auto" w:sz="4" w:space="0"/>
              <w:left w:val="single" w:color="auto" w:sz="4" w:space="0"/>
              <w:bottom w:val="single" w:color="auto" w:sz="4" w:space="0"/>
              <w:right w:val="single" w:color="auto" w:sz="4" w:space="0"/>
            </w:tcBorders>
            <w:noWrap w:val="0"/>
            <w:vAlign w:val="center"/>
          </w:tcPr>
          <w:p w14:paraId="1BA41EED">
            <w:pPr>
              <w:keepNext w:val="0"/>
              <w:keepLines w:val="0"/>
              <w:pageBreakBefore w:val="0"/>
              <w:widowControl/>
              <w:tabs>
                <w:tab w:val="left" w:leader="middleDot" w:pos="9240"/>
              </w:tabs>
              <w:kinsoku/>
              <w:wordWrap/>
              <w:overflowPunct/>
              <w:topLinePunct w:val="0"/>
              <w:autoSpaceDE/>
              <w:autoSpaceDN/>
              <w:bidi w:val="0"/>
              <w:adjustRightInd/>
              <w:spacing w:line="380" w:lineRule="exact"/>
              <w:jc w:val="center"/>
              <w:textAlignment w:val="center"/>
              <w:rPr>
                <w:rFonts w:hint="eastAsia" w:ascii="宋体" w:hAnsi="宋体" w:eastAsia="宋体" w:cs="宋体"/>
                <w:color w:val="000000"/>
                <w:sz w:val="24"/>
                <w:szCs w:val="24"/>
              </w:rPr>
            </w:pPr>
          </w:p>
        </w:tc>
        <w:tc>
          <w:tcPr>
            <w:tcW w:w="367" w:type="pct"/>
            <w:tcBorders>
              <w:top w:val="single" w:color="auto" w:sz="4" w:space="0"/>
              <w:left w:val="single" w:color="auto" w:sz="4" w:space="0"/>
              <w:bottom w:val="single" w:color="auto" w:sz="4" w:space="0"/>
              <w:right w:val="single" w:color="auto" w:sz="4" w:space="0"/>
            </w:tcBorders>
            <w:noWrap w:val="0"/>
            <w:vAlign w:val="center"/>
          </w:tcPr>
          <w:p w14:paraId="7B726ACF">
            <w:pPr>
              <w:keepNext w:val="0"/>
              <w:keepLines w:val="0"/>
              <w:pageBreakBefore w:val="0"/>
              <w:widowControl/>
              <w:tabs>
                <w:tab w:val="left" w:leader="middleDot" w:pos="9240"/>
              </w:tabs>
              <w:kinsoku/>
              <w:wordWrap/>
              <w:overflowPunct/>
              <w:topLinePunct w:val="0"/>
              <w:autoSpaceDE/>
              <w:autoSpaceDN/>
              <w:bidi w:val="0"/>
              <w:adjustRightInd/>
              <w:spacing w:line="380" w:lineRule="exact"/>
              <w:jc w:val="center"/>
              <w:textAlignment w:val="center"/>
              <w:rPr>
                <w:rFonts w:hint="eastAsia" w:ascii="宋体" w:hAnsi="宋体" w:eastAsia="宋体" w:cs="宋体"/>
                <w:color w:val="000000"/>
                <w:sz w:val="24"/>
                <w:szCs w:val="24"/>
              </w:rPr>
            </w:pPr>
          </w:p>
        </w:tc>
        <w:tc>
          <w:tcPr>
            <w:tcW w:w="311" w:type="pct"/>
            <w:tcBorders>
              <w:top w:val="single" w:color="auto" w:sz="4" w:space="0"/>
              <w:left w:val="single" w:color="auto" w:sz="4" w:space="0"/>
              <w:right w:val="single" w:color="auto" w:sz="4" w:space="0"/>
            </w:tcBorders>
            <w:noWrap w:val="0"/>
            <w:vAlign w:val="center"/>
          </w:tcPr>
          <w:p w14:paraId="0BFEDCE1">
            <w:pPr>
              <w:keepNext w:val="0"/>
              <w:keepLines w:val="0"/>
              <w:pageBreakBefore w:val="0"/>
              <w:widowControl/>
              <w:tabs>
                <w:tab w:val="left" w:leader="middleDot" w:pos="9240"/>
              </w:tabs>
              <w:kinsoku/>
              <w:wordWrap/>
              <w:overflowPunct/>
              <w:topLinePunct w:val="0"/>
              <w:autoSpaceDE/>
              <w:autoSpaceDN/>
              <w:bidi w:val="0"/>
              <w:adjustRightInd/>
              <w:spacing w:line="380" w:lineRule="exact"/>
              <w:jc w:val="center"/>
              <w:textAlignment w:val="center"/>
              <w:rPr>
                <w:rFonts w:hint="eastAsia" w:ascii="宋体" w:hAnsi="宋体" w:eastAsia="宋体" w:cs="宋体"/>
                <w:color w:val="000000"/>
                <w:sz w:val="24"/>
                <w:szCs w:val="24"/>
              </w:rPr>
            </w:pPr>
          </w:p>
        </w:tc>
        <w:tc>
          <w:tcPr>
            <w:tcW w:w="304" w:type="pct"/>
            <w:tcBorders>
              <w:top w:val="single" w:color="auto" w:sz="4" w:space="0"/>
              <w:left w:val="single" w:color="auto" w:sz="4" w:space="0"/>
              <w:right w:val="single" w:color="auto" w:sz="4" w:space="0"/>
            </w:tcBorders>
            <w:noWrap w:val="0"/>
            <w:vAlign w:val="center"/>
          </w:tcPr>
          <w:p w14:paraId="1C9AF728">
            <w:pPr>
              <w:keepNext w:val="0"/>
              <w:keepLines w:val="0"/>
              <w:pageBreakBefore w:val="0"/>
              <w:widowControl/>
              <w:tabs>
                <w:tab w:val="left" w:leader="middleDot" w:pos="9240"/>
              </w:tabs>
              <w:kinsoku/>
              <w:wordWrap/>
              <w:overflowPunct/>
              <w:topLinePunct w:val="0"/>
              <w:autoSpaceDE/>
              <w:autoSpaceDN/>
              <w:bidi w:val="0"/>
              <w:adjustRightInd/>
              <w:spacing w:line="380" w:lineRule="exact"/>
              <w:jc w:val="center"/>
              <w:textAlignment w:val="center"/>
              <w:rPr>
                <w:rFonts w:hint="eastAsia" w:ascii="宋体" w:hAnsi="宋体" w:eastAsia="宋体" w:cs="宋体"/>
                <w:color w:val="000000"/>
                <w:sz w:val="24"/>
                <w:szCs w:val="24"/>
              </w:rPr>
            </w:pPr>
          </w:p>
        </w:tc>
        <w:tc>
          <w:tcPr>
            <w:tcW w:w="351" w:type="pct"/>
            <w:tcBorders>
              <w:top w:val="single" w:color="auto" w:sz="4" w:space="0"/>
              <w:left w:val="single" w:color="auto" w:sz="4" w:space="0"/>
              <w:right w:val="single" w:color="auto" w:sz="4" w:space="0"/>
            </w:tcBorders>
            <w:noWrap w:val="0"/>
            <w:vAlign w:val="center"/>
          </w:tcPr>
          <w:p w14:paraId="4EAE1697">
            <w:pPr>
              <w:keepNext w:val="0"/>
              <w:keepLines w:val="0"/>
              <w:pageBreakBefore w:val="0"/>
              <w:widowControl/>
              <w:tabs>
                <w:tab w:val="left" w:leader="middleDot" w:pos="9240"/>
              </w:tabs>
              <w:kinsoku/>
              <w:wordWrap/>
              <w:overflowPunct/>
              <w:topLinePunct w:val="0"/>
              <w:autoSpaceDE/>
              <w:autoSpaceDN/>
              <w:bidi w:val="0"/>
              <w:adjustRightInd/>
              <w:spacing w:line="380" w:lineRule="exact"/>
              <w:jc w:val="center"/>
              <w:textAlignment w:val="center"/>
              <w:rPr>
                <w:rFonts w:hint="eastAsia" w:ascii="宋体" w:hAnsi="宋体" w:eastAsia="宋体" w:cs="宋体"/>
                <w:color w:val="000000"/>
                <w:sz w:val="24"/>
                <w:szCs w:val="24"/>
              </w:rPr>
            </w:pPr>
          </w:p>
        </w:tc>
        <w:tc>
          <w:tcPr>
            <w:tcW w:w="440" w:type="pct"/>
            <w:tcBorders>
              <w:top w:val="single" w:color="auto" w:sz="4" w:space="0"/>
              <w:left w:val="single" w:color="auto" w:sz="4" w:space="0"/>
              <w:right w:val="single" w:color="auto" w:sz="4" w:space="0"/>
            </w:tcBorders>
            <w:noWrap w:val="0"/>
            <w:vAlign w:val="center"/>
          </w:tcPr>
          <w:p w14:paraId="3B0CBBC8">
            <w:pPr>
              <w:keepNext w:val="0"/>
              <w:keepLines w:val="0"/>
              <w:pageBreakBefore w:val="0"/>
              <w:widowControl/>
              <w:tabs>
                <w:tab w:val="left" w:leader="middleDot" w:pos="9240"/>
              </w:tabs>
              <w:kinsoku/>
              <w:wordWrap/>
              <w:overflowPunct/>
              <w:topLinePunct w:val="0"/>
              <w:autoSpaceDE/>
              <w:autoSpaceDN/>
              <w:bidi w:val="0"/>
              <w:adjustRightInd/>
              <w:spacing w:line="380" w:lineRule="exact"/>
              <w:jc w:val="center"/>
              <w:textAlignment w:val="center"/>
              <w:rPr>
                <w:rFonts w:hint="eastAsia" w:ascii="宋体" w:hAnsi="宋体" w:eastAsia="宋体" w:cs="宋体"/>
                <w:color w:val="000000"/>
                <w:sz w:val="24"/>
                <w:szCs w:val="24"/>
              </w:rPr>
            </w:pPr>
          </w:p>
        </w:tc>
        <w:tc>
          <w:tcPr>
            <w:tcW w:w="540" w:type="pct"/>
            <w:tcBorders>
              <w:top w:val="single" w:color="auto" w:sz="4" w:space="0"/>
              <w:left w:val="single" w:color="auto" w:sz="4" w:space="0"/>
              <w:right w:val="single" w:color="auto" w:sz="4" w:space="0"/>
            </w:tcBorders>
            <w:noWrap w:val="0"/>
            <w:vAlign w:val="center"/>
          </w:tcPr>
          <w:p w14:paraId="4BFAF1B7">
            <w:pPr>
              <w:keepNext w:val="0"/>
              <w:keepLines w:val="0"/>
              <w:pageBreakBefore w:val="0"/>
              <w:widowControl/>
              <w:tabs>
                <w:tab w:val="left" w:leader="middleDot" w:pos="9240"/>
              </w:tabs>
              <w:kinsoku/>
              <w:wordWrap/>
              <w:overflowPunct/>
              <w:topLinePunct w:val="0"/>
              <w:autoSpaceDE/>
              <w:autoSpaceDN/>
              <w:bidi w:val="0"/>
              <w:adjustRightInd/>
              <w:spacing w:line="380" w:lineRule="exact"/>
              <w:jc w:val="center"/>
              <w:textAlignment w:val="center"/>
              <w:rPr>
                <w:rFonts w:hint="eastAsia" w:ascii="宋体" w:hAnsi="宋体" w:eastAsia="宋体" w:cs="宋体"/>
                <w:color w:val="000000"/>
                <w:sz w:val="24"/>
                <w:szCs w:val="24"/>
              </w:rPr>
            </w:pPr>
          </w:p>
        </w:tc>
        <w:tc>
          <w:tcPr>
            <w:tcW w:w="540" w:type="pct"/>
            <w:tcBorders>
              <w:top w:val="single" w:color="auto" w:sz="4" w:space="0"/>
              <w:left w:val="single" w:color="auto" w:sz="4" w:space="0"/>
              <w:right w:val="single" w:color="auto" w:sz="4" w:space="0"/>
            </w:tcBorders>
            <w:noWrap w:val="0"/>
            <w:vAlign w:val="center"/>
          </w:tcPr>
          <w:p w14:paraId="0C76D7D8">
            <w:pPr>
              <w:keepNext w:val="0"/>
              <w:keepLines w:val="0"/>
              <w:pageBreakBefore w:val="0"/>
              <w:widowControl/>
              <w:tabs>
                <w:tab w:val="left" w:leader="middleDot" w:pos="9240"/>
              </w:tabs>
              <w:kinsoku/>
              <w:wordWrap/>
              <w:overflowPunct/>
              <w:topLinePunct w:val="0"/>
              <w:autoSpaceDE/>
              <w:autoSpaceDN/>
              <w:bidi w:val="0"/>
              <w:adjustRightInd/>
              <w:spacing w:line="380" w:lineRule="exact"/>
              <w:jc w:val="center"/>
              <w:textAlignment w:val="center"/>
              <w:rPr>
                <w:rFonts w:hint="eastAsia" w:ascii="宋体" w:hAnsi="宋体" w:eastAsia="宋体" w:cs="宋体"/>
                <w:color w:val="000000"/>
                <w:sz w:val="24"/>
                <w:szCs w:val="24"/>
              </w:rPr>
            </w:pPr>
          </w:p>
        </w:tc>
      </w:tr>
      <w:tr w14:paraId="72D90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5000" w:type="pct"/>
            <w:gridSpan w:val="12"/>
            <w:tcBorders>
              <w:top w:val="single" w:color="auto" w:sz="4" w:space="0"/>
              <w:left w:val="single" w:color="auto" w:sz="4" w:space="0"/>
              <w:bottom w:val="single" w:color="auto" w:sz="4" w:space="0"/>
              <w:right w:val="single" w:color="auto" w:sz="4" w:space="0"/>
            </w:tcBorders>
            <w:noWrap w:val="0"/>
            <w:vAlign w:val="center"/>
          </w:tcPr>
          <w:p w14:paraId="40926E25">
            <w:pPr>
              <w:keepNext w:val="0"/>
              <w:keepLines w:val="0"/>
              <w:pageBreakBefore w:val="0"/>
              <w:widowControl w:val="0"/>
              <w:tabs>
                <w:tab w:val="left" w:leader="middleDot" w:pos="9240"/>
              </w:tabs>
              <w:kinsoku/>
              <w:wordWrap/>
              <w:overflowPunct/>
              <w:topLinePunct w:val="0"/>
              <w:autoSpaceDE/>
              <w:autoSpaceDN/>
              <w:bidi w:val="0"/>
              <w:adjustRightInd/>
              <w:snapToGrid/>
              <w:spacing w:line="380" w:lineRule="exact"/>
              <w:ind w:firstLine="0" w:firstLineChars="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合同总</w:t>
            </w:r>
            <w:r>
              <w:rPr>
                <w:rFonts w:hint="eastAsia" w:ascii="宋体" w:hAnsi="宋体" w:eastAsia="宋体" w:cs="宋体"/>
                <w:color w:val="000000"/>
                <w:sz w:val="24"/>
                <w:szCs w:val="24"/>
                <w:highlight w:val="none"/>
                <w:lang w:eastAsia="zh-CN"/>
              </w:rPr>
              <w:t>金</w:t>
            </w:r>
            <w:r>
              <w:rPr>
                <w:rFonts w:hint="eastAsia" w:ascii="宋体" w:hAnsi="宋体" w:eastAsia="宋体" w:cs="宋体"/>
                <w:color w:val="000000"/>
                <w:sz w:val="24"/>
                <w:szCs w:val="24"/>
                <w:highlight w:val="none"/>
              </w:rPr>
              <w:t>额：人民币（¥）</w:t>
            </w:r>
          </w:p>
        </w:tc>
      </w:tr>
    </w:tbl>
    <w:p w14:paraId="54C76964">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合同期限：自合同签订之日起</w:t>
      </w:r>
      <w:r>
        <w:rPr>
          <w:rFonts w:hint="eastAsia" w:hAnsi="宋体" w:eastAsia="宋体" w:cs="宋体"/>
          <w:sz w:val="24"/>
          <w:szCs w:val="24"/>
          <w:lang w:val="en-US" w:eastAsia="zh-CN"/>
        </w:rPr>
        <w:t>一年，一</w:t>
      </w:r>
      <w:r>
        <w:rPr>
          <w:rFonts w:hint="eastAsia" w:ascii="宋体" w:hAnsi="宋体" w:eastAsia="宋体" w:cs="宋体"/>
          <w:sz w:val="24"/>
          <w:szCs w:val="24"/>
        </w:rPr>
        <w:t>年内按本合同总额完成送货及结算货款，本合同终止</w:t>
      </w:r>
      <w:r>
        <w:rPr>
          <w:rFonts w:hint="eastAsia" w:hAnsi="宋体" w:eastAsia="宋体" w:cs="宋体"/>
          <w:sz w:val="24"/>
          <w:szCs w:val="24"/>
          <w:lang w:eastAsia="zh-CN"/>
        </w:rPr>
        <w:t>；</w:t>
      </w:r>
      <w:r>
        <w:rPr>
          <w:rFonts w:hint="eastAsia" w:ascii="宋体" w:hAnsi="宋体" w:eastAsia="宋体" w:cs="宋体"/>
          <w:sz w:val="24"/>
          <w:szCs w:val="24"/>
        </w:rPr>
        <w:t>合同期满后，未能按合同总额履行完送货及结算货款的，按实际送货量结算货款，本合同终止。合同期内，如耗材产品使用过程中出现问题，经临床使用科室上报3例及以上医疗器械不良事件，并经核实确为产品本身质量存在问题的，院方现有库存退还供货商，合同自动终止。</w:t>
      </w:r>
      <w:r>
        <w:rPr>
          <w:rFonts w:ascii="宋体" w:hAnsi="宋体" w:eastAsia="宋体" w:cs="宋体"/>
          <w:sz w:val="24"/>
          <w:szCs w:val="24"/>
        </w:rPr>
        <w:t>如因为供应商的代理授权、被上级部门立案查处、资质失效、经营许可被撤销/吊销等原因，导致该耗材无法继续合法在本院采购使用的，院方有权单方解除本合同，已采购未使用的库存耗材可选择退回供应商，供应商须无条件接收并退还对应货款，由此造成</w:t>
      </w:r>
      <w:r>
        <w:rPr>
          <w:rFonts w:hint="eastAsia" w:ascii="宋体" w:hAnsi="宋体" w:eastAsia="宋体" w:cs="宋体"/>
          <w:sz w:val="24"/>
          <w:szCs w:val="24"/>
          <w:lang w:val="en-US" w:eastAsia="zh-CN"/>
        </w:rPr>
        <w:t>院方</w:t>
      </w:r>
      <w:r>
        <w:rPr>
          <w:rFonts w:ascii="宋体" w:hAnsi="宋体" w:eastAsia="宋体" w:cs="宋体"/>
          <w:sz w:val="24"/>
          <w:szCs w:val="24"/>
        </w:rPr>
        <w:t>的一切损失由供应商自行承担。</w:t>
      </w:r>
    </w:p>
    <w:p w14:paraId="687E12A5">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20"/>
        <w:textAlignment w:val="auto"/>
        <w:rPr>
          <w:rFonts w:hint="eastAsia" w:ascii="宋体" w:hAnsi="宋体" w:eastAsia="宋体" w:cs="宋体"/>
          <w:sz w:val="24"/>
          <w:szCs w:val="24"/>
        </w:rPr>
      </w:pPr>
      <w:r>
        <w:rPr>
          <w:rFonts w:hint="eastAsia" w:ascii="宋体" w:hAnsi="宋体" w:eastAsia="宋体" w:cs="宋体"/>
          <w:sz w:val="24"/>
          <w:szCs w:val="24"/>
        </w:rPr>
        <w:t>（1）合同</w:t>
      </w:r>
      <w:r>
        <w:rPr>
          <w:rFonts w:hint="eastAsia" w:hAnsi="宋体" w:eastAsia="宋体" w:cs="宋体"/>
          <w:sz w:val="24"/>
          <w:szCs w:val="24"/>
          <w:lang w:eastAsia="zh-CN"/>
        </w:rPr>
        <w:t>总金</w:t>
      </w:r>
      <w:r>
        <w:rPr>
          <w:rFonts w:hint="eastAsia" w:ascii="宋体" w:hAnsi="宋体" w:eastAsia="宋体" w:cs="宋体"/>
          <w:sz w:val="24"/>
          <w:szCs w:val="24"/>
        </w:rPr>
        <w:t>额：本合同金额所涵盖的范围包含但不限于以下全部事项及相关风险：采购、货物、运输、劳务、管理、利润、税金、保险、售后服务（含质保等）、产品配送及交付，以及本合同履行过程中所有可预见及不可预见的不确定因素所产生的全部风险。除本合同约定的金额外，</w:t>
      </w:r>
      <w:r>
        <w:rPr>
          <w:rFonts w:hint="eastAsia" w:hAnsi="宋体" w:eastAsia="宋体" w:cs="宋体"/>
          <w:sz w:val="24"/>
          <w:szCs w:val="24"/>
          <w:lang w:eastAsia="zh-CN"/>
        </w:rPr>
        <w:t>甲方</w:t>
      </w:r>
      <w:r>
        <w:rPr>
          <w:rFonts w:hint="eastAsia" w:ascii="宋体" w:hAnsi="宋体" w:eastAsia="宋体" w:cs="宋体"/>
          <w:sz w:val="24"/>
          <w:szCs w:val="24"/>
        </w:rPr>
        <w:t>不再支付任何其他费用。</w:t>
      </w:r>
    </w:p>
    <w:p w14:paraId="6C3154C6">
      <w:pPr>
        <w:pStyle w:val="17"/>
        <w:keepNext w:val="0"/>
        <w:keepLines w:val="0"/>
        <w:pageBreakBefore w:val="0"/>
        <w:widowControl w:val="0"/>
        <w:numPr>
          <w:ilvl w:val="0"/>
          <w:numId w:val="4"/>
        </w:numPr>
        <w:tabs>
          <w:tab w:val="left" w:leader="middleDot" w:pos="9240"/>
        </w:tabs>
        <w:kinsoku/>
        <w:wordWrap/>
        <w:overflowPunct/>
        <w:topLinePunct w:val="0"/>
        <w:autoSpaceDE/>
        <w:autoSpaceDN/>
        <w:bidi w:val="0"/>
        <w:adjustRightInd/>
        <w:spacing w:line="380" w:lineRule="exact"/>
        <w:ind w:firstLine="42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本合同所涉及的乙方应提供的货物、服务内容详见《项目需求》及应答文件中所列内容和《合同基本条款》。</w:t>
      </w:r>
    </w:p>
    <w:p w14:paraId="289CE5D0">
      <w:pPr>
        <w:pStyle w:val="17"/>
        <w:keepNext w:val="0"/>
        <w:keepLines w:val="0"/>
        <w:pageBreakBefore w:val="0"/>
        <w:widowControl w:val="0"/>
        <w:numPr>
          <w:ilvl w:val="0"/>
          <w:numId w:val="4"/>
        </w:numPr>
        <w:tabs>
          <w:tab w:val="left" w:leader="middleDot" w:pos="9240"/>
        </w:tabs>
        <w:kinsoku/>
        <w:wordWrap/>
        <w:overflowPunct/>
        <w:topLinePunct w:val="0"/>
        <w:autoSpaceDE/>
        <w:autoSpaceDN/>
        <w:bidi w:val="0"/>
        <w:adjustRightInd/>
        <w:spacing w:line="380" w:lineRule="exact"/>
        <w:ind w:firstLine="42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合同期内合同内约定的物货单价不得提价，合同期内价格上调的变动风险由</w:t>
      </w:r>
      <w:r>
        <w:rPr>
          <w:rFonts w:hint="eastAsia" w:hAnsi="宋体" w:eastAsia="宋体" w:cs="宋体"/>
          <w:color w:val="000000"/>
          <w:sz w:val="24"/>
          <w:szCs w:val="24"/>
          <w:lang w:eastAsia="zh-CN"/>
        </w:rPr>
        <w:t>乙方</w:t>
      </w:r>
      <w:r>
        <w:rPr>
          <w:rFonts w:hint="eastAsia" w:ascii="宋体" w:hAnsi="宋体" w:eastAsia="宋体" w:cs="宋体"/>
          <w:color w:val="000000"/>
          <w:sz w:val="24"/>
          <w:szCs w:val="24"/>
        </w:rPr>
        <w:t>自行承担；</w:t>
      </w:r>
    </w:p>
    <w:p w14:paraId="45205B41">
      <w:pPr>
        <w:pStyle w:val="17"/>
        <w:keepNext w:val="0"/>
        <w:keepLines w:val="0"/>
        <w:pageBreakBefore w:val="0"/>
        <w:widowControl w:val="0"/>
        <w:numPr>
          <w:ilvl w:val="0"/>
          <w:numId w:val="4"/>
        </w:numPr>
        <w:tabs>
          <w:tab w:val="left" w:leader="middleDot" w:pos="9240"/>
        </w:tabs>
        <w:kinsoku/>
        <w:wordWrap/>
        <w:overflowPunct/>
        <w:topLinePunct w:val="0"/>
        <w:autoSpaceDE/>
        <w:autoSpaceDN/>
        <w:bidi w:val="0"/>
        <w:adjustRightInd/>
        <w:spacing w:line="380" w:lineRule="exact"/>
        <w:ind w:firstLine="420"/>
        <w:textAlignment w:val="auto"/>
        <w:rPr>
          <w:rFonts w:hint="eastAsia" w:ascii="宋体" w:hAnsi="宋体" w:eastAsia="宋体" w:cs="宋体"/>
          <w:b/>
          <w:sz w:val="24"/>
          <w:szCs w:val="24"/>
        </w:rPr>
      </w:pPr>
      <w:r>
        <w:rPr>
          <w:rFonts w:hint="eastAsia" w:ascii="宋体" w:hAnsi="宋体" w:eastAsia="宋体" w:cs="宋体"/>
          <w:sz w:val="24"/>
          <w:szCs w:val="24"/>
          <w:lang w:val="zh-CN"/>
        </w:rPr>
        <w:t>合同期内如遇国家、自治区出台新的政策文件，涉及本品种采购和使用要求则按国家、自治区政策文件要求执行包</w:t>
      </w:r>
      <w:r>
        <w:rPr>
          <w:rFonts w:hint="eastAsia" w:hAnsi="宋体" w:eastAsia="宋体" w:cs="宋体"/>
          <w:sz w:val="24"/>
          <w:szCs w:val="24"/>
          <w:lang w:val="zh-CN"/>
        </w:rPr>
        <w:t>含</w:t>
      </w:r>
      <w:r>
        <w:rPr>
          <w:rFonts w:hint="eastAsia" w:ascii="宋体" w:hAnsi="宋体" w:eastAsia="宋体" w:cs="宋体"/>
          <w:sz w:val="24"/>
          <w:szCs w:val="24"/>
          <w:lang w:val="zh-CN"/>
        </w:rPr>
        <w:t>但不限于停止采购、限价、限量，</w:t>
      </w:r>
      <w:r>
        <w:rPr>
          <w:rFonts w:hint="eastAsia" w:ascii="宋体" w:hAnsi="宋体" w:eastAsia="宋体" w:cs="宋体"/>
          <w:sz w:val="24"/>
          <w:szCs w:val="24"/>
        </w:rPr>
        <w:t>乙方自行承担采购政策变化带来的风险。</w:t>
      </w:r>
    </w:p>
    <w:p w14:paraId="6A3DEAE0">
      <w:pPr>
        <w:keepNext w:val="0"/>
        <w:keepLines w:val="0"/>
        <w:pageBreakBefore w:val="0"/>
        <w:widowControl w:val="0"/>
        <w:numPr>
          <w:ilvl w:val="0"/>
          <w:numId w:val="4"/>
        </w:numPr>
        <w:tabs>
          <w:tab w:val="left" w:leader="middleDot" w:pos="9240"/>
        </w:tabs>
        <w:kinsoku/>
        <w:wordWrap/>
        <w:overflowPunct/>
        <w:topLinePunct w:val="0"/>
        <w:autoSpaceDE/>
        <w:autoSpaceDN/>
        <w:bidi w:val="0"/>
        <w:adjustRightInd/>
        <w:spacing w:line="380" w:lineRule="exact"/>
        <w:ind w:left="0" w:leftChars="0" w:firstLine="420" w:firstLineChars="0"/>
        <w:textAlignment w:val="auto"/>
        <w:rPr>
          <w:rFonts w:hint="eastAsia" w:hAnsi="宋体" w:cs="宋体"/>
          <w:color w:val="000000"/>
          <w:sz w:val="24"/>
          <w:szCs w:val="24"/>
        </w:rPr>
      </w:pPr>
      <w:r>
        <w:rPr>
          <w:rFonts w:hint="eastAsia" w:hAnsi="宋体" w:cs="宋体"/>
          <w:color w:val="000000"/>
          <w:sz w:val="24"/>
          <w:szCs w:val="24"/>
        </w:rPr>
        <w:t>乙方累计供货金额达到合同签订数量 70% 时，须主动联系甲方，告知供货情况。若甲方实际耗用耗材对应的货值超出合同总金额，甲方可将未使用耗材办理退库。乙方收到退库申请后 7 个工作日内完成查验，核对无误后办理退库手续。</w:t>
      </w:r>
    </w:p>
    <w:p w14:paraId="0865859D">
      <w:pPr>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20"/>
        <w:textAlignment w:val="auto"/>
        <w:rPr>
          <w:rFonts w:hint="eastAsia" w:ascii="宋体" w:hAnsi="宋体" w:cs="宋体"/>
          <w:sz w:val="24"/>
        </w:rPr>
      </w:pPr>
      <w:r>
        <w:rPr>
          <w:rFonts w:hint="eastAsia" w:ascii="宋体" w:hAnsi="宋体" w:cs="宋体"/>
          <w:sz w:val="24"/>
        </w:rPr>
        <w:t>（6）乙方保证所供产品的品牌、规格、厂家、质量与采购文件一致，距有效期不足3个月视为近效期产品，乙方需在甲方提出需求后5个工作日内无条件更换，相关费用由乙方承担；若产品不符或效期/批号违规，甲方有权拒收、要求乙方3个工作日内重供，或解除合同并要求乙方承担合同总金额10%违约金及甲方全部损失；特殊情况（政策调整、不可抗力等）情况下双方另行协商。</w:t>
      </w:r>
    </w:p>
    <w:p w14:paraId="4F2212A6">
      <w:pPr>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20"/>
        <w:textAlignment w:val="auto"/>
        <w:rPr>
          <w:rFonts w:hint="eastAsia" w:ascii="宋体" w:hAnsi="宋体" w:eastAsia="宋体" w:cs="宋体"/>
          <w:color w:val="000000"/>
          <w:sz w:val="24"/>
          <w:szCs w:val="24"/>
          <w:lang w:eastAsia="zh-CN"/>
        </w:rPr>
      </w:pPr>
      <w:r>
        <w:rPr>
          <w:rFonts w:hint="eastAsia" w:ascii="宋体" w:hAnsi="宋体" w:cs="宋体"/>
          <w:sz w:val="24"/>
        </w:rPr>
        <w:t>（7）本合同项下的货物名称、规格、数量、单价及合同总价以本合同第3条货物采购金额和服务内容的约定为准。任何超出本合同约定范围的货物交付，不构成对本合同的变更，甲方有权不予接受，且无需承担任何付款义务或法律责任。</w:t>
      </w:r>
    </w:p>
    <w:p w14:paraId="0596FDBC">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4、 质保期</w:t>
      </w:r>
    </w:p>
    <w:p w14:paraId="435DF299">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（1）货物质保期：</w:t>
      </w:r>
      <w:r>
        <w:rPr>
          <w:rFonts w:hint="eastAsia" w:ascii="宋体" w:hAnsi="宋体" w:eastAsia="宋体" w:cs="宋体"/>
          <w:sz w:val="24"/>
          <w:szCs w:val="24"/>
          <w:u w:val="single"/>
        </w:rPr>
        <w:t>不得少于1年，自产品验收合格并能正常使用之日算起</w:t>
      </w:r>
      <w:r>
        <w:rPr>
          <w:rFonts w:hint="eastAsia" w:ascii="宋体" w:hAnsi="宋体" w:eastAsia="宋体" w:cs="宋体"/>
          <w:sz w:val="24"/>
          <w:szCs w:val="24"/>
          <w:u w:val="single"/>
          <w:lang w:eastAsia="zh-CN"/>
        </w:rPr>
        <w:t>。</w:t>
      </w:r>
    </w:p>
    <w:p w14:paraId="1BDC264A">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5、付款条件</w:t>
      </w:r>
    </w:p>
    <w:p w14:paraId="540B0FC5">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w:t>
      </w:r>
      <w:r>
        <w:rPr>
          <w:rFonts w:hint="eastAsia" w:ascii="宋体" w:hAnsi="宋体" w:eastAsia="宋体" w:cs="宋体"/>
          <w:sz w:val="24"/>
          <w:szCs w:val="24"/>
        </w:rPr>
        <w:t>按实际送货量结算货款，每批货验收合格之日起，乙方提供并收集送、验货等材料及发票交给甲方；甲方自收到货物及发票之日起付款时间最长不得超过120日，</w:t>
      </w:r>
      <w:r>
        <w:rPr>
          <w:rFonts w:hint="eastAsia" w:ascii="宋体" w:hAnsi="宋体" w:eastAsia="宋体" w:cs="宋体"/>
          <w:sz w:val="24"/>
          <w:szCs w:val="24"/>
          <w:lang w:val="en-US" w:eastAsia="zh-CN"/>
        </w:rPr>
        <w:t>货款</w:t>
      </w:r>
      <w:r>
        <w:rPr>
          <w:rFonts w:hint="eastAsia" w:ascii="宋体" w:hAnsi="宋体" w:eastAsia="宋体" w:cs="宋体"/>
          <w:sz w:val="24"/>
          <w:szCs w:val="24"/>
        </w:rPr>
        <w:t>不得超过合同总金额。</w:t>
      </w:r>
    </w:p>
    <w:p w14:paraId="02EBE72B">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甲方仅对在本合同有效期内，且依据本合同约定的程序和标准接收的合格货物承担付款义务。对于合同终止后或超出合同约定总量的货物，无论是否实际交付，均不产生任何付款责任，且甲方保留要求乙方自行承担费用运回上述货物的权利。</w:t>
      </w:r>
    </w:p>
    <w:p w14:paraId="4CF92516">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6、交货时间</w:t>
      </w:r>
    </w:p>
    <w:p w14:paraId="7293EBD4">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按使用计划分批交货，在收到</w:t>
      </w:r>
      <w:r>
        <w:rPr>
          <w:rFonts w:hint="eastAsia" w:ascii="宋体" w:hAnsi="宋体" w:eastAsia="宋体" w:cs="宋体"/>
          <w:sz w:val="24"/>
          <w:szCs w:val="24"/>
          <w:lang w:eastAsia="zh-CN"/>
        </w:rPr>
        <w:t>甲方</w:t>
      </w:r>
      <w:r>
        <w:rPr>
          <w:rFonts w:hint="eastAsia" w:ascii="宋体" w:hAnsi="宋体" w:eastAsia="宋体" w:cs="宋体"/>
          <w:sz w:val="24"/>
          <w:szCs w:val="24"/>
        </w:rPr>
        <w:t>发出的订货清单后</w:t>
      </w:r>
      <w:r>
        <w:rPr>
          <w:rFonts w:hint="eastAsia" w:ascii="宋体" w:hAnsi="宋体" w:eastAsia="宋体" w:cs="宋体"/>
          <w:sz w:val="24"/>
          <w:szCs w:val="24"/>
          <w:lang w:val="en-US" w:eastAsia="zh-CN"/>
        </w:rPr>
        <w:t>5</w:t>
      </w:r>
      <w:r>
        <w:rPr>
          <w:rFonts w:hint="eastAsia" w:ascii="宋体" w:hAnsi="宋体" w:eastAsia="宋体" w:cs="宋体"/>
          <w:sz w:val="24"/>
          <w:szCs w:val="24"/>
        </w:rPr>
        <w:t>个工作日内按要求送货至指定地点并负责卸货。</w:t>
      </w:r>
    </w:p>
    <w:p w14:paraId="4E472DF4">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7、验收办法</w:t>
      </w:r>
    </w:p>
    <w:p w14:paraId="784B2673">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本合同验收办法在合同的基本条款中有明确规定。</w:t>
      </w:r>
    </w:p>
    <w:p w14:paraId="6C74FC33">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8、交货地点</w:t>
      </w:r>
    </w:p>
    <w:p w14:paraId="2ACE6093">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交货地点：甲方指定地点</w:t>
      </w:r>
    </w:p>
    <w:p w14:paraId="15E3778D">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9、售后要求</w:t>
      </w:r>
    </w:p>
    <w:p w14:paraId="642285CF">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w:t>
      </w:r>
      <w:r>
        <w:rPr>
          <w:rFonts w:hint="eastAsia" w:ascii="宋体" w:hAnsi="宋体" w:eastAsia="宋体" w:cs="宋体"/>
          <w:sz w:val="24"/>
          <w:szCs w:val="24"/>
          <w:lang w:val="en-US" w:eastAsia="zh-CN"/>
        </w:rPr>
        <w:t>1</w:t>
      </w:r>
      <w:r>
        <w:rPr>
          <w:rFonts w:hint="eastAsia" w:ascii="宋体" w:hAnsi="宋体" w:eastAsia="宋体" w:cs="宋体"/>
          <w:sz w:val="24"/>
          <w:szCs w:val="24"/>
        </w:rPr>
        <w:t>）乙方应按照国家有关法律法规和“三包”规定为甲方提供售后服务</w:t>
      </w:r>
      <w:r>
        <w:rPr>
          <w:rFonts w:hint="eastAsia" w:ascii="宋体" w:hAnsi="宋体" w:eastAsia="宋体" w:cs="宋体"/>
          <w:sz w:val="24"/>
          <w:szCs w:val="24"/>
          <w:lang w:eastAsia="zh-CN"/>
        </w:rPr>
        <w:t>；</w:t>
      </w:r>
    </w:p>
    <w:p w14:paraId="6EC16DBC">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（2）</w:t>
      </w:r>
      <w:r>
        <w:rPr>
          <w:rFonts w:hint="eastAsia" w:ascii="宋体" w:hAnsi="宋体" w:eastAsia="宋体" w:cs="宋体"/>
          <w:sz w:val="24"/>
          <w:szCs w:val="24"/>
        </w:rPr>
        <w:t>乙方提供的服务承诺和售后服务及质保期责任等其它具体约定事项</w:t>
      </w:r>
      <w:r>
        <w:rPr>
          <w:rFonts w:hint="eastAsia" w:ascii="宋体" w:hAnsi="宋体" w:eastAsia="宋体" w:cs="宋体"/>
          <w:sz w:val="24"/>
          <w:szCs w:val="24"/>
          <w:lang w:eastAsia="zh-CN"/>
        </w:rPr>
        <w:t>；</w:t>
      </w:r>
    </w:p>
    <w:p w14:paraId="10D44E6D">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3</w:t>
      </w:r>
      <w:r>
        <w:rPr>
          <w:rFonts w:hint="eastAsia" w:ascii="宋体" w:hAnsi="宋体" w:eastAsia="宋体" w:cs="宋体"/>
          <w:sz w:val="24"/>
          <w:szCs w:val="24"/>
        </w:rPr>
        <w:t>）负责</w:t>
      </w:r>
      <w:r>
        <w:rPr>
          <w:rFonts w:hint="eastAsia" w:ascii="宋体" w:hAnsi="宋体" w:eastAsia="宋体" w:cs="宋体"/>
          <w:sz w:val="24"/>
          <w:szCs w:val="24"/>
          <w:lang w:eastAsia="zh-CN"/>
        </w:rPr>
        <w:t>免费</w:t>
      </w:r>
      <w:r>
        <w:rPr>
          <w:rFonts w:hint="eastAsia" w:ascii="宋体" w:hAnsi="宋体" w:eastAsia="宋体" w:cs="宋体"/>
          <w:sz w:val="24"/>
          <w:szCs w:val="24"/>
        </w:rPr>
        <w:t>送货上门，负责培训；</w:t>
      </w:r>
    </w:p>
    <w:p w14:paraId="7789F49E">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（4）如确定有质量问题，按照正常程序退换货</w:t>
      </w:r>
      <w:r>
        <w:rPr>
          <w:rFonts w:hint="eastAsia" w:ascii="宋体" w:hAnsi="宋体" w:eastAsia="宋体" w:cs="宋体"/>
          <w:sz w:val="24"/>
          <w:szCs w:val="24"/>
          <w:lang w:eastAsia="zh-CN"/>
        </w:rPr>
        <w:t>；</w:t>
      </w:r>
    </w:p>
    <w:p w14:paraId="2C31182B">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w:t>
      </w:r>
      <w:r>
        <w:rPr>
          <w:rFonts w:hint="eastAsia" w:ascii="宋体" w:hAnsi="宋体" w:eastAsia="宋体" w:cs="宋体"/>
          <w:sz w:val="24"/>
          <w:szCs w:val="24"/>
          <w:lang w:val="en-US" w:eastAsia="zh-CN"/>
        </w:rPr>
        <w:t>5</w:t>
      </w:r>
      <w:r>
        <w:rPr>
          <w:rFonts w:hint="eastAsia" w:ascii="宋体" w:hAnsi="宋体" w:eastAsia="宋体" w:cs="宋体"/>
          <w:sz w:val="24"/>
          <w:szCs w:val="24"/>
        </w:rPr>
        <w:t>）一旦发生质量问题，</w:t>
      </w:r>
      <w:r>
        <w:rPr>
          <w:rFonts w:hint="eastAsia" w:ascii="宋体" w:hAnsi="宋体" w:eastAsia="宋体" w:cs="宋体"/>
          <w:sz w:val="24"/>
          <w:szCs w:val="24"/>
          <w:lang w:eastAsia="zh-CN"/>
        </w:rPr>
        <w:t>乙方</w:t>
      </w:r>
      <w:r>
        <w:rPr>
          <w:rFonts w:hint="eastAsia" w:ascii="宋体" w:hAnsi="宋体" w:eastAsia="宋体" w:cs="宋体"/>
          <w:sz w:val="24"/>
          <w:szCs w:val="24"/>
        </w:rPr>
        <w:t>保证接到通知后</w:t>
      </w:r>
      <w:r>
        <w:rPr>
          <w:rFonts w:hint="eastAsia" w:ascii="宋体" w:hAnsi="宋体" w:eastAsia="宋体" w:cs="宋体"/>
          <w:sz w:val="24"/>
          <w:szCs w:val="24"/>
          <w:lang w:val="en-US" w:eastAsia="zh-CN"/>
        </w:rPr>
        <w:t>2</w:t>
      </w:r>
      <w:r>
        <w:rPr>
          <w:rFonts w:hint="eastAsia" w:ascii="宋体" w:hAnsi="宋体" w:eastAsia="宋体" w:cs="宋体"/>
          <w:sz w:val="24"/>
          <w:szCs w:val="24"/>
        </w:rPr>
        <w:t>小时内响应，</w:t>
      </w:r>
      <w:r>
        <w:rPr>
          <w:rFonts w:hint="eastAsia" w:ascii="宋体" w:hAnsi="宋体" w:eastAsia="宋体" w:cs="宋体"/>
          <w:sz w:val="24"/>
          <w:szCs w:val="24"/>
          <w:lang w:val="en-US" w:eastAsia="zh-CN"/>
        </w:rPr>
        <w:t>24</w:t>
      </w:r>
      <w:r>
        <w:rPr>
          <w:rFonts w:hint="eastAsia" w:ascii="宋体" w:hAnsi="宋体" w:eastAsia="宋体" w:cs="宋体"/>
          <w:sz w:val="24"/>
          <w:szCs w:val="24"/>
        </w:rPr>
        <w:t>小时内赶到现场</w:t>
      </w:r>
      <w:r>
        <w:rPr>
          <w:rFonts w:hint="eastAsia" w:ascii="宋体" w:hAnsi="宋体" w:eastAsia="宋体" w:cs="宋体"/>
          <w:sz w:val="24"/>
          <w:szCs w:val="24"/>
          <w:lang w:eastAsia="zh-CN"/>
        </w:rPr>
        <w:t>；遇到突发情况，须在</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小时内到达现场。</w:t>
      </w:r>
    </w:p>
    <w:p w14:paraId="5FF9028A">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w:t>
      </w:r>
      <w:r>
        <w:rPr>
          <w:rFonts w:hint="eastAsia" w:ascii="宋体" w:hAnsi="宋体" w:eastAsia="宋体" w:cs="宋体"/>
          <w:sz w:val="24"/>
          <w:szCs w:val="24"/>
          <w:lang w:val="en-US" w:eastAsia="zh-CN"/>
        </w:rPr>
        <w:t>6</w:t>
      </w:r>
      <w:r>
        <w:rPr>
          <w:rFonts w:hint="eastAsia" w:ascii="宋体" w:hAnsi="宋体" w:eastAsia="宋体" w:cs="宋体"/>
          <w:sz w:val="24"/>
          <w:szCs w:val="24"/>
        </w:rPr>
        <w:t>）在临床使用中若出现不良医疗反应现象，经国家相关质量监察部门鉴定后，确实属于产品质量问题的，</w:t>
      </w:r>
      <w:r>
        <w:rPr>
          <w:rFonts w:hint="eastAsia" w:ascii="宋体" w:hAnsi="宋体" w:eastAsia="宋体" w:cs="宋体"/>
          <w:sz w:val="24"/>
          <w:szCs w:val="24"/>
          <w:lang w:eastAsia="zh-CN"/>
        </w:rPr>
        <w:t>乙方</w:t>
      </w:r>
      <w:r>
        <w:rPr>
          <w:rFonts w:hint="eastAsia" w:ascii="宋体" w:hAnsi="宋体" w:eastAsia="宋体" w:cs="宋体"/>
          <w:sz w:val="24"/>
          <w:szCs w:val="24"/>
        </w:rPr>
        <w:t>承担全部责任</w:t>
      </w:r>
      <w:r>
        <w:rPr>
          <w:rFonts w:hint="eastAsia" w:ascii="宋体" w:hAnsi="宋体" w:eastAsia="宋体" w:cs="宋体"/>
          <w:sz w:val="24"/>
          <w:szCs w:val="24"/>
          <w:lang w:eastAsia="zh-CN"/>
        </w:rPr>
        <w:t>；</w:t>
      </w:r>
    </w:p>
    <w:p w14:paraId="1252F3E6">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7</w:t>
      </w:r>
      <w:r>
        <w:rPr>
          <w:rFonts w:hint="eastAsia" w:ascii="宋体" w:hAnsi="宋体" w:eastAsia="宋体" w:cs="宋体"/>
          <w:sz w:val="24"/>
          <w:szCs w:val="24"/>
        </w:rPr>
        <w:t>）若</w:t>
      </w:r>
      <w:r>
        <w:rPr>
          <w:rFonts w:hint="eastAsia" w:ascii="宋体" w:hAnsi="宋体" w:eastAsia="宋体" w:cs="宋体"/>
          <w:sz w:val="24"/>
          <w:szCs w:val="24"/>
          <w:lang w:eastAsia="zh-CN"/>
        </w:rPr>
        <w:t>甲方</w:t>
      </w:r>
      <w:r>
        <w:rPr>
          <w:rFonts w:hint="eastAsia" w:ascii="宋体" w:hAnsi="宋体" w:eastAsia="宋体" w:cs="宋体"/>
          <w:sz w:val="24"/>
          <w:szCs w:val="24"/>
        </w:rPr>
        <w:t>发生与产品相关的事故，不论是否与产品质量有关，</w:t>
      </w:r>
      <w:r>
        <w:rPr>
          <w:rFonts w:hint="eastAsia" w:ascii="宋体" w:hAnsi="宋体" w:eastAsia="宋体" w:cs="宋体"/>
          <w:sz w:val="24"/>
          <w:szCs w:val="24"/>
          <w:lang w:eastAsia="zh-CN"/>
        </w:rPr>
        <w:t>乙方</w:t>
      </w:r>
      <w:r>
        <w:rPr>
          <w:rFonts w:hint="eastAsia" w:ascii="宋体" w:hAnsi="宋体" w:eastAsia="宋体" w:cs="宋体"/>
          <w:sz w:val="24"/>
          <w:szCs w:val="24"/>
        </w:rPr>
        <w:t>必须积极参与</w:t>
      </w:r>
      <w:r>
        <w:rPr>
          <w:rFonts w:hint="eastAsia" w:ascii="宋体" w:hAnsi="宋体" w:eastAsia="宋体" w:cs="宋体"/>
          <w:sz w:val="24"/>
          <w:szCs w:val="24"/>
          <w:lang w:eastAsia="zh-CN"/>
        </w:rPr>
        <w:t>甲方</w:t>
      </w:r>
      <w:r>
        <w:rPr>
          <w:rFonts w:hint="eastAsia" w:ascii="宋体" w:hAnsi="宋体" w:eastAsia="宋体" w:cs="宋体"/>
          <w:sz w:val="24"/>
          <w:szCs w:val="24"/>
        </w:rPr>
        <w:t>事故的处理。</w:t>
      </w:r>
    </w:p>
    <w:p w14:paraId="2AC35EEE">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8</w:t>
      </w:r>
      <w:r>
        <w:rPr>
          <w:rFonts w:hint="eastAsia" w:ascii="宋体" w:hAnsi="宋体" w:eastAsia="宋体" w:cs="宋体"/>
          <w:sz w:val="24"/>
          <w:szCs w:val="24"/>
        </w:rPr>
        <w:t>）保证合同期限内的相关产品授权，不以授权到期为由申请转配送或逾期不供货</w:t>
      </w:r>
      <w:r>
        <w:rPr>
          <w:rFonts w:hint="eastAsia" w:ascii="宋体" w:hAnsi="宋体" w:eastAsia="宋体" w:cs="宋体"/>
          <w:sz w:val="24"/>
          <w:szCs w:val="24"/>
          <w:lang w:eastAsia="zh-CN"/>
        </w:rPr>
        <w:t>；</w:t>
      </w:r>
    </w:p>
    <w:p w14:paraId="3FCE8F10">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10、其他</w:t>
      </w:r>
    </w:p>
    <w:p w14:paraId="497216D2">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eastAsia="zh-CN"/>
        </w:rPr>
        <w:t>乙方</w:t>
      </w:r>
      <w:r>
        <w:rPr>
          <w:rFonts w:hint="eastAsia" w:ascii="宋体" w:hAnsi="宋体" w:eastAsia="宋体" w:cs="宋体"/>
          <w:sz w:val="24"/>
          <w:szCs w:val="24"/>
        </w:rPr>
        <w:t>保证向</w:t>
      </w:r>
      <w:r>
        <w:rPr>
          <w:rFonts w:hint="eastAsia" w:ascii="宋体" w:hAnsi="宋体" w:eastAsia="宋体" w:cs="宋体"/>
          <w:sz w:val="24"/>
          <w:szCs w:val="24"/>
          <w:lang w:eastAsia="zh-CN"/>
        </w:rPr>
        <w:t>甲方</w:t>
      </w:r>
      <w:r>
        <w:rPr>
          <w:rFonts w:hint="eastAsia" w:ascii="宋体" w:hAnsi="宋体" w:eastAsia="宋体" w:cs="宋体"/>
          <w:sz w:val="24"/>
          <w:szCs w:val="24"/>
        </w:rPr>
        <w:t>提供的货物是全新、完整、未使用过的。</w:t>
      </w:r>
    </w:p>
    <w:p w14:paraId="7758274D">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（2）如国家对竞标产品实行注册证登记管理制度的，则</w:t>
      </w:r>
      <w:r>
        <w:rPr>
          <w:rFonts w:hint="eastAsia" w:ascii="宋体" w:hAnsi="宋体" w:eastAsia="宋体" w:cs="宋体"/>
          <w:sz w:val="24"/>
          <w:szCs w:val="24"/>
          <w:lang w:eastAsia="zh-CN"/>
        </w:rPr>
        <w:t>乙方</w:t>
      </w:r>
      <w:r>
        <w:rPr>
          <w:rFonts w:hint="eastAsia" w:ascii="宋体" w:hAnsi="宋体" w:eastAsia="宋体" w:cs="宋体"/>
          <w:sz w:val="24"/>
          <w:szCs w:val="24"/>
        </w:rPr>
        <w:t>必须在响应文件中提供竞标产品的注册证复印件等证明文件，并提供相关的经营许可证复印件。</w:t>
      </w:r>
    </w:p>
    <w:p w14:paraId="6F88FA4D">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eastAsia="zh-CN"/>
        </w:rPr>
        <w:t>乙方</w:t>
      </w:r>
      <w:r>
        <w:rPr>
          <w:rFonts w:hint="eastAsia" w:ascii="宋体" w:hAnsi="宋体" w:eastAsia="宋体" w:cs="宋体"/>
          <w:sz w:val="24"/>
          <w:szCs w:val="24"/>
        </w:rPr>
        <w:t>在签订合同时须向</w:t>
      </w:r>
      <w:r>
        <w:rPr>
          <w:rFonts w:hint="eastAsia" w:ascii="宋体" w:hAnsi="宋体" w:eastAsia="宋体" w:cs="宋体"/>
          <w:sz w:val="24"/>
          <w:szCs w:val="24"/>
          <w:lang w:eastAsia="zh-CN"/>
        </w:rPr>
        <w:t>甲方</w:t>
      </w:r>
      <w:r>
        <w:rPr>
          <w:rFonts w:hint="eastAsia" w:ascii="宋体" w:hAnsi="宋体" w:eastAsia="宋体" w:cs="宋体"/>
          <w:sz w:val="24"/>
          <w:szCs w:val="24"/>
        </w:rPr>
        <w:t>提供供货产品的生产厂家或国内合法代理商出具的有效保证供货证明原件。</w:t>
      </w:r>
    </w:p>
    <w:p w14:paraId="46524287">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（4）</w:t>
      </w:r>
      <w:r>
        <w:rPr>
          <w:rFonts w:hint="eastAsia" w:ascii="宋体" w:hAnsi="宋体" w:eastAsia="宋体" w:cs="宋体"/>
          <w:sz w:val="24"/>
          <w:szCs w:val="24"/>
          <w:lang w:eastAsia="zh-CN"/>
        </w:rPr>
        <w:t>乙方</w:t>
      </w:r>
      <w:r>
        <w:rPr>
          <w:rFonts w:hint="eastAsia" w:ascii="宋体" w:hAnsi="宋体" w:eastAsia="宋体" w:cs="宋体"/>
          <w:sz w:val="24"/>
          <w:szCs w:val="24"/>
        </w:rPr>
        <w:t>成交后，</w:t>
      </w:r>
      <w:r>
        <w:rPr>
          <w:rFonts w:hint="eastAsia" w:ascii="宋体" w:hAnsi="宋体" w:eastAsia="宋体" w:cs="宋体"/>
          <w:sz w:val="24"/>
          <w:szCs w:val="24"/>
          <w:lang w:eastAsia="zh-CN"/>
        </w:rPr>
        <w:t>甲方</w:t>
      </w:r>
      <w:r>
        <w:rPr>
          <w:rFonts w:hint="eastAsia" w:ascii="宋体" w:hAnsi="宋体" w:eastAsia="宋体" w:cs="宋体"/>
          <w:sz w:val="24"/>
          <w:szCs w:val="24"/>
        </w:rPr>
        <w:t>在货物验收阶段发现货物技术参数指标达不到采购文件技术要求，</w:t>
      </w:r>
      <w:r>
        <w:rPr>
          <w:rFonts w:hint="eastAsia" w:ascii="宋体" w:hAnsi="宋体" w:eastAsia="宋体" w:cs="宋体"/>
          <w:sz w:val="24"/>
          <w:szCs w:val="24"/>
          <w:lang w:eastAsia="zh-CN"/>
        </w:rPr>
        <w:t>甲方</w:t>
      </w:r>
      <w:r>
        <w:rPr>
          <w:rFonts w:hint="eastAsia" w:ascii="宋体" w:hAnsi="宋体" w:eastAsia="宋体" w:cs="宋体"/>
          <w:sz w:val="24"/>
          <w:szCs w:val="24"/>
        </w:rPr>
        <w:t>将拒绝收货，因采购时间延迟造成</w:t>
      </w:r>
      <w:r>
        <w:rPr>
          <w:rFonts w:hint="eastAsia" w:ascii="宋体" w:hAnsi="宋体" w:eastAsia="宋体" w:cs="宋体"/>
          <w:sz w:val="24"/>
          <w:szCs w:val="24"/>
          <w:lang w:eastAsia="zh-CN"/>
        </w:rPr>
        <w:t>甲方</w:t>
      </w:r>
      <w:r>
        <w:rPr>
          <w:rFonts w:hint="eastAsia" w:ascii="宋体" w:hAnsi="宋体" w:eastAsia="宋体" w:cs="宋体"/>
          <w:sz w:val="24"/>
          <w:szCs w:val="24"/>
        </w:rPr>
        <w:t>经济等方面损失，将</w:t>
      </w:r>
      <w:r>
        <w:rPr>
          <w:rFonts w:hint="eastAsia" w:ascii="宋体" w:hAnsi="宋体" w:eastAsia="宋体" w:cs="宋体"/>
          <w:sz w:val="24"/>
          <w:szCs w:val="24"/>
          <w:lang w:eastAsia="zh-CN"/>
        </w:rPr>
        <w:t>由乙方</w:t>
      </w:r>
      <w:r>
        <w:rPr>
          <w:rFonts w:hint="eastAsia" w:ascii="宋体" w:hAnsi="宋体" w:eastAsia="宋体" w:cs="宋体"/>
          <w:sz w:val="24"/>
          <w:szCs w:val="24"/>
        </w:rPr>
        <w:t>承担。</w:t>
      </w:r>
    </w:p>
    <w:p w14:paraId="4DDED78A">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（5）如果</w:t>
      </w:r>
      <w:r>
        <w:rPr>
          <w:rFonts w:hint="eastAsia" w:ascii="宋体" w:hAnsi="宋体" w:eastAsia="宋体" w:cs="宋体"/>
          <w:sz w:val="24"/>
          <w:szCs w:val="24"/>
          <w:lang w:eastAsia="zh-CN"/>
        </w:rPr>
        <w:t>乙方</w:t>
      </w:r>
      <w:r>
        <w:rPr>
          <w:rFonts w:hint="eastAsia" w:ascii="宋体" w:hAnsi="宋体" w:eastAsia="宋体" w:cs="宋体"/>
          <w:sz w:val="24"/>
          <w:szCs w:val="24"/>
        </w:rPr>
        <w:t>以价格上调原因停止供货，需承担的相应违约责任，违约金可以从</w:t>
      </w:r>
      <w:r>
        <w:rPr>
          <w:rFonts w:hint="eastAsia" w:ascii="宋体" w:hAnsi="宋体" w:eastAsia="宋体" w:cs="宋体"/>
          <w:sz w:val="24"/>
          <w:szCs w:val="24"/>
          <w:lang w:eastAsia="zh-CN"/>
        </w:rPr>
        <w:t>甲方</w:t>
      </w:r>
      <w:r>
        <w:rPr>
          <w:rFonts w:hint="eastAsia" w:ascii="宋体" w:hAnsi="宋体" w:eastAsia="宋体" w:cs="宋体"/>
          <w:sz w:val="24"/>
          <w:szCs w:val="24"/>
        </w:rPr>
        <w:t>应付的货款中直接扣除；如因停产不能供货，需有厂家出具的停产证明。</w:t>
      </w:r>
    </w:p>
    <w:p w14:paraId="47964FAE">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11、合同生效及其它</w:t>
      </w:r>
    </w:p>
    <w:p w14:paraId="2367E05A">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本合同一式</w:t>
      </w:r>
      <w:r>
        <w:rPr>
          <w:rFonts w:hint="eastAsia" w:hAnsi="宋体" w:eastAsia="宋体" w:cs="宋体"/>
          <w:sz w:val="24"/>
          <w:szCs w:val="24"/>
          <w:lang w:eastAsia="zh-CN"/>
        </w:rPr>
        <w:t>六</w:t>
      </w:r>
      <w:r>
        <w:rPr>
          <w:rFonts w:hint="eastAsia" w:ascii="宋体" w:hAnsi="宋体" w:eastAsia="宋体" w:cs="宋体"/>
          <w:sz w:val="24"/>
          <w:szCs w:val="24"/>
        </w:rPr>
        <w:t>份，经甲乙双方法定代表人或委托代理人签字(或签章）并加盖公章</w:t>
      </w:r>
      <w:r>
        <w:rPr>
          <w:rFonts w:hint="eastAsia" w:hAnsi="宋体" w:eastAsia="宋体" w:cs="宋体"/>
          <w:sz w:val="24"/>
          <w:szCs w:val="24"/>
          <w:lang w:eastAsia="zh-CN"/>
        </w:rPr>
        <w:t>（或合同章）</w:t>
      </w:r>
      <w:r>
        <w:rPr>
          <w:rFonts w:hint="eastAsia" w:ascii="宋体" w:hAnsi="宋体" w:eastAsia="宋体" w:cs="宋体"/>
          <w:sz w:val="24"/>
          <w:szCs w:val="24"/>
        </w:rPr>
        <w:t>后生效。甲方</w:t>
      </w:r>
      <w:r>
        <w:rPr>
          <w:rFonts w:hint="eastAsia" w:hAnsi="宋体" w:eastAsia="宋体" w:cs="宋体"/>
          <w:sz w:val="24"/>
          <w:szCs w:val="24"/>
          <w:lang w:eastAsia="zh-CN"/>
        </w:rPr>
        <w:t>五</w:t>
      </w:r>
      <w:r>
        <w:rPr>
          <w:rFonts w:hint="eastAsia" w:ascii="宋体" w:hAnsi="宋体" w:eastAsia="宋体" w:cs="宋体"/>
          <w:sz w:val="24"/>
          <w:szCs w:val="24"/>
        </w:rPr>
        <w:t>份，乙方一份(可根据需要增加）</w:t>
      </w:r>
      <w:r>
        <w:rPr>
          <w:rFonts w:hint="eastAsia" w:hAnsi="宋体" w:eastAsia="宋体" w:cs="宋体"/>
          <w:sz w:val="24"/>
          <w:szCs w:val="24"/>
          <w:lang w:eastAsia="zh-CN"/>
        </w:rPr>
        <w:t>，（</w:t>
      </w:r>
      <w:r>
        <w:rPr>
          <w:rFonts w:hint="eastAsia" w:hAnsi="宋体" w:eastAsia="宋体" w:cs="宋体"/>
          <w:sz w:val="24"/>
          <w:szCs w:val="24"/>
          <w:lang w:val="en-US" w:eastAsia="zh-CN"/>
        </w:rPr>
        <w:t>如为代理人签字，需附授权委托书</w:t>
      </w:r>
      <w:r>
        <w:rPr>
          <w:rFonts w:hint="eastAsia" w:hAnsi="宋体" w:eastAsia="宋体" w:cs="宋体"/>
          <w:sz w:val="24"/>
          <w:szCs w:val="24"/>
          <w:lang w:eastAsia="zh-CN"/>
        </w:rPr>
        <w:t>）</w:t>
      </w:r>
      <w:r>
        <w:rPr>
          <w:rFonts w:hint="eastAsia" w:ascii="宋体" w:hAnsi="宋体" w:eastAsia="宋体" w:cs="宋体"/>
          <w:sz w:val="24"/>
          <w:szCs w:val="24"/>
        </w:rPr>
        <w:t>。</w:t>
      </w:r>
    </w:p>
    <w:tbl>
      <w:tblPr>
        <w:tblStyle w:val="29"/>
        <w:tblpPr w:leftFromText="180" w:rightFromText="180" w:vertAnchor="text" w:horzAnchor="page" w:tblpX="1365" w:tblpY="539"/>
        <w:tblOverlap w:val="never"/>
        <w:tblW w:w="97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76"/>
        <w:gridCol w:w="4884"/>
      </w:tblGrid>
      <w:tr w14:paraId="39247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5" w:hRule="atLeast"/>
          <w:jc w:val="center"/>
        </w:trPr>
        <w:tc>
          <w:tcPr>
            <w:tcW w:w="4876" w:type="dxa"/>
            <w:noWrap w:val="0"/>
            <w:vAlign w:val="center"/>
          </w:tcPr>
          <w:p w14:paraId="7EBD1846">
            <w:pPr>
              <w:pageBreakBefore w:val="0"/>
              <w:widowControl w:val="0"/>
              <w:kinsoku/>
              <w:wordWrap w:val="0"/>
              <w:overflowPunct/>
              <w:topLinePunct w:val="0"/>
              <w:autoSpaceDE/>
              <w:autoSpaceDN/>
              <w:bidi w:val="0"/>
              <w:adjustRightInd/>
              <w:spacing w:line="420" w:lineRule="exact"/>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 xml:space="preserve">甲方(章) </w:t>
            </w:r>
          </w:p>
          <w:p w14:paraId="2C099BCA">
            <w:pPr>
              <w:pageBreakBefore w:val="0"/>
              <w:widowControl w:val="0"/>
              <w:kinsoku/>
              <w:wordWrap w:val="0"/>
              <w:overflowPunct/>
              <w:topLinePunct w:val="0"/>
              <w:autoSpaceDE/>
              <w:autoSpaceDN/>
              <w:bidi w:val="0"/>
              <w:adjustRightInd/>
              <w:spacing w:line="420" w:lineRule="exact"/>
              <w:jc w:val="both"/>
              <w:textAlignment w:val="auto"/>
              <w:rPr>
                <w:rFonts w:hint="eastAsia" w:ascii="宋体" w:hAnsi="宋体" w:eastAsia="宋体" w:cs="宋体"/>
                <w:b/>
                <w:bCs/>
                <w:sz w:val="24"/>
                <w:szCs w:val="24"/>
                <w:highlight w:val="none"/>
                <w:lang w:val="en-US" w:eastAsia="zh-CN"/>
              </w:rPr>
            </w:pPr>
          </w:p>
          <w:p w14:paraId="2D5F5754">
            <w:pPr>
              <w:pageBreakBefore w:val="0"/>
              <w:widowControl w:val="0"/>
              <w:kinsoku/>
              <w:wordWrap w:val="0"/>
              <w:overflowPunct/>
              <w:topLinePunct w:val="0"/>
              <w:autoSpaceDE/>
              <w:autoSpaceDN/>
              <w:bidi w:val="0"/>
              <w:adjustRightInd/>
              <w:spacing w:line="420" w:lineRule="exact"/>
              <w:jc w:val="both"/>
              <w:textAlignment w:val="auto"/>
              <w:rPr>
                <w:rFonts w:hint="eastAsia" w:ascii="宋体" w:hAnsi="宋体" w:eastAsia="宋体" w:cs="宋体"/>
                <w:b/>
                <w:bCs/>
                <w:color w:val="auto"/>
                <w:sz w:val="24"/>
                <w:szCs w:val="24"/>
                <w:highlight w:val="none"/>
              </w:rPr>
            </w:pPr>
          </w:p>
        </w:tc>
        <w:tc>
          <w:tcPr>
            <w:tcW w:w="4884" w:type="dxa"/>
            <w:noWrap w:val="0"/>
            <w:vAlign w:val="center"/>
          </w:tcPr>
          <w:p w14:paraId="52BC2105">
            <w:pPr>
              <w:pageBreakBefore w:val="0"/>
              <w:widowControl w:val="0"/>
              <w:kinsoku/>
              <w:wordWrap w:val="0"/>
              <w:overflowPunct/>
              <w:topLinePunct w:val="0"/>
              <w:autoSpaceDE/>
              <w:autoSpaceDN/>
              <w:bidi w:val="0"/>
              <w:adjustRightInd/>
              <w:spacing w:line="420" w:lineRule="exact"/>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lang w:eastAsia="zh-CN"/>
              </w:rPr>
              <w:t>乙方</w:t>
            </w:r>
            <w:r>
              <w:rPr>
                <w:rFonts w:hint="eastAsia" w:ascii="宋体" w:hAnsi="宋体" w:eastAsia="宋体" w:cs="宋体"/>
                <w:b/>
                <w:bCs/>
                <w:sz w:val="24"/>
                <w:szCs w:val="24"/>
                <w:highlight w:val="none"/>
              </w:rPr>
              <w:t xml:space="preserve">(章) </w:t>
            </w:r>
          </w:p>
          <w:p w14:paraId="34BDB49B">
            <w:pPr>
              <w:pageBreakBefore w:val="0"/>
              <w:widowControl w:val="0"/>
              <w:kinsoku/>
              <w:wordWrap w:val="0"/>
              <w:overflowPunct/>
              <w:topLinePunct w:val="0"/>
              <w:autoSpaceDE/>
              <w:autoSpaceDN/>
              <w:bidi w:val="0"/>
              <w:adjustRightInd/>
              <w:spacing w:line="420" w:lineRule="exact"/>
              <w:jc w:val="both"/>
              <w:textAlignment w:val="auto"/>
              <w:rPr>
                <w:rFonts w:hint="eastAsia" w:ascii="宋体" w:hAnsi="宋体" w:eastAsia="宋体" w:cs="宋体"/>
                <w:b/>
                <w:bCs/>
                <w:sz w:val="24"/>
                <w:szCs w:val="24"/>
                <w:highlight w:val="none"/>
                <w:lang w:val="en-US" w:eastAsia="zh-CN"/>
              </w:rPr>
            </w:pPr>
          </w:p>
          <w:p w14:paraId="68413B70">
            <w:pPr>
              <w:pageBreakBefore w:val="0"/>
              <w:widowControl w:val="0"/>
              <w:kinsoku/>
              <w:wordWrap w:val="0"/>
              <w:overflowPunct/>
              <w:topLinePunct w:val="0"/>
              <w:autoSpaceDE/>
              <w:autoSpaceDN/>
              <w:bidi w:val="0"/>
              <w:adjustRightInd/>
              <w:spacing w:line="420" w:lineRule="exact"/>
              <w:jc w:val="both"/>
              <w:textAlignment w:val="auto"/>
              <w:rPr>
                <w:rFonts w:hint="eastAsia" w:ascii="宋体" w:hAnsi="宋体" w:eastAsia="宋体" w:cs="宋体"/>
                <w:sz w:val="24"/>
                <w:szCs w:val="24"/>
                <w:highlight w:val="none"/>
              </w:rPr>
            </w:pPr>
          </w:p>
        </w:tc>
      </w:tr>
      <w:tr w14:paraId="3850C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5" w:hRule="atLeast"/>
          <w:jc w:val="center"/>
        </w:trPr>
        <w:tc>
          <w:tcPr>
            <w:tcW w:w="4876" w:type="dxa"/>
            <w:noWrap w:val="0"/>
            <w:vAlign w:val="center"/>
          </w:tcPr>
          <w:p w14:paraId="18108855">
            <w:pPr>
              <w:pageBreakBefore w:val="0"/>
              <w:widowControl w:val="0"/>
              <w:kinsoku/>
              <w:wordWrap w:val="0"/>
              <w:overflowPunct/>
              <w:topLinePunct w:val="0"/>
              <w:autoSpaceDE/>
              <w:autoSpaceDN/>
              <w:bidi w:val="0"/>
              <w:adjustRightInd/>
              <w:spacing w:line="420" w:lineRule="exact"/>
              <w:textAlignment w:val="auto"/>
              <w:rPr>
                <w:rFonts w:hint="eastAsia" w:ascii="宋体" w:hAnsi="宋体" w:eastAsia="宋体" w:cs="宋体"/>
                <w:color w:val="auto"/>
                <w:sz w:val="24"/>
                <w:szCs w:val="24"/>
                <w:highlight w:val="none"/>
              </w:rPr>
            </w:pPr>
            <w:r>
              <w:rPr>
                <w:rFonts w:hint="eastAsia" w:ascii="宋体" w:hAnsi="宋体" w:eastAsia="宋体" w:cs="宋体"/>
                <w:sz w:val="24"/>
                <w:szCs w:val="24"/>
                <w:highlight w:val="none"/>
              </w:rPr>
              <w:t>单位地址：</w:t>
            </w:r>
          </w:p>
        </w:tc>
        <w:tc>
          <w:tcPr>
            <w:tcW w:w="4884" w:type="dxa"/>
            <w:noWrap w:val="0"/>
            <w:vAlign w:val="center"/>
          </w:tcPr>
          <w:p w14:paraId="4D2E4FAB">
            <w:pPr>
              <w:pageBreakBefore w:val="0"/>
              <w:widowControl w:val="0"/>
              <w:kinsoku/>
              <w:wordWrap w:val="0"/>
              <w:overflowPunct/>
              <w:topLinePunct w:val="0"/>
              <w:autoSpaceDE/>
              <w:autoSpaceDN/>
              <w:bidi w:val="0"/>
              <w:adjustRightInd/>
              <w:spacing w:line="420" w:lineRule="exact"/>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rPr>
              <w:t>单位地址：</w:t>
            </w:r>
          </w:p>
        </w:tc>
      </w:tr>
      <w:tr w14:paraId="5528A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1" w:hRule="atLeast"/>
          <w:jc w:val="center"/>
        </w:trPr>
        <w:tc>
          <w:tcPr>
            <w:tcW w:w="4876" w:type="dxa"/>
            <w:noWrap w:val="0"/>
            <w:vAlign w:val="center"/>
          </w:tcPr>
          <w:p w14:paraId="2BC1DCCD">
            <w:pPr>
              <w:pageBreakBefore w:val="0"/>
              <w:widowControl w:val="0"/>
              <w:kinsoku/>
              <w:wordWrap w:val="0"/>
              <w:overflowPunct/>
              <w:topLinePunct w:val="0"/>
              <w:autoSpaceDE/>
              <w:autoSpaceDN/>
              <w:bidi w:val="0"/>
              <w:adjustRightInd/>
              <w:spacing w:line="420" w:lineRule="exact"/>
              <w:textAlignment w:val="auto"/>
              <w:rPr>
                <w:rFonts w:hint="eastAsia" w:ascii="宋体" w:hAnsi="宋体" w:eastAsia="宋体" w:cs="宋体"/>
                <w:color w:val="auto"/>
                <w:sz w:val="24"/>
                <w:szCs w:val="24"/>
                <w:highlight w:val="none"/>
              </w:rPr>
            </w:pPr>
            <w:r>
              <w:rPr>
                <w:rFonts w:hint="eastAsia" w:ascii="宋体" w:hAnsi="宋体" w:eastAsia="宋体" w:cs="宋体"/>
                <w:sz w:val="24"/>
                <w:szCs w:val="24"/>
                <w:highlight w:val="none"/>
              </w:rPr>
              <w:t>法定代表人：</w:t>
            </w:r>
          </w:p>
        </w:tc>
        <w:tc>
          <w:tcPr>
            <w:tcW w:w="4884" w:type="dxa"/>
            <w:noWrap w:val="0"/>
            <w:vAlign w:val="center"/>
          </w:tcPr>
          <w:p w14:paraId="088D194E">
            <w:pPr>
              <w:pageBreakBefore w:val="0"/>
              <w:widowControl w:val="0"/>
              <w:kinsoku/>
              <w:wordWrap w:val="0"/>
              <w:overflowPunct/>
              <w:topLinePunct w:val="0"/>
              <w:autoSpaceDE/>
              <w:autoSpaceDN/>
              <w:bidi w:val="0"/>
              <w:adjustRightInd/>
              <w:spacing w:line="42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法定代表人：</w:t>
            </w:r>
          </w:p>
        </w:tc>
      </w:tr>
      <w:tr w14:paraId="25122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1" w:hRule="atLeast"/>
          <w:jc w:val="center"/>
        </w:trPr>
        <w:tc>
          <w:tcPr>
            <w:tcW w:w="4876" w:type="dxa"/>
            <w:noWrap w:val="0"/>
            <w:vAlign w:val="center"/>
          </w:tcPr>
          <w:p w14:paraId="5494357B">
            <w:pPr>
              <w:pageBreakBefore w:val="0"/>
              <w:widowControl w:val="0"/>
              <w:kinsoku/>
              <w:wordWrap w:val="0"/>
              <w:overflowPunct/>
              <w:topLinePunct w:val="0"/>
              <w:autoSpaceDE/>
              <w:autoSpaceDN/>
              <w:bidi w:val="0"/>
              <w:adjustRightInd/>
              <w:spacing w:line="420" w:lineRule="exact"/>
              <w:textAlignment w:val="auto"/>
              <w:rPr>
                <w:rFonts w:hint="eastAsia" w:ascii="宋体" w:hAnsi="宋体" w:eastAsia="宋体" w:cs="宋体"/>
                <w:color w:val="auto"/>
                <w:sz w:val="24"/>
                <w:szCs w:val="24"/>
                <w:highlight w:val="none"/>
              </w:rPr>
            </w:pPr>
            <w:r>
              <w:rPr>
                <w:rFonts w:hint="eastAsia" w:ascii="宋体" w:hAnsi="宋体" w:eastAsia="宋体" w:cs="宋体"/>
                <w:sz w:val="24"/>
                <w:szCs w:val="24"/>
                <w:highlight w:val="none"/>
              </w:rPr>
              <w:t>委托代理人：</w:t>
            </w:r>
          </w:p>
        </w:tc>
        <w:tc>
          <w:tcPr>
            <w:tcW w:w="4884" w:type="dxa"/>
            <w:noWrap w:val="0"/>
            <w:vAlign w:val="center"/>
          </w:tcPr>
          <w:p w14:paraId="4B87401D">
            <w:pPr>
              <w:pageBreakBefore w:val="0"/>
              <w:widowControl w:val="0"/>
              <w:kinsoku/>
              <w:wordWrap w:val="0"/>
              <w:overflowPunct/>
              <w:topLinePunct w:val="0"/>
              <w:autoSpaceDE/>
              <w:autoSpaceDN/>
              <w:bidi w:val="0"/>
              <w:adjustRightInd/>
              <w:spacing w:line="420" w:lineRule="exac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委托代理人</w:t>
            </w:r>
            <w:r>
              <w:rPr>
                <w:rFonts w:hint="eastAsia" w:ascii="宋体" w:hAnsi="宋体" w:eastAsia="宋体" w:cs="宋体"/>
                <w:sz w:val="24"/>
                <w:szCs w:val="24"/>
                <w:highlight w:val="none"/>
                <w:lang w:eastAsia="zh-CN"/>
              </w:rPr>
              <w:t>：</w:t>
            </w:r>
          </w:p>
        </w:tc>
      </w:tr>
      <w:tr w14:paraId="3E745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2" w:hRule="atLeast"/>
          <w:jc w:val="center"/>
        </w:trPr>
        <w:tc>
          <w:tcPr>
            <w:tcW w:w="4876" w:type="dxa"/>
            <w:noWrap w:val="0"/>
            <w:vAlign w:val="center"/>
          </w:tcPr>
          <w:p w14:paraId="40C420F3">
            <w:pPr>
              <w:pageBreakBefore w:val="0"/>
              <w:widowControl w:val="0"/>
              <w:kinsoku/>
              <w:wordWrap w:val="0"/>
              <w:overflowPunct/>
              <w:topLinePunct w:val="0"/>
              <w:autoSpaceDE/>
              <w:autoSpaceDN/>
              <w:bidi w:val="0"/>
              <w:adjustRightInd/>
              <w:spacing w:line="420" w:lineRule="exact"/>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sz w:val="24"/>
                <w:szCs w:val="24"/>
                <w:highlight w:val="none"/>
              </w:rPr>
              <w:t>电话：</w:t>
            </w:r>
          </w:p>
        </w:tc>
        <w:tc>
          <w:tcPr>
            <w:tcW w:w="4884" w:type="dxa"/>
            <w:noWrap w:val="0"/>
            <w:vAlign w:val="center"/>
          </w:tcPr>
          <w:p w14:paraId="56FF9763">
            <w:pPr>
              <w:pageBreakBefore w:val="0"/>
              <w:widowControl w:val="0"/>
              <w:kinsoku/>
              <w:wordWrap w:val="0"/>
              <w:overflowPunct/>
              <w:topLinePunct w:val="0"/>
              <w:autoSpaceDE/>
              <w:autoSpaceDN/>
              <w:bidi w:val="0"/>
              <w:adjustRightInd/>
              <w:spacing w:line="420" w:lineRule="exact"/>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rPr>
              <w:t>电话：</w:t>
            </w:r>
          </w:p>
        </w:tc>
      </w:tr>
      <w:tr w14:paraId="7BA12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7" w:hRule="atLeast"/>
          <w:jc w:val="center"/>
        </w:trPr>
        <w:tc>
          <w:tcPr>
            <w:tcW w:w="4876" w:type="dxa"/>
            <w:noWrap w:val="0"/>
            <w:vAlign w:val="center"/>
          </w:tcPr>
          <w:p w14:paraId="556A1045">
            <w:pPr>
              <w:pageBreakBefore w:val="0"/>
              <w:widowControl w:val="0"/>
              <w:kinsoku/>
              <w:wordWrap w:val="0"/>
              <w:overflowPunct/>
              <w:topLinePunct w:val="0"/>
              <w:autoSpaceDE/>
              <w:autoSpaceDN/>
              <w:bidi w:val="0"/>
              <w:adjustRightInd/>
              <w:spacing w:line="420" w:lineRule="exact"/>
              <w:textAlignment w:val="auto"/>
              <w:rPr>
                <w:rFonts w:hint="eastAsia" w:ascii="宋体" w:hAnsi="宋体" w:eastAsia="宋体" w:cs="宋体"/>
                <w:color w:val="auto"/>
                <w:sz w:val="24"/>
                <w:szCs w:val="24"/>
                <w:highlight w:val="none"/>
              </w:rPr>
            </w:pPr>
            <w:r>
              <w:rPr>
                <w:rFonts w:hint="eastAsia" w:ascii="宋体" w:hAnsi="宋体" w:eastAsia="宋体" w:cs="宋体"/>
                <w:sz w:val="24"/>
                <w:szCs w:val="24"/>
                <w:highlight w:val="none"/>
              </w:rPr>
              <w:t>电子邮箱：</w:t>
            </w:r>
          </w:p>
        </w:tc>
        <w:tc>
          <w:tcPr>
            <w:tcW w:w="4884" w:type="dxa"/>
            <w:noWrap w:val="0"/>
            <w:vAlign w:val="center"/>
          </w:tcPr>
          <w:p w14:paraId="11B23542">
            <w:pPr>
              <w:pageBreakBefore w:val="0"/>
              <w:widowControl w:val="0"/>
              <w:kinsoku/>
              <w:wordWrap w:val="0"/>
              <w:overflowPunct/>
              <w:topLinePunct w:val="0"/>
              <w:autoSpaceDE/>
              <w:autoSpaceDN/>
              <w:bidi w:val="0"/>
              <w:adjustRightInd/>
              <w:spacing w:line="420" w:lineRule="exact"/>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rPr>
              <w:t>电子邮箱：</w:t>
            </w:r>
          </w:p>
        </w:tc>
      </w:tr>
      <w:tr w14:paraId="06C15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1" w:hRule="atLeast"/>
          <w:jc w:val="center"/>
        </w:trPr>
        <w:tc>
          <w:tcPr>
            <w:tcW w:w="4876" w:type="dxa"/>
            <w:noWrap w:val="0"/>
            <w:vAlign w:val="center"/>
          </w:tcPr>
          <w:p w14:paraId="60FDB18F">
            <w:pPr>
              <w:pageBreakBefore w:val="0"/>
              <w:widowControl w:val="0"/>
              <w:kinsoku/>
              <w:wordWrap w:val="0"/>
              <w:overflowPunct/>
              <w:topLinePunct w:val="0"/>
              <w:autoSpaceDE/>
              <w:autoSpaceDN/>
              <w:bidi w:val="0"/>
              <w:adjustRightInd/>
              <w:spacing w:line="420" w:lineRule="exact"/>
              <w:textAlignment w:val="auto"/>
              <w:rPr>
                <w:rFonts w:hint="eastAsia" w:ascii="宋体" w:hAnsi="宋体" w:eastAsia="宋体" w:cs="宋体"/>
                <w:color w:val="auto"/>
                <w:sz w:val="24"/>
                <w:szCs w:val="24"/>
                <w:highlight w:val="none"/>
              </w:rPr>
            </w:pPr>
            <w:r>
              <w:rPr>
                <w:rFonts w:hint="eastAsia" w:ascii="宋体" w:hAnsi="宋体" w:eastAsia="宋体" w:cs="宋体"/>
                <w:sz w:val="24"/>
                <w:szCs w:val="24"/>
                <w:highlight w:val="none"/>
              </w:rPr>
              <w:t>开户银行：</w:t>
            </w:r>
          </w:p>
        </w:tc>
        <w:tc>
          <w:tcPr>
            <w:tcW w:w="4884" w:type="dxa"/>
            <w:noWrap w:val="0"/>
            <w:vAlign w:val="center"/>
          </w:tcPr>
          <w:p w14:paraId="00CAC557">
            <w:pPr>
              <w:pageBreakBefore w:val="0"/>
              <w:widowControl w:val="0"/>
              <w:kinsoku/>
              <w:wordWrap w:val="0"/>
              <w:overflowPunct/>
              <w:topLinePunct w:val="0"/>
              <w:autoSpaceDE/>
              <w:autoSpaceDN/>
              <w:bidi w:val="0"/>
              <w:adjustRightInd/>
              <w:spacing w:line="42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开户银行</w:t>
            </w:r>
            <w:r>
              <w:rPr>
                <w:rFonts w:hint="eastAsia" w:ascii="宋体" w:hAnsi="宋体" w:eastAsia="宋体" w:cs="宋体"/>
                <w:sz w:val="24"/>
                <w:szCs w:val="24"/>
                <w:highlight w:val="none"/>
                <w:lang w:eastAsia="zh-CN"/>
              </w:rPr>
              <w:t>：</w:t>
            </w:r>
          </w:p>
        </w:tc>
      </w:tr>
      <w:tr w14:paraId="0772C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1" w:hRule="atLeast"/>
          <w:jc w:val="center"/>
        </w:trPr>
        <w:tc>
          <w:tcPr>
            <w:tcW w:w="4876" w:type="dxa"/>
            <w:noWrap w:val="0"/>
            <w:vAlign w:val="center"/>
          </w:tcPr>
          <w:p w14:paraId="38A19FE3">
            <w:pPr>
              <w:pageBreakBefore w:val="0"/>
              <w:widowControl w:val="0"/>
              <w:kinsoku/>
              <w:wordWrap w:val="0"/>
              <w:overflowPunct/>
              <w:topLinePunct w:val="0"/>
              <w:autoSpaceDE/>
              <w:autoSpaceDN/>
              <w:bidi w:val="0"/>
              <w:adjustRightInd/>
              <w:spacing w:line="420" w:lineRule="exac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开户名称：</w:t>
            </w:r>
          </w:p>
        </w:tc>
        <w:tc>
          <w:tcPr>
            <w:tcW w:w="4884" w:type="dxa"/>
            <w:noWrap w:val="0"/>
            <w:vAlign w:val="center"/>
          </w:tcPr>
          <w:p w14:paraId="63755837">
            <w:pPr>
              <w:pageBreakBefore w:val="0"/>
              <w:widowControl w:val="0"/>
              <w:kinsoku/>
              <w:wordWrap w:val="0"/>
              <w:overflowPunct/>
              <w:topLinePunct w:val="0"/>
              <w:autoSpaceDE/>
              <w:autoSpaceDN/>
              <w:bidi w:val="0"/>
              <w:adjustRightInd/>
              <w:spacing w:line="420" w:lineRule="exact"/>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开户名称：</w:t>
            </w:r>
          </w:p>
        </w:tc>
      </w:tr>
      <w:tr w14:paraId="79294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6" w:hRule="atLeast"/>
          <w:jc w:val="center"/>
        </w:trPr>
        <w:tc>
          <w:tcPr>
            <w:tcW w:w="4876" w:type="dxa"/>
            <w:noWrap w:val="0"/>
            <w:vAlign w:val="center"/>
          </w:tcPr>
          <w:p w14:paraId="4257A7AF">
            <w:pPr>
              <w:pageBreakBefore w:val="0"/>
              <w:widowControl w:val="0"/>
              <w:kinsoku/>
              <w:wordWrap w:val="0"/>
              <w:overflowPunct/>
              <w:topLinePunct w:val="0"/>
              <w:autoSpaceDE/>
              <w:autoSpaceDN/>
              <w:bidi w:val="0"/>
              <w:adjustRightInd/>
              <w:spacing w:line="420" w:lineRule="exact"/>
              <w:textAlignment w:val="auto"/>
              <w:rPr>
                <w:rFonts w:hint="eastAsia" w:ascii="宋体" w:hAnsi="宋体" w:eastAsia="宋体" w:cs="宋体"/>
                <w:color w:val="auto"/>
                <w:sz w:val="24"/>
                <w:szCs w:val="24"/>
                <w:highlight w:val="none"/>
              </w:rPr>
            </w:pPr>
            <w:r>
              <w:rPr>
                <w:rFonts w:hint="eastAsia" w:ascii="宋体" w:hAnsi="宋体" w:eastAsia="宋体" w:cs="宋体"/>
                <w:sz w:val="24"/>
                <w:szCs w:val="24"/>
                <w:highlight w:val="none"/>
              </w:rPr>
              <w:t>账号：</w:t>
            </w:r>
          </w:p>
        </w:tc>
        <w:tc>
          <w:tcPr>
            <w:tcW w:w="4884" w:type="dxa"/>
            <w:noWrap w:val="0"/>
            <w:vAlign w:val="center"/>
          </w:tcPr>
          <w:p w14:paraId="79DFDB4F">
            <w:pPr>
              <w:pageBreakBefore w:val="0"/>
              <w:widowControl w:val="0"/>
              <w:kinsoku/>
              <w:wordWrap w:val="0"/>
              <w:overflowPunct/>
              <w:topLinePunct w:val="0"/>
              <w:autoSpaceDE/>
              <w:autoSpaceDN/>
              <w:bidi w:val="0"/>
              <w:adjustRightInd/>
              <w:spacing w:line="420" w:lineRule="exact"/>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账号：</w:t>
            </w:r>
          </w:p>
        </w:tc>
      </w:tr>
      <w:tr w14:paraId="71B6F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2" w:hRule="atLeast"/>
          <w:jc w:val="center"/>
        </w:trPr>
        <w:tc>
          <w:tcPr>
            <w:tcW w:w="4876" w:type="dxa"/>
            <w:noWrap w:val="0"/>
            <w:vAlign w:val="center"/>
          </w:tcPr>
          <w:p w14:paraId="1B29CAB5">
            <w:pPr>
              <w:pageBreakBefore w:val="0"/>
              <w:widowControl w:val="0"/>
              <w:kinsoku/>
              <w:wordWrap w:val="0"/>
              <w:overflowPunct/>
              <w:topLinePunct w:val="0"/>
              <w:autoSpaceDE/>
              <w:autoSpaceDN/>
              <w:bidi w:val="0"/>
              <w:adjustRightInd/>
              <w:spacing w:line="420" w:lineRule="exact"/>
              <w:textAlignment w:val="auto"/>
              <w:rPr>
                <w:rFonts w:hint="eastAsia" w:ascii="宋体" w:hAnsi="宋体" w:eastAsia="宋体" w:cs="宋体"/>
                <w:color w:val="auto"/>
                <w:sz w:val="24"/>
                <w:szCs w:val="24"/>
                <w:highlight w:val="none"/>
              </w:rPr>
            </w:pPr>
            <w:r>
              <w:rPr>
                <w:rFonts w:hint="eastAsia" w:ascii="宋体" w:hAnsi="宋体" w:eastAsia="宋体" w:cs="宋体"/>
                <w:sz w:val="24"/>
                <w:szCs w:val="24"/>
                <w:highlight w:val="none"/>
              </w:rPr>
              <w:t>邮政编码：</w:t>
            </w:r>
          </w:p>
        </w:tc>
        <w:tc>
          <w:tcPr>
            <w:tcW w:w="4884" w:type="dxa"/>
            <w:noWrap w:val="0"/>
            <w:vAlign w:val="center"/>
          </w:tcPr>
          <w:p w14:paraId="018BDA10">
            <w:pPr>
              <w:pageBreakBefore w:val="0"/>
              <w:widowControl w:val="0"/>
              <w:kinsoku/>
              <w:wordWrap w:val="0"/>
              <w:overflowPunct/>
              <w:topLinePunct w:val="0"/>
              <w:autoSpaceDE/>
              <w:autoSpaceDN/>
              <w:bidi w:val="0"/>
              <w:adjustRightInd/>
              <w:spacing w:line="420" w:lineRule="exact"/>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rPr>
              <w:t>邮政编码：</w:t>
            </w:r>
          </w:p>
        </w:tc>
      </w:tr>
    </w:tbl>
    <w:p w14:paraId="6FAD11C5">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textAlignment w:val="auto"/>
        <w:rPr>
          <w:rFonts w:hint="eastAsia" w:ascii="宋体" w:hAnsi="宋体" w:eastAsia="宋体" w:cs="宋体"/>
          <w:sz w:val="24"/>
          <w:szCs w:val="24"/>
        </w:rPr>
      </w:pPr>
    </w:p>
    <w:p w14:paraId="2B95973A">
      <w:pPr>
        <w:pStyle w:val="17"/>
        <w:keepNext w:val="0"/>
        <w:keepLines w:val="0"/>
        <w:pageBreakBefore w:val="0"/>
        <w:widowControl w:val="0"/>
        <w:tabs>
          <w:tab w:val="left" w:leader="middleDot" w:pos="9240"/>
        </w:tabs>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合同签订时间： </w:t>
      </w:r>
      <w:r>
        <w:rPr>
          <w:rFonts w:hint="eastAsia" w:hAnsi="宋体" w:eastAsia="宋体" w:cs="宋体"/>
          <w:sz w:val="24"/>
          <w:szCs w:val="24"/>
          <w:lang w:val="en-US" w:eastAsia="zh-CN"/>
        </w:rPr>
        <w:t>2026</w:t>
      </w:r>
      <w:r>
        <w:rPr>
          <w:rFonts w:hint="eastAsia" w:ascii="宋体" w:hAnsi="宋体" w:eastAsia="宋体" w:cs="宋体"/>
          <w:sz w:val="24"/>
          <w:szCs w:val="24"/>
        </w:rPr>
        <w:t>年    月    日</w:t>
      </w:r>
    </w:p>
    <w:p w14:paraId="45AAE10F">
      <w:pPr>
        <w:pStyle w:val="17"/>
        <w:keepNext w:val="0"/>
        <w:keepLines w:val="0"/>
        <w:pageBreakBefore w:val="0"/>
        <w:widowControl w:val="0"/>
        <w:tabs>
          <w:tab w:val="left" w:leader="middleDot" w:pos="9240"/>
        </w:tabs>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b/>
          <w:color w:val="000000"/>
          <w:sz w:val="24"/>
          <w:szCs w:val="24"/>
        </w:rPr>
      </w:pPr>
      <w:r>
        <w:rPr>
          <w:rFonts w:hint="eastAsia" w:ascii="宋体" w:hAnsi="宋体" w:eastAsia="宋体" w:cs="宋体"/>
          <w:sz w:val="24"/>
          <w:szCs w:val="24"/>
        </w:rPr>
        <w:t>合同签订地点：南宁市</w:t>
      </w:r>
    </w:p>
    <w:p w14:paraId="4D56785E">
      <w:pPr>
        <w:keepNext w:val="0"/>
        <w:keepLines w:val="0"/>
        <w:pageBreakBefore w:val="0"/>
        <w:widowControl w:val="0"/>
        <w:tabs>
          <w:tab w:val="left" w:leader="middleDot" w:pos="9240"/>
        </w:tabs>
        <w:kinsoku/>
        <w:wordWrap/>
        <w:overflowPunct/>
        <w:topLinePunct w:val="0"/>
        <w:autoSpaceDE/>
        <w:autoSpaceDN/>
        <w:bidi w:val="0"/>
        <w:adjustRightInd/>
        <w:snapToGrid/>
        <w:spacing w:before="157" w:beforeLines="50" w:after="157" w:afterLines="50"/>
        <w:ind w:firstLine="0" w:firstLineChars="0"/>
        <w:jc w:val="center"/>
        <w:textAlignment w:val="auto"/>
        <w:rPr>
          <w:rFonts w:hint="eastAsia" w:ascii="宋体" w:hAnsi="宋体" w:eastAsia="宋体" w:cs="宋体"/>
          <w:b/>
          <w:color w:val="000000"/>
          <w:sz w:val="24"/>
          <w:szCs w:val="24"/>
        </w:rPr>
      </w:pPr>
      <w:r>
        <w:rPr>
          <w:rFonts w:hint="eastAsia" w:ascii="宋体" w:hAnsi="宋体" w:eastAsia="宋体" w:cs="宋体"/>
          <w:b/>
          <w:color w:val="000000"/>
          <w:sz w:val="24"/>
          <w:szCs w:val="24"/>
        </w:rPr>
        <w:t>合同基本条款</w:t>
      </w:r>
    </w:p>
    <w:p w14:paraId="34B0060B">
      <w:pPr>
        <w:keepNext w:val="0"/>
        <w:keepLines w:val="0"/>
        <w:pageBreakBefore w:val="0"/>
        <w:widowControl w:val="0"/>
        <w:tabs>
          <w:tab w:val="left" w:leader="middleDot" w:pos="9240"/>
        </w:tabs>
        <w:kinsoku/>
        <w:wordWrap/>
        <w:overflowPunct/>
        <w:topLinePunct w:val="0"/>
        <w:autoSpaceDE/>
        <w:autoSpaceDN/>
        <w:bidi w:val="0"/>
        <w:adjustRightInd/>
        <w:snapToGrid/>
        <w:spacing w:before="157" w:beforeLines="50" w:after="157" w:afterLines="50"/>
        <w:ind w:firstLine="0" w:firstLineChars="0"/>
        <w:jc w:val="center"/>
        <w:textAlignment w:val="auto"/>
        <w:rPr>
          <w:rFonts w:hint="eastAsia" w:ascii="宋体" w:hAnsi="宋体" w:eastAsia="宋体" w:cs="宋体"/>
          <w:b/>
          <w:color w:val="000000"/>
          <w:sz w:val="24"/>
          <w:szCs w:val="24"/>
        </w:rPr>
      </w:pPr>
      <w:r>
        <w:rPr>
          <w:rFonts w:hint="eastAsia" w:ascii="宋体" w:hAnsi="宋体" w:eastAsia="宋体" w:cs="宋体"/>
          <w:b/>
          <w:color w:val="000000"/>
          <w:sz w:val="24"/>
          <w:szCs w:val="24"/>
        </w:rPr>
        <w:t>一   说   明</w:t>
      </w:r>
    </w:p>
    <w:p w14:paraId="07812E9B">
      <w:pPr>
        <w:pStyle w:val="17"/>
        <w:pageBreakBefore w:val="0"/>
        <w:tabs>
          <w:tab w:val="left" w:leader="middleDot" w:pos="9240"/>
        </w:tabs>
        <w:kinsoku/>
        <w:wordWrap/>
        <w:overflowPunct/>
        <w:topLinePunct w:val="0"/>
        <w:bidi w:val="0"/>
        <w:spacing w:line="38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1.1合同基本条款是指买方（以下简称甲方）和</w:t>
      </w:r>
      <w:r>
        <w:rPr>
          <w:rFonts w:hint="eastAsia" w:hAnsi="宋体" w:eastAsia="宋体" w:cs="宋体"/>
          <w:color w:val="000000"/>
          <w:sz w:val="24"/>
          <w:szCs w:val="24"/>
          <w:lang w:eastAsia="zh-CN"/>
        </w:rPr>
        <w:t>乙方</w:t>
      </w:r>
      <w:r>
        <w:rPr>
          <w:rFonts w:hint="eastAsia" w:ascii="宋体" w:hAnsi="宋体" w:eastAsia="宋体" w:cs="宋体"/>
          <w:color w:val="000000"/>
          <w:sz w:val="24"/>
          <w:szCs w:val="24"/>
        </w:rPr>
        <w:t>（以下简称乙方）应共同遵守的基本原则，并</w:t>
      </w:r>
      <w:r>
        <w:rPr>
          <w:rFonts w:hint="eastAsia" w:hAnsi="宋体" w:eastAsia="宋体" w:cs="宋体"/>
          <w:color w:val="000000"/>
          <w:sz w:val="24"/>
          <w:szCs w:val="24"/>
          <w:lang w:eastAsia="zh-CN"/>
        </w:rPr>
        <w:t>作为</w:t>
      </w:r>
      <w:r>
        <w:rPr>
          <w:rFonts w:hint="eastAsia" w:ascii="宋体" w:hAnsi="宋体" w:eastAsia="宋体" w:cs="宋体"/>
          <w:color w:val="000000"/>
          <w:sz w:val="24"/>
          <w:szCs w:val="24"/>
        </w:rPr>
        <w:t>双方签约的依据。对于合同的其他条款，双方应本着互谅互让的精神，在谈判中协商解决。</w:t>
      </w:r>
    </w:p>
    <w:p w14:paraId="7447B9CC">
      <w:pPr>
        <w:pStyle w:val="17"/>
        <w:pageBreakBefore w:val="0"/>
        <w:tabs>
          <w:tab w:val="left" w:leader="middleDot" w:pos="9240"/>
        </w:tabs>
        <w:kinsoku/>
        <w:wordWrap/>
        <w:overflowPunct/>
        <w:topLinePunct w:val="0"/>
        <w:bidi w:val="0"/>
        <w:spacing w:line="38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1.2制订《合同基本条款》的依据是：《中华人民共和国民法典》。</w:t>
      </w:r>
    </w:p>
    <w:p w14:paraId="612992CE">
      <w:pPr>
        <w:keepNext w:val="0"/>
        <w:keepLines w:val="0"/>
        <w:pageBreakBefore w:val="0"/>
        <w:widowControl w:val="0"/>
        <w:tabs>
          <w:tab w:val="left" w:leader="middleDot" w:pos="9240"/>
        </w:tabs>
        <w:kinsoku/>
        <w:wordWrap/>
        <w:overflowPunct/>
        <w:topLinePunct w:val="0"/>
        <w:autoSpaceDE/>
        <w:autoSpaceDN/>
        <w:bidi w:val="0"/>
        <w:adjustRightInd/>
        <w:snapToGrid/>
        <w:spacing w:before="157" w:beforeLines="50" w:after="157" w:afterLines="50"/>
        <w:ind w:firstLine="0" w:firstLineChars="0"/>
        <w:jc w:val="center"/>
        <w:textAlignment w:val="auto"/>
        <w:rPr>
          <w:rFonts w:hint="eastAsia" w:ascii="宋体" w:hAnsi="宋体" w:eastAsia="宋体" w:cs="宋体"/>
          <w:b/>
          <w:color w:val="000000"/>
          <w:sz w:val="24"/>
          <w:szCs w:val="24"/>
        </w:rPr>
      </w:pPr>
      <w:r>
        <w:rPr>
          <w:rFonts w:hint="eastAsia" w:ascii="宋体" w:hAnsi="宋体" w:eastAsia="宋体" w:cs="宋体"/>
          <w:b/>
          <w:color w:val="000000"/>
          <w:sz w:val="24"/>
          <w:szCs w:val="24"/>
        </w:rPr>
        <w:t>二   货物条款</w:t>
      </w:r>
    </w:p>
    <w:p w14:paraId="004651AF">
      <w:pPr>
        <w:pStyle w:val="17"/>
        <w:pageBreakBefore w:val="0"/>
        <w:tabs>
          <w:tab w:val="left" w:leader="middleDot" w:pos="9240"/>
        </w:tabs>
        <w:kinsoku/>
        <w:wordWrap/>
        <w:overflowPunct/>
        <w:topLinePunct w:val="0"/>
        <w:bidi w:val="0"/>
        <w:spacing w:line="38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2.1甲、乙双方应将采购文件、响应文件及谈判小组确认的货物名称、规格型号、技术要求、质量标准、数量、交货日期和售后服务内容等作为本条款的基础。</w:t>
      </w:r>
    </w:p>
    <w:p w14:paraId="5CC870AA">
      <w:pPr>
        <w:keepNext w:val="0"/>
        <w:keepLines w:val="0"/>
        <w:pageBreakBefore w:val="0"/>
        <w:widowControl w:val="0"/>
        <w:tabs>
          <w:tab w:val="left" w:leader="middleDot" w:pos="9240"/>
        </w:tabs>
        <w:kinsoku/>
        <w:wordWrap/>
        <w:overflowPunct/>
        <w:topLinePunct w:val="0"/>
        <w:autoSpaceDE/>
        <w:autoSpaceDN/>
        <w:bidi w:val="0"/>
        <w:adjustRightInd/>
        <w:snapToGrid/>
        <w:spacing w:before="157" w:beforeLines="50" w:after="157" w:afterLines="50"/>
        <w:ind w:firstLine="0" w:firstLineChars="0"/>
        <w:jc w:val="center"/>
        <w:textAlignment w:val="auto"/>
        <w:rPr>
          <w:rFonts w:hint="eastAsia" w:ascii="宋体" w:hAnsi="宋体" w:eastAsia="宋体" w:cs="宋体"/>
          <w:b/>
          <w:color w:val="000000"/>
          <w:sz w:val="24"/>
          <w:szCs w:val="24"/>
        </w:rPr>
      </w:pPr>
      <w:r>
        <w:rPr>
          <w:rFonts w:hint="eastAsia" w:ascii="宋体" w:hAnsi="宋体" w:eastAsia="宋体" w:cs="宋体"/>
          <w:b/>
          <w:color w:val="000000"/>
          <w:sz w:val="24"/>
          <w:szCs w:val="24"/>
        </w:rPr>
        <w:t>三   货物质量要求及乙方对质量负责条件和期限</w:t>
      </w:r>
    </w:p>
    <w:p w14:paraId="47DB4E33">
      <w:pPr>
        <w:pStyle w:val="17"/>
        <w:pageBreakBefore w:val="0"/>
        <w:tabs>
          <w:tab w:val="left" w:leader="middleDot" w:pos="9240"/>
        </w:tabs>
        <w:kinsoku/>
        <w:wordWrap/>
        <w:overflowPunct/>
        <w:topLinePunct w:val="0"/>
        <w:bidi w:val="0"/>
        <w:spacing w:line="44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3.1乙方应按招标文件规定的时间向甲方提供安装使用货物配套件所属装置等有关技术文件资料。</w:t>
      </w:r>
    </w:p>
    <w:p w14:paraId="79BAA183">
      <w:pPr>
        <w:pStyle w:val="17"/>
        <w:pageBreakBefore w:val="0"/>
        <w:tabs>
          <w:tab w:val="left" w:leader="middleDot" w:pos="9240"/>
        </w:tabs>
        <w:kinsoku/>
        <w:wordWrap/>
        <w:overflowPunct/>
        <w:topLinePunct w:val="0"/>
        <w:bidi w:val="0"/>
        <w:spacing w:line="38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3.2乙方提供的货物应有符合国家标准以及本产品的出厂标准的质量检验证明。</w:t>
      </w:r>
    </w:p>
    <w:p w14:paraId="5FA5E0A1">
      <w:pPr>
        <w:keepNext w:val="0"/>
        <w:keepLines w:val="0"/>
        <w:pageBreakBefore w:val="0"/>
        <w:widowControl w:val="0"/>
        <w:tabs>
          <w:tab w:val="left" w:leader="middleDot" w:pos="9240"/>
        </w:tabs>
        <w:kinsoku/>
        <w:wordWrap/>
        <w:overflowPunct/>
        <w:topLinePunct w:val="0"/>
        <w:autoSpaceDE/>
        <w:autoSpaceDN/>
        <w:bidi w:val="0"/>
        <w:adjustRightInd/>
        <w:snapToGrid/>
        <w:spacing w:before="157" w:beforeLines="50" w:after="157" w:afterLines="50"/>
        <w:ind w:firstLine="0" w:firstLineChars="0"/>
        <w:jc w:val="center"/>
        <w:textAlignment w:val="auto"/>
        <w:rPr>
          <w:rFonts w:hint="eastAsia" w:ascii="宋体" w:hAnsi="宋体" w:eastAsia="宋体" w:cs="宋体"/>
          <w:b/>
          <w:color w:val="000000"/>
          <w:sz w:val="24"/>
          <w:szCs w:val="24"/>
        </w:rPr>
      </w:pPr>
      <w:r>
        <w:rPr>
          <w:rFonts w:hint="eastAsia" w:ascii="宋体" w:hAnsi="宋体" w:eastAsia="宋体" w:cs="宋体"/>
          <w:b/>
          <w:color w:val="000000"/>
          <w:sz w:val="24"/>
          <w:szCs w:val="24"/>
        </w:rPr>
        <w:t>四   质量保证</w:t>
      </w:r>
    </w:p>
    <w:p w14:paraId="73F013F1">
      <w:pPr>
        <w:pStyle w:val="17"/>
        <w:pageBreakBefore w:val="0"/>
        <w:tabs>
          <w:tab w:val="left" w:leader="middleDot" w:pos="9240"/>
        </w:tabs>
        <w:kinsoku/>
        <w:wordWrap/>
        <w:overflowPunct/>
        <w:topLinePunct w:val="0"/>
        <w:bidi w:val="0"/>
        <w:spacing w:line="38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4.1乙方应按招标文件规定的货物性能、技术要求、质量标准向甲方提供未经使用的全新产品。</w:t>
      </w:r>
    </w:p>
    <w:p w14:paraId="4D384EC0">
      <w:pPr>
        <w:pStyle w:val="17"/>
        <w:pageBreakBefore w:val="0"/>
        <w:tabs>
          <w:tab w:val="left" w:leader="middleDot" w:pos="9240"/>
        </w:tabs>
        <w:kinsoku/>
        <w:wordWrap/>
        <w:overflowPunct/>
        <w:topLinePunct w:val="0"/>
        <w:bidi w:val="0"/>
        <w:spacing w:line="38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4.2乙方提供货物的质量保证期按交货验收合格之日起计（期限按投标文件承诺）。在保证期内因货物本身的质量问题发生故障，乙方应负责免费修理和更换零部件。对达不到技术要求者，根据实际情况，经双方协商，可按以下办法处理：</w:t>
      </w:r>
    </w:p>
    <w:p w14:paraId="3CD7FEDF">
      <w:pPr>
        <w:pStyle w:val="17"/>
        <w:pageBreakBefore w:val="0"/>
        <w:tabs>
          <w:tab w:val="left" w:leader="middleDot" w:pos="9240"/>
        </w:tabs>
        <w:kinsoku/>
        <w:wordWrap/>
        <w:overflowPunct/>
        <w:topLinePunct w:val="0"/>
        <w:bidi w:val="0"/>
        <w:spacing w:line="38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退货处理：乙方应退还甲方支付的货物款，同时应承担该货物的直接费用(运输、保险、检验、货款利息及银行手续费等）。</w:t>
      </w:r>
    </w:p>
    <w:p w14:paraId="2B1A4256">
      <w:pPr>
        <w:pStyle w:val="17"/>
        <w:pageBreakBefore w:val="0"/>
        <w:tabs>
          <w:tab w:val="left" w:leader="middleDot" w:pos="9240"/>
        </w:tabs>
        <w:kinsoku/>
        <w:wordWrap/>
        <w:overflowPunct/>
        <w:topLinePunct w:val="0"/>
        <w:bidi w:val="0"/>
        <w:spacing w:line="38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4.3如在使用过程中发生质量问题，乙方在接到甲方通知</w:t>
      </w:r>
      <w:r>
        <w:rPr>
          <w:rFonts w:hint="eastAsia" w:ascii="宋体" w:hAnsi="宋体" w:eastAsia="宋体" w:cs="宋体"/>
          <w:color w:val="000000"/>
          <w:sz w:val="24"/>
          <w:szCs w:val="24"/>
          <w:u w:val="single"/>
        </w:rPr>
        <w:t>按响应文件承诺时间</w:t>
      </w:r>
      <w:r>
        <w:rPr>
          <w:rFonts w:hint="eastAsia" w:ascii="宋体" w:hAnsi="宋体" w:eastAsia="宋体" w:cs="宋体"/>
          <w:color w:val="000000"/>
          <w:sz w:val="24"/>
          <w:szCs w:val="24"/>
        </w:rPr>
        <w:t>到达甲方现场。</w:t>
      </w:r>
    </w:p>
    <w:p w14:paraId="377D79D7">
      <w:pPr>
        <w:pStyle w:val="17"/>
        <w:pageBreakBefore w:val="0"/>
        <w:tabs>
          <w:tab w:val="left" w:leader="middleDot" w:pos="9240"/>
        </w:tabs>
        <w:kinsoku/>
        <w:wordWrap/>
        <w:overflowPunct/>
        <w:topLinePunct w:val="0"/>
        <w:bidi w:val="0"/>
        <w:spacing w:line="38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4.4在质保期内，乙方应对货物出现的质量及安全问题负责处理解决。</w:t>
      </w:r>
    </w:p>
    <w:p w14:paraId="040AF6B3">
      <w:pPr>
        <w:keepNext w:val="0"/>
        <w:keepLines w:val="0"/>
        <w:pageBreakBefore w:val="0"/>
        <w:widowControl w:val="0"/>
        <w:tabs>
          <w:tab w:val="left" w:leader="middleDot" w:pos="9240"/>
        </w:tabs>
        <w:kinsoku/>
        <w:wordWrap/>
        <w:overflowPunct/>
        <w:topLinePunct w:val="0"/>
        <w:autoSpaceDE/>
        <w:autoSpaceDN/>
        <w:bidi w:val="0"/>
        <w:adjustRightInd/>
        <w:snapToGrid/>
        <w:spacing w:before="157" w:beforeLines="50" w:after="157" w:afterLines="50"/>
        <w:ind w:firstLine="0" w:firstLineChars="0"/>
        <w:jc w:val="center"/>
        <w:textAlignment w:val="auto"/>
        <w:rPr>
          <w:rFonts w:hint="eastAsia" w:ascii="宋体" w:hAnsi="宋体" w:eastAsia="宋体" w:cs="宋体"/>
          <w:b/>
          <w:color w:val="000000"/>
          <w:sz w:val="24"/>
          <w:szCs w:val="24"/>
        </w:rPr>
      </w:pPr>
      <w:r>
        <w:rPr>
          <w:rFonts w:hint="eastAsia" w:ascii="宋体" w:hAnsi="宋体" w:eastAsia="宋体" w:cs="宋体"/>
          <w:b/>
          <w:color w:val="000000"/>
          <w:sz w:val="24"/>
          <w:szCs w:val="24"/>
        </w:rPr>
        <w:t>五     验  收</w:t>
      </w:r>
    </w:p>
    <w:p w14:paraId="2058730E">
      <w:pPr>
        <w:pStyle w:val="17"/>
        <w:pageBreakBefore w:val="0"/>
        <w:tabs>
          <w:tab w:val="left" w:leader="middleDot" w:pos="9240"/>
        </w:tabs>
        <w:kinsoku/>
        <w:wordWrap/>
        <w:overflowPunct/>
        <w:topLinePunct w:val="0"/>
        <w:bidi w:val="0"/>
        <w:spacing w:line="38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5.1乙方交货前应对产品作出全面检查和对验收文件进行整理列出清单，作为甲方收货验收和使用的技术条件依据，检验的结果应随货物交甲方。</w:t>
      </w:r>
    </w:p>
    <w:p w14:paraId="071E1451">
      <w:pPr>
        <w:pStyle w:val="17"/>
        <w:pageBreakBefore w:val="0"/>
        <w:tabs>
          <w:tab w:val="left" w:leader="middleDot" w:pos="9240"/>
        </w:tabs>
        <w:kinsoku/>
        <w:wordWrap/>
        <w:overflowPunct/>
        <w:topLinePunct w:val="0"/>
        <w:bidi w:val="0"/>
        <w:spacing w:line="38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5.2甲方对乙方所交货物依照采购文件上的技术规格要求和国家（设备制造国）有关标准进行现场验收，性能达到技术要求的，给予签收。验收不合格的不予签收，后果由乙方负责。物资验收严格按照标书要求进行验收，若现场验收达不到标书要求，则采购方不付款。</w:t>
      </w:r>
    </w:p>
    <w:p w14:paraId="61973418">
      <w:pPr>
        <w:pStyle w:val="17"/>
        <w:pageBreakBefore w:val="0"/>
        <w:tabs>
          <w:tab w:val="left" w:leader="middleDot" w:pos="9240"/>
        </w:tabs>
        <w:kinsoku/>
        <w:wordWrap/>
        <w:overflowPunct/>
        <w:topLinePunct w:val="0"/>
        <w:bidi w:val="0"/>
        <w:spacing w:line="38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5.3甲方应在货到指定地点安装调试并试运行完毕之日起</w:t>
      </w:r>
      <w:r>
        <w:rPr>
          <w:rFonts w:hint="eastAsia" w:ascii="宋体" w:hAnsi="宋体" w:eastAsia="宋体" w:cs="宋体"/>
          <w:color w:val="000000"/>
          <w:sz w:val="24"/>
          <w:szCs w:val="24"/>
          <w:u w:val="single"/>
        </w:rPr>
        <w:t xml:space="preserve"> 7</w:t>
      </w:r>
      <w:r>
        <w:rPr>
          <w:rFonts w:hint="eastAsia" w:ascii="宋体" w:hAnsi="宋体" w:eastAsia="宋体" w:cs="宋体"/>
          <w:color w:val="000000"/>
          <w:sz w:val="24"/>
          <w:szCs w:val="24"/>
        </w:rPr>
        <w:t>个工作日内验收完毕，并作出验收结果报告。验收时乙方必须在现场。</w:t>
      </w:r>
    </w:p>
    <w:p w14:paraId="06966551">
      <w:pPr>
        <w:keepNext w:val="0"/>
        <w:keepLines w:val="0"/>
        <w:pageBreakBefore w:val="0"/>
        <w:widowControl w:val="0"/>
        <w:tabs>
          <w:tab w:val="left" w:leader="middleDot" w:pos="9240"/>
        </w:tabs>
        <w:kinsoku/>
        <w:wordWrap/>
        <w:overflowPunct/>
        <w:topLinePunct w:val="0"/>
        <w:autoSpaceDE/>
        <w:autoSpaceDN/>
        <w:bidi w:val="0"/>
        <w:adjustRightInd/>
        <w:snapToGrid/>
        <w:spacing w:before="157" w:beforeLines="50" w:after="157" w:afterLines="50"/>
        <w:ind w:firstLine="0" w:firstLineChars="0"/>
        <w:jc w:val="center"/>
        <w:textAlignment w:val="auto"/>
        <w:rPr>
          <w:rFonts w:hint="eastAsia" w:ascii="宋体" w:hAnsi="宋体" w:eastAsia="宋体" w:cs="宋体"/>
          <w:b/>
          <w:color w:val="000000"/>
          <w:sz w:val="24"/>
          <w:szCs w:val="24"/>
        </w:rPr>
      </w:pPr>
      <w:r>
        <w:rPr>
          <w:rFonts w:hint="eastAsia" w:ascii="宋体" w:hAnsi="宋体" w:eastAsia="宋体" w:cs="宋体"/>
          <w:b/>
          <w:color w:val="000000"/>
          <w:sz w:val="24"/>
          <w:szCs w:val="24"/>
        </w:rPr>
        <w:t>六   货物包装、发运及运输</w:t>
      </w:r>
    </w:p>
    <w:p w14:paraId="428DE31B">
      <w:pPr>
        <w:pStyle w:val="17"/>
        <w:pageBreakBefore w:val="0"/>
        <w:tabs>
          <w:tab w:val="left" w:leader="middleDot" w:pos="9240"/>
        </w:tabs>
        <w:kinsoku/>
        <w:wordWrap/>
        <w:overflowPunct/>
        <w:topLinePunct w:val="0"/>
        <w:bidi w:val="0"/>
        <w:spacing w:line="38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6.1乙方应在货物发运前对其进行满足于运输距离、防潮、防震、防锈和防破损装卸要求的包装，以保证货物安全运输到达甲方指定地点。</w:t>
      </w:r>
    </w:p>
    <w:p w14:paraId="70DC04BE">
      <w:pPr>
        <w:pStyle w:val="17"/>
        <w:pageBreakBefore w:val="0"/>
        <w:tabs>
          <w:tab w:val="left" w:leader="middleDot" w:pos="9240"/>
        </w:tabs>
        <w:kinsoku/>
        <w:wordWrap/>
        <w:overflowPunct/>
        <w:topLinePunct w:val="0"/>
        <w:bidi w:val="0"/>
        <w:spacing w:line="38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6.2使用说明书、质量检验证明书、随配附件和工具以及清单等一并附于货物内。</w:t>
      </w:r>
    </w:p>
    <w:p w14:paraId="5849535F">
      <w:pPr>
        <w:pStyle w:val="17"/>
        <w:pageBreakBefore w:val="0"/>
        <w:tabs>
          <w:tab w:val="left" w:leader="middleDot" w:pos="9240"/>
        </w:tabs>
        <w:kinsoku/>
        <w:wordWrap/>
        <w:overflowPunct/>
        <w:topLinePunct w:val="0"/>
        <w:bidi w:val="0"/>
        <w:spacing w:line="38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6.3 乙方负责将货物安全运送到甲方指定地点，不另收任何费用。</w:t>
      </w:r>
    </w:p>
    <w:p w14:paraId="7CE95AD9">
      <w:pPr>
        <w:pStyle w:val="17"/>
        <w:pageBreakBefore w:val="0"/>
        <w:tabs>
          <w:tab w:val="left" w:leader="middleDot" w:pos="9240"/>
        </w:tabs>
        <w:kinsoku/>
        <w:wordWrap/>
        <w:overflowPunct/>
        <w:topLinePunct w:val="0"/>
        <w:bidi w:val="0"/>
        <w:spacing w:line="38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6.4货物在交货前发生的不可预见的风险均由乙方负责。</w:t>
      </w:r>
    </w:p>
    <w:p w14:paraId="3EDA29EA">
      <w:pPr>
        <w:pStyle w:val="17"/>
        <w:pageBreakBefore w:val="0"/>
        <w:tabs>
          <w:tab w:val="left" w:leader="middleDot" w:pos="9240"/>
        </w:tabs>
        <w:kinsoku/>
        <w:wordWrap/>
        <w:overflowPunct/>
        <w:topLinePunct w:val="0"/>
        <w:bidi w:val="0"/>
        <w:spacing w:line="380" w:lineRule="exact"/>
        <w:ind w:firstLine="420"/>
        <w:rPr>
          <w:rFonts w:hint="eastAsia" w:ascii="宋体" w:hAnsi="宋体" w:eastAsia="宋体" w:cs="宋体"/>
          <w:b/>
          <w:color w:val="000000"/>
          <w:sz w:val="24"/>
          <w:szCs w:val="24"/>
        </w:rPr>
      </w:pPr>
      <w:r>
        <w:rPr>
          <w:rFonts w:hint="eastAsia" w:ascii="宋体" w:hAnsi="宋体" w:eastAsia="宋体" w:cs="宋体"/>
          <w:color w:val="000000"/>
          <w:sz w:val="24"/>
          <w:szCs w:val="24"/>
        </w:rPr>
        <w:t>6.5货物在发运手续办理完毕后24小时内或货到甲方前48小时通知甲方，以准备接货。</w:t>
      </w:r>
    </w:p>
    <w:p w14:paraId="14F78791">
      <w:pPr>
        <w:keepNext w:val="0"/>
        <w:keepLines w:val="0"/>
        <w:pageBreakBefore w:val="0"/>
        <w:widowControl w:val="0"/>
        <w:tabs>
          <w:tab w:val="left" w:leader="middleDot" w:pos="9240"/>
        </w:tabs>
        <w:kinsoku/>
        <w:wordWrap/>
        <w:overflowPunct/>
        <w:topLinePunct w:val="0"/>
        <w:autoSpaceDE/>
        <w:autoSpaceDN/>
        <w:bidi w:val="0"/>
        <w:adjustRightInd/>
        <w:snapToGrid/>
        <w:spacing w:before="157" w:beforeLines="50" w:after="157" w:afterLines="50"/>
        <w:ind w:firstLine="0" w:firstLineChars="0"/>
        <w:jc w:val="center"/>
        <w:textAlignment w:val="auto"/>
        <w:rPr>
          <w:rFonts w:hint="eastAsia" w:ascii="宋体" w:hAnsi="宋体" w:eastAsia="宋体" w:cs="宋体"/>
          <w:b/>
          <w:color w:val="000000"/>
          <w:sz w:val="24"/>
          <w:szCs w:val="24"/>
        </w:rPr>
      </w:pPr>
      <w:r>
        <w:rPr>
          <w:rFonts w:hint="eastAsia" w:ascii="宋体" w:hAnsi="宋体" w:eastAsia="宋体" w:cs="宋体"/>
          <w:b/>
          <w:color w:val="000000"/>
          <w:sz w:val="24"/>
          <w:szCs w:val="24"/>
        </w:rPr>
        <w:t>七   付款方式</w:t>
      </w:r>
    </w:p>
    <w:p w14:paraId="200D7371">
      <w:pPr>
        <w:pageBreakBefore w:val="0"/>
        <w:tabs>
          <w:tab w:val="left" w:leader="middleDot" w:pos="9240"/>
        </w:tabs>
        <w:kinsoku/>
        <w:wordWrap/>
        <w:overflowPunct/>
        <w:topLinePunct w:val="0"/>
        <w:bidi w:val="0"/>
        <w:snapToGrid w:val="0"/>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7.1付款方式：按实际送货量结算货款，每批货验收合格之日起，乙方提供并收集送、验货等材料及发票交给甲方；甲方自收到货物及发票之日起付款时间最长不得超过120日，货款不得超过合同总金额。</w:t>
      </w:r>
    </w:p>
    <w:p w14:paraId="01FD90DA">
      <w:pPr>
        <w:pageBreakBefore w:val="0"/>
        <w:tabs>
          <w:tab w:val="left" w:leader="middleDot" w:pos="9240"/>
        </w:tabs>
        <w:kinsoku/>
        <w:wordWrap/>
        <w:overflowPunct/>
        <w:topLinePunct w:val="0"/>
        <w:bidi w:val="0"/>
        <w:snapToGrid w:val="0"/>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7.2</w:t>
      </w:r>
      <w:r>
        <w:rPr>
          <w:rFonts w:hint="eastAsia" w:ascii="宋体" w:hAnsi="宋体" w:eastAsia="宋体" w:cs="宋体"/>
          <w:sz w:val="24"/>
          <w:szCs w:val="24"/>
        </w:rPr>
        <w:t>甲方仅对在本合同有效期内，且依据本合同约定的程序和标准接收的合格货物承担付款义务。对于合同终止后或超出合同约定总量的货物，无论是否实际交付，均不产生任何付款责任，且甲方保留要求乙方自行承担费用运回上述货物的权利。</w:t>
      </w:r>
    </w:p>
    <w:p w14:paraId="6CE60135">
      <w:pPr>
        <w:keepNext w:val="0"/>
        <w:keepLines w:val="0"/>
        <w:pageBreakBefore w:val="0"/>
        <w:widowControl w:val="0"/>
        <w:tabs>
          <w:tab w:val="left" w:leader="middleDot" w:pos="9240"/>
        </w:tabs>
        <w:kinsoku/>
        <w:wordWrap/>
        <w:overflowPunct/>
        <w:topLinePunct w:val="0"/>
        <w:autoSpaceDE/>
        <w:autoSpaceDN/>
        <w:bidi w:val="0"/>
        <w:adjustRightInd/>
        <w:snapToGrid/>
        <w:spacing w:before="157" w:beforeLines="50" w:after="157" w:afterLines="50"/>
        <w:ind w:firstLine="0" w:firstLineChars="0"/>
        <w:jc w:val="center"/>
        <w:textAlignment w:val="auto"/>
        <w:rPr>
          <w:rFonts w:hint="eastAsia" w:ascii="宋体" w:hAnsi="宋体" w:eastAsia="宋体" w:cs="宋体"/>
          <w:b/>
          <w:color w:val="000000"/>
          <w:sz w:val="24"/>
          <w:szCs w:val="24"/>
          <w:lang w:val="en-US" w:eastAsia="zh-CN"/>
        </w:rPr>
      </w:pPr>
      <w:r>
        <w:rPr>
          <w:rFonts w:hint="eastAsia" w:ascii="宋体" w:hAnsi="宋体" w:eastAsia="宋体" w:cs="宋体"/>
          <w:b/>
          <w:color w:val="000000"/>
          <w:sz w:val="24"/>
          <w:szCs w:val="24"/>
        </w:rPr>
        <w:t xml:space="preserve">八   </w:t>
      </w:r>
      <w:r>
        <w:rPr>
          <w:rFonts w:hint="eastAsia" w:ascii="宋体" w:hAnsi="宋体" w:eastAsia="宋体" w:cs="宋体"/>
          <w:b/>
          <w:color w:val="000000"/>
          <w:sz w:val="24"/>
          <w:szCs w:val="24"/>
          <w:lang w:val="en-US" w:eastAsia="zh-CN"/>
        </w:rPr>
        <w:t>税费</w:t>
      </w:r>
    </w:p>
    <w:p w14:paraId="6B425E72">
      <w:pPr>
        <w:pageBreakBefore w:val="0"/>
        <w:tabs>
          <w:tab w:val="left" w:leader="middleDot" w:pos="9240"/>
        </w:tabs>
        <w:kinsoku/>
        <w:wordWrap/>
        <w:overflowPunct/>
        <w:topLinePunct w:val="0"/>
        <w:bidi w:val="0"/>
        <w:snapToGrid w:val="0"/>
        <w:spacing w:line="440" w:lineRule="exact"/>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8.1本合同执行中相关的一切税费均由乙方负担。</w:t>
      </w:r>
    </w:p>
    <w:p w14:paraId="5A2C2993">
      <w:pPr>
        <w:keepNext w:val="0"/>
        <w:keepLines w:val="0"/>
        <w:pageBreakBefore w:val="0"/>
        <w:widowControl w:val="0"/>
        <w:tabs>
          <w:tab w:val="left" w:leader="middleDot" w:pos="9240"/>
        </w:tabs>
        <w:kinsoku/>
        <w:wordWrap/>
        <w:overflowPunct/>
        <w:topLinePunct w:val="0"/>
        <w:autoSpaceDE/>
        <w:autoSpaceDN/>
        <w:bidi w:val="0"/>
        <w:adjustRightInd/>
        <w:snapToGrid/>
        <w:spacing w:before="157" w:beforeLines="50" w:after="157" w:afterLines="50"/>
        <w:ind w:firstLine="0" w:firstLineChars="0"/>
        <w:jc w:val="center"/>
        <w:textAlignment w:val="auto"/>
        <w:rPr>
          <w:rFonts w:hint="eastAsia" w:ascii="宋体" w:hAnsi="宋体" w:eastAsia="宋体" w:cs="宋体"/>
          <w:b/>
          <w:color w:val="000000"/>
          <w:sz w:val="24"/>
          <w:szCs w:val="24"/>
        </w:rPr>
      </w:pPr>
      <w:r>
        <w:rPr>
          <w:rFonts w:hint="eastAsia" w:ascii="宋体" w:hAnsi="宋体" w:eastAsia="宋体" w:cs="宋体"/>
          <w:b/>
          <w:color w:val="000000"/>
          <w:sz w:val="24"/>
          <w:szCs w:val="24"/>
          <w:lang w:val="en-US" w:eastAsia="zh-CN"/>
        </w:rPr>
        <w:t>九</w:t>
      </w:r>
      <w:r>
        <w:rPr>
          <w:rFonts w:hint="eastAsia" w:ascii="宋体" w:hAnsi="宋体" w:eastAsia="宋体" w:cs="宋体"/>
          <w:b/>
          <w:color w:val="000000"/>
          <w:sz w:val="24"/>
          <w:szCs w:val="24"/>
        </w:rPr>
        <w:t xml:space="preserve">   违约责任</w:t>
      </w:r>
    </w:p>
    <w:p w14:paraId="5BD5B4BF">
      <w:pPr>
        <w:pageBreakBefore w:val="0"/>
        <w:tabs>
          <w:tab w:val="left" w:leader="middleDot" w:pos="9240"/>
        </w:tabs>
        <w:kinsoku/>
        <w:wordWrap/>
        <w:overflowPunct/>
        <w:topLinePunct w:val="0"/>
        <w:bidi w:val="0"/>
        <w:snapToGrid w:val="0"/>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9</w:t>
      </w:r>
      <w:r>
        <w:rPr>
          <w:rFonts w:hint="eastAsia" w:ascii="宋体" w:hAnsi="宋体" w:eastAsia="宋体" w:cs="宋体"/>
          <w:sz w:val="24"/>
          <w:szCs w:val="24"/>
        </w:rPr>
        <w:t>.1乙方所提供的货物规格、技术标准、材料等质量不合格的，应及时更换，更换不及时的按逾期交货处罚；因质量问题甲方不同意接收的或特殊情况甲方</w:t>
      </w:r>
      <w:r>
        <w:rPr>
          <w:rFonts w:hint="eastAsia" w:ascii="宋体" w:hAnsi="宋体" w:eastAsia="宋体" w:cs="宋体"/>
          <w:sz w:val="24"/>
          <w:szCs w:val="24"/>
          <w:lang w:eastAsia="zh-CN"/>
        </w:rPr>
        <w:t>不</w:t>
      </w:r>
      <w:r>
        <w:rPr>
          <w:rFonts w:hint="eastAsia" w:ascii="宋体" w:hAnsi="宋体" w:eastAsia="宋体" w:cs="宋体"/>
          <w:sz w:val="24"/>
          <w:szCs w:val="24"/>
        </w:rPr>
        <w:t>同意接收的，乙方应向甲方支付违约货款额5%违约金并赔偿甲方经济损失。按上述条件乙方逾期交货的(在乙方接到甲方整改通知之日起超过30天),甲方有权解除合同。</w:t>
      </w:r>
    </w:p>
    <w:p w14:paraId="181A4117">
      <w:pPr>
        <w:pageBreakBefore w:val="0"/>
        <w:tabs>
          <w:tab w:val="left" w:leader="middleDot" w:pos="9240"/>
        </w:tabs>
        <w:kinsoku/>
        <w:wordWrap/>
        <w:overflowPunct/>
        <w:topLinePunct w:val="0"/>
        <w:bidi w:val="0"/>
        <w:snapToGrid w:val="0"/>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9</w:t>
      </w:r>
      <w:r>
        <w:rPr>
          <w:rFonts w:hint="eastAsia" w:ascii="宋体" w:hAnsi="宋体" w:eastAsia="宋体" w:cs="宋体"/>
          <w:sz w:val="24"/>
          <w:szCs w:val="24"/>
        </w:rPr>
        <w:t>.2乙方提供的货物如侵犯了第三方合法权益而引发的任何纠纷或诉讼，均由乙方负责交涉并承担全部责任。</w:t>
      </w:r>
    </w:p>
    <w:p w14:paraId="5608D66A">
      <w:pPr>
        <w:pageBreakBefore w:val="0"/>
        <w:tabs>
          <w:tab w:val="left" w:leader="middleDot" w:pos="9240"/>
        </w:tabs>
        <w:kinsoku/>
        <w:wordWrap/>
        <w:overflowPunct/>
        <w:topLinePunct w:val="0"/>
        <w:bidi w:val="0"/>
        <w:snapToGrid w:val="0"/>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9</w:t>
      </w:r>
      <w:r>
        <w:rPr>
          <w:rFonts w:hint="eastAsia" w:ascii="宋体" w:hAnsi="宋体" w:eastAsia="宋体" w:cs="宋体"/>
          <w:sz w:val="24"/>
          <w:szCs w:val="24"/>
        </w:rPr>
        <w:t>.3因包装、运输引起的货物损坏，按质量不合格处罚。</w:t>
      </w:r>
    </w:p>
    <w:p w14:paraId="14E70655">
      <w:pPr>
        <w:pageBreakBefore w:val="0"/>
        <w:tabs>
          <w:tab w:val="left" w:leader="middleDot" w:pos="9240"/>
        </w:tabs>
        <w:kinsoku/>
        <w:wordWrap/>
        <w:overflowPunct/>
        <w:topLinePunct w:val="0"/>
        <w:bidi w:val="0"/>
        <w:snapToGrid w:val="0"/>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9</w:t>
      </w:r>
      <w:r>
        <w:rPr>
          <w:rFonts w:hint="eastAsia" w:ascii="宋体" w:hAnsi="宋体" w:eastAsia="宋体" w:cs="宋体"/>
          <w:sz w:val="24"/>
          <w:szCs w:val="24"/>
        </w:rPr>
        <w:t>.4乙方逾期交货的，经甲方催促仍未能按时交付货物的，每天向</w:t>
      </w:r>
      <w:r>
        <w:rPr>
          <w:rFonts w:hint="eastAsia" w:ascii="宋体" w:hAnsi="宋体" w:eastAsia="宋体" w:cs="宋体"/>
          <w:sz w:val="24"/>
          <w:szCs w:val="24"/>
          <w:lang w:val="en-US" w:eastAsia="zh-CN"/>
        </w:rPr>
        <w:t>甲方</w:t>
      </w:r>
      <w:r>
        <w:rPr>
          <w:rFonts w:hint="eastAsia" w:ascii="宋体" w:hAnsi="宋体" w:eastAsia="宋体" w:cs="宋体"/>
          <w:sz w:val="24"/>
          <w:szCs w:val="24"/>
        </w:rPr>
        <w:t>偿付违约货款额3‰违约金，但违约金累计不得超过违约货款额5%，逾期送货累计超过</w:t>
      </w:r>
      <w:r>
        <w:rPr>
          <w:rFonts w:hint="eastAsia" w:ascii="宋体" w:hAnsi="宋体" w:eastAsia="宋体" w:cs="宋体"/>
          <w:sz w:val="24"/>
          <w:szCs w:val="24"/>
          <w:lang w:val="en-US" w:eastAsia="zh-CN"/>
        </w:rPr>
        <w:t>2</w:t>
      </w:r>
      <w:r>
        <w:rPr>
          <w:rFonts w:hint="eastAsia" w:ascii="宋体" w:hAnsi="宋体" w:eastAsia="宋体" w:cs="宋体"/>
          <w:sz w:val="24"/>
          <w:szCs w:val="24"/>
        </w:rPr>
        <w:t>次（不含本数），</w:t>
      </w:r>
      <w:r>
        <w:rPr>
          <w:rFonts w:hint="eastAsia" w:ascii="宋体" w:hAnsi="宋体" w:eastAsia="宋体" w:cs="宋体"/>
          <w:sz w:val="24"/>
          <w:szCs w:val="24"/>
          <w:lang w:val="en-US" w:eastAsia="zh-CN"/>
        </w:rPr>
        <w:t>甲方</w:t>
      </w:r>
      <w:r>
        <w:rPr>
          <w:rFonts w:hint="eastAsia" w:ascii="宋体" w:hAnsi="宋体" w:eastAsia="宋体" w:cs="宋体"/>
          <w:sz w:val="24"/>
          <w:szCs w:val="24"/>
        </w:rPr>
        <w:t>有权单方解除合同，乙方承担因此给</w:t>
      </w:r>
      <w:r>
        <w:rPr>
          <w:rFonts w:hint="eastAsia" w:ascii="宋体" w:hAnsi="宋体" w:eastAsia="宋体" w:cs="宋体"/>
          <w:sz w:val="24"/>
          <w:szCs w:val="24"/>
          <w:lang w:val="en-US" w:eastAsia="zh-CN"/>
        </w:rPr>
        <w:t>甲方</w:t>
      </w:r>
      <w:r>
        <w:rPr>
          <w:rFonts w:hint="eastAsia" w:ascii="宋体" w:hAnsi="宋体" w:eastAsia="宋体" w:cs="宋体"/>
          <w:sz w:val="24"/>
          <w:szCs w:val="24"/>
        </w:rPr>
        <w:t>造成经济损失。</w:t>
      </w:r>
    </w:p>
    <w:p w14:paraId="320CE3DF">
      <w:pPr>
        <w:pageBreakBefore w:val="0"/>
        <w:tabs>
          <w:tab w:val="left" w:leader="middleDot" w:pos="9240"/>
        </w:tabs>
        <w:kinsoku/>
        <w:wordWrap/>
        <w:overflowPunct/>
        <w:topLinePunct w:val="0"/>
        <w:bidi w:val="0"/>
        <w:snapToGrid w:val="0"/>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9</w:t>
      </w:r>
      <w:r>
        <w:rPr>
          <w:rFonts w:hint="eastAsia" w:ascii="宋体" w:hAnsi="宋体" w:eastAsia="宋体" w:cs="宋体"/>
          <w:sz w:val="24"/>
          <w:szCs w:val="24"/>
        </w:rPr>
        <w:t>.5乙方未按本合同规定的服务承诺提供售后服务的，乙方应按本合同合计金额 5%向甲方支付违约金。</w:t>
      </w:r>
    </w:p>
    <w:p w14:paraId="4E52E24A">
      <w:pPr>
        <w:pageBreakBefore w:val="0"/>
        <w:tabs>
          <w:tab w:val="left" w:leader="middleDot" w:pos="9240"/>
        </w:tabs>
        <w:kinsoku/>
        <w:wordWrap/>
        <w:overflowPunct/>
        <w:topLinePunct w:val="0"/>
        <w:bidi w:val="0"/>
        <w:snapToGrid w:val="0"/>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9.</w:t>
      </w:r>
      <w:r>
        <w:rPr>
          <w:rFonts w:hint="eastAsia" w:ascii="宋体" w:hAnsi="宋体" w:eastAsia="宋体" w:cs="宋体"/>
          <w:sz w:val="24"/>
          <w:szCs w:val="24"/>
        </w:rPr>
        <w:t>6乙方提供的货物在质量保证期内，因设计、工艺或材料的缺陷和其它质量原因造成的问题，由乙方负责，费用从质量保证金中扣除，不足另补,如无质量保证金乙方按实际费用支付。</w:t>
      </w:r>
    </w:p>
    <w:p w14:paraId="2E4E917B">
      <w:pPr>
        <w:pageBreakBefore w:val="0"/>
        <w:tabs>
          <w:tab w:val="left" w:leader="middleDot" w:pos="9240"/>
        </w:tabs>
        <w:kinsoku/>
        <w:wordWrap/>
        <w:overflowPunct/>
        <w:topLinePunct w:val="0"/>
        <w:bidi w:val="0"/>
        <w:snapToGrid w:val="0"/>
        <w:spacing w:line="440" w:lineRule="exact"/>
        <w:ind w:firstLine="480" w:firstLineChars="200"/>
        <w:rPr>
          <w:rFonts w:hint="eastAsia" w:ascii="宋体" w:hAnsi="宋体" w:eastAsia="宋体" w:cs="宋体"/>
          <w:sz w:val="24"/>
          <w:szCs w:val="24"/>
        </w:rPr>
      </w:pPr>
      <w:bookmarkStart w:id="8" w:name="OLE_LINK2"/>
      <w:r>
        <w:rPr>
          <w:rFonts w:hint="eastAsia" w:ascii="宋体" w:hAnsi="宋体" w:eastAsia="宋体" w:cs="宋体"/>
          <w:sz w:val="24"/>
          <w:szCs w:val="24"/>
          <w:lang w:val="en-US" w:eastAsia="zh-CN"/>
        </w:rPr>
        <w:t>9</w:t>
      </w:r>
      <w:r>
        <w:rPr>
          <w:rFonts w:hint="eastAsia" w:ascii="宋体" w:hAnsi="宋体" w:eastAsia="宋体" w:cs="宋体"/>
          <w:sz w:val="24"/>
          <w:szCs w:val="24"/>
        </w:rPr>
        <w:t>.7其它违约行为按违约货款额5%收取违约金并赔偿经济损失。</w:t>
      </w:r>
    </w:p>
    <w:p w14:paraId="09D636D6">
      <w:pPr>
        <w:pageBreakBefore w:val="0"/>
        <w:tabs>
          <w:tab w:val="left" w:leader="middleDot" w:pos="9240"/>
        </w:tabs>
        <w:kinsoku/>
        <w:wordWrap/>
        <w:overflowPunct/>
        <w:topLinePunct w:val="0"/>
        <w:bidi w:val="0"/>
        <w:snapToGrid w:val="0"/>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9</w:t>
      </w:r>
      <w:r>
        <w:rPr>
          <w:rFonts w:hint="eastAsia" w:ascii="宋体" w:hAnsi="宋体" w:eastAsia="宋体" w:cs="宋体"/>
          <w:sz w:val="24"/>
          <w:szCs w:val="24"/>
        </w:rPr>
        <w:t>.8如果乙方以价格上调原因停止供货，需承担的相应违约责任，违约金可以从我院应付的货款中直接扣除；如因停产不能供货，需有厂家出具的停产证明。</w:t>
      </w:r>
    </w:p>
    <w:p w14:paraId="0690C211">
      <w:pPr>
        <w:pageBreakBefore w:val="0"/>
        <w:tabs>
          <w:tab w:val="left" w:leader="middleDot" w:pos="9240"/>
        </w:tabs>
        <w:kinsoku/>
        <w:wordWrap/>
        <w:overflowPunct/>
        <w:topLinePunct w:val="0"/>
        <w:bidi w:val="0"/>
        <w:snapToGrid w:val="0"/>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9</w:t>
      </w:r>
      <w:r>
        <w:rPr>
          <w:rFonts w:hint="eastAsia" w:ascii="宋体" w:hAnsi="宋体" w:eastAsia="宋体" w:cs="宋体"/>
          <w:sz w:val="24"/>
          <w:szCs w:val="24"/>
        </w:rPr>
        <w:t>.9乙方单方面提出停止供货的，需向甲方支付违约金，违约金额按合同总额的15%偿付，并追究因此给甲方造成损失的法律责任。</w:t>
      </w:r>
    </w:p>
    <w:bookmarkEnd w:id="8"/>
    <w:p w14:paraId="39E31CA7">
      <w:pPr>
        <w:keepNext w:val="0"/>
        <w:keepLines w:val="0"/>
        <w:pageBreakBefore w:val="0"/>
        <w:widowControl w:val="0"/>
        <w:tabs>
          <w:tab w:val="left" w:leader="middleDot" w:pos="9240"/>
        </w:tabs>
        <w:kinsoku/>
        <w:wordWrap/>
        <w:overflowPunct/>
        <w:topLinePunct w:val="0"/>
        <w:autoSpaceDE/>
        <w:autoSpaceDN/>
        <w:bidi w:val="0"/>
        <w:adjustRightInd/>
        <w:snapToGrid/>
        <w:spacing w:before="157" w:beforeLines="50" w:after="157" w:afterLines="50"/>
        <w:ind w:firstLine="0" w:firstLineChars="0"/>
        <w:jc w:val="center"/>
        <w:textAlignment w:val="auto"/>
        <w:rPr>
          <w:rFonts w:hint="eastAsia" w:ascii="宋体" w:hAnsi="宋体" w:eastAsia="宋体" w:cs="宋体"/>
          <w:b/>
          <w:color w:val="000000"/>
          <w:sz w:val="24"/>
          <w:szCs w:val="24"/>
        </w:rPr>
      </w:pPr>
      <w:r>
        <w:rPr>
          <w:rFonts w:hint="eastAsia" w:ascii="宋体" w:hAnsi="宋体" w:eastAsia="宋体" w:cs="宋体"/>
          <w:b/>
          <w:color w:val="000000"/>
          <w:sz w:val="24"/>
          <w:szCs w:val="24"/>
          <w:lang w:val="en-US" w:eastAsia="zh-CN"/>
        </w:rPr>
        <w:t>十</w:t>
      </w:r>
      <w:r>
        <w:rPr>
          <w:rFonts w:hint="eastAsia" w:ascii="宋体" w:hAnsi="宋体" w:eastAsia="宋体" w:cs="宋体"/>
          <w:b/>
          <w:color w:val="000000"/>
          <w:sz w:val="24"/>
          <w:szCs w:val="24"/>
        </w:rPr>
        <w:t xml:space="preserve">   不可抗力事件处理</w:t>
      </w:r>
    </w:p>
    <w:p w14:paraId="4922E2D7">
      <w:pPr>
        <w:pStyle w:val="17"/>
        <w:pageBreakBefore w:val="0"/>
        <w:tabs>
          <w:tab w:val="left" w:leader="middleDot" w:pos="9240"/>
        </w:tabs>
        <w:kinsoku/>
        <w:wordWrap/>
        <w:overflowPunct/>
        <w:topLinePunct w:val="0"/>
        <w:bidi w:val="0"/>
        <w:spacing w:line="440" w:lineRule="exact"/>
        <w:ind w:firstLine="420"/>
        <w:rPr>
          <w:rFonts w:hint="eastAsia" w:ascii="宋体" w:hAnsi="宋体" w:eastAsia="宋体" w:cs="宋体"/>
          <w:color w:val="000000"/>
          <w:sz w:val="24"/>
          <w:szCs w:val="24"/>
        </w:rPr>
      </w:pPr>
      <w:r>
        <w:rPr>
          <w:rFonts w:hint="eastAsia" w:hAnsi="宋体" w:eastAsia="宋体" w:cs="宋体"/>
          <w:color w:val="000000"/>
          <w:sz w:val="24"/>
          <w:szCs w:val="24"/>
          <w:lang w:val="en-US" w:eastAsia="zh-CN"/>
        </w:rPr>
        <w:t>10</w:t>
      </w:r>
      <w:r>
        <w:rPr>
          <w:rFonts w:hint="eastAsia" w:ascii="宋体" w:hAnsi="宋体" w:eastAsia="宋体" w:cs="宋体"/>
          <w:color w:val="000000"/>
          <w:sz w:val="24"/>
          <w:szCs w:val="24"/>
        </w:rPr>
        <w:t>.1在合同有效期限内，任何一方因不可抗力事件导致不能按时履行合同，则合同履行期可延长，其延长期与不可抗力影响期相同。由于不可抗力事件导致合同的根本目的不能实现时，一方可解除合同。</w:t>
      </w:r>
    </w:p>
    <w:p w14:paraId="60D42A8C">
      <w:pPr>
        <w:pageBreakBefore w:val="0"/>
        <w:tabs>
          <w:tab w:val="left" w:leader="middleDot" w:pos="9240"/>
        </w:tabs>
        <w:kinsoku/>
        <w:wordWrap/>
        <w:overflowPunct/>
        <w:topLinePunct w:val="0"/>
        <w:bidi w:val="0"/>
        <w:spacing w:after="124" w:afterLines="40" w:line="36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10</w:t>
      </w:r>
      <w:r>
        <w:rPr>
          <w:rFonts w:hint="eastAsia" w:ascii="宋体" w:hAnsi="宋体" w:eastAsia="宋体" w:cs="宋体"/>
          <w:color w:val="000000"/>
          <w:sz w:val="24"/>
          <w:szCs w:val="24"/>
        </w:rPr>
        <w:t>.2不可抗力事件</w:t>
      </w:r>
      <w:r>
        <w:rPr>
          <w:rFonts w:hint="eastAsia" w:ascii="宋体" w:hAnsi="宋体" w:eastAsia="宋体" w:cs="宋体"/>
          <w:sz w:val="24"/>
          <w:szCs w:val="24"/>
        </w:rPr>
        <w:t>（包括</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"https://baike.so.com/doc/5034871-5261390.html" \t "https://baike.so.com/doc/_blank" </w:instrText>
      </w:r>
      <w:r>
        <w:rPr>
          <w:rFonts w:hint="eastAsia" w:ascii="宋体" w:hAnsi="宋体" w:eastAsia="宋体" w:cs="宋体"/>
          <w:sz w:val="24"/>
          <w:szCs w:val="24"/>
        </w:rPr>
        <w:fldChar w:fldCharType="separate"/>
      </w:r>
      <w:r>
        <w:rPr>
          <w:rFonts w:hint="eastAsia" w:ascii="宋体" w:hAnsi="宋体" w:eastAsia="宋体" w:cs="宋体"/>
          <w:sz w:val="24"/>
          <w:szCs w:val="24"/>
        </w:rPr>
        <w:t>自然灾害</w:t>
      </w:r>
      <w:r>
        <w:rPr>
          <w:rFonts w:hint="eastAsia" w:ascii="宋体" w:hAnsi="宋体" w:eastAsia="宋体" w:cs="宋体"/>
          <w:sz w:val="24"/>
          <w:szCs w:val="24"/>
        </w:rPr>
        <w:fldChar w:fldCharType="end"/>
      </w:r>
      <w:r>
        <w:rPr>
          <w:rFonts w:hint="eastAsia" w:ascii="宋体" w:hAnsi="宋体" w:eastAsia="宋体" w:cs="宋体"/>
          <w:sz w:val="24"/>
          <w:szCs w:val="24"/>
        </w:rPr>
        <w:t>、如</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"https://baike.so.com/doc/7189817-7414015.html" \t "https://baike.so.com/doc/_blank" </w:instrText>
      </w:r>
      <w:r>
        <w:rPr>
          <w:rFonts w:hint="eastAsia" w:ascii="宋体" w:hAnsi="宋体" w:eastAsia="宋体" w:cs="宋体"/>
          <w:sz w:val="24"/>
          <w:szCs w:val="24"/>
        </w:rPr>
        <w:fldChar w:fldCharType="separate"/>
      </w:r>
      <w:r>
        <w:rPr>
          <w:rFonts w:hint="eastAsia" w:ascii="宋体" w:hAnsi="宋体" w:eastAsia="宋体" w:cs="宋体"/>
          <w:sz w:val="24"/>
          <w:szCs w:val="24"/>
        </w:rPr>
        <w:t>台风</w:t>
      </w:r>
      <w:r>
        <w:rPr>
          <w:rFonts w:hint="eastAsia" w:ascii="宋体" w:hAnsi="宋体" w:eastAsia="宋体" w:cs="宋体"/>
          <w:sz w:val="24"/>
          <w:szCs w:val="24"/>
        </w:rPr>
        <w:fldChar w:fldCharType="end"/>
      </w:r>
      <w:r>
        <w:rPr>
          <w:rFonts w:hint="eastAsia" w:ascii="宋体" w:hAnsi="宋体" w:eastAsia="宋体" w:cs="宋体"/>
          <w:sz w:val="24"/>
          <w:szCs w:val="24"/>
        </w:rPr>
        <w:t>、</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"https://baike.so.com/doc/3055511-8203308.html" \t "https://baike.so.com/doc/_blank" </w:instrText>
      </w:r>
      <w:r>
        <w:rPr>
          <w:rFonts w:hint="eastAsia" w:ascii="宋体" w:hAnsi="宋体" w:eastAsia="宋体" w:cs="宋体"/>
          <w:sz w:val="24"/>
          <w:szCs w:val="24"/>
        </w:rPr>
        <w:fldChar w:fldCharType="separate"/>
      </w:r>
      <w:r>
        <w:rPr>
          <w:rFonts w:hint="eastAsia" w:ascii="宋体" w:hAnsi="宋体" w:eastAsia="宋体" w:cs="宋体"/>
          <w:sz w:val="24"/>
          <w:szCs w:val="24"/>
        </w:rPr>
        <w:t>地震</w:t>
      </w:r>
      <w:r>
        <w:rPr>
          <w:rFonts w:hint="eastAsia" w:ascii="宋体" w:hAnsi="宋体" w:eastAsia="宋体" w:cs="宋体"/>
          <w:sz w:val="24"/>
          <w:szCs w:val="24"/>
        </w:rPr>
        <w:fldChar w:fldCharType="end"/>
      </w:r>
      <w:r>
        <w:rPr>
          <w:rFonts w:hint="eastAsia" w:ascii="宋体" w:hAnsi="宋体" w:eastAsia="宋体" w:cs="宋体"/>
          <w:sz w:val="24"/>
          <w:szCs w:val="24"/>
        </w:rPr>
        <w:t>、洪水、</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"https://baike.so.com/doc/4028853-4226450.html" \t "https://baike.so.com/doc/_blank" </w:instrText>
      </w:r>
      <w:r>
        <w:rPr>
          <w:rFonts w:hint="eastAsia" w:ascii="宋体" w:hAnsi="宋体" w:eastAsia="宋体" w:cs="宋体"/>
          <w:sz w:val="24"/>
          <w:szCs w:val="24"/>
        </w:rPr>
        <w:fldChar w:fldCharType="separate"/>
      </w:r>
      <w:r>
        <w:rPr>
          <w:rFonts w:hint="eastAsia" w:ascii="宋体" w:hAnsi="宋体" w:eastAsia="宋体" w:cs="宋体"/>
          <w:sz w:val="24"/>
          <w:szCs w:val="24"/>
        </w:rPr>
        <w:t>冰雹</w:t>
      </w:r>
      <w:r>
        <w:rPr>
          <w:rFonts w:hint="eastAsia" w:ascii="宋体" w:hAnsi="宋体" w:eastAsia="宋体" w:cs="宋体"/>
          <w:sz w:val="24"/>
          <w:szCs w:val="24"/>
        </w:rPr>
        <w:fldChar w:fldCharType="end"/>
      </w:r>
      <w:r>
        <w:rPr>
          <w:rFonts w:hint="eastAsia" w:ascii="宋体" w:hAnsi="宋体" w:eastAsia="宋体" w:cs="宋体"/>
          <w:sz w:val="24"/>
          <w:szCs w:val="24"/>
        </w:rPr>
        <w:t>;</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"https://baike.so.com/doc/6203172-6416438.html" \t "https://baike.so.com/doc/_blank" </w:instrText>
      </w:r>
      <w:r>
        <w:rPr>
          <w:rFonts w:hint="eastAsia" w:ascii="宋体" w:hAnsi="宋体" w:eastAsia="宋体" w:cs="宋体"/>
          <w:sz w:val="24"/>
          <w:szCs w:val="24"/>
        </w:rPr>
        <w:fldChar w:fldCharType="separate"/>
      </w:r>
      <w:r>
        <w:rPr>
          <w:rFonts w:hint="eastAsia" w:ascii="宋体" w:hAnsi="宋体" w:eastAsia="宋体" w:cs="宋体"/>
          <w:sz w:val="24"/>
          <w:szCs w:val="24"/>
        </w:rPr>
        <w:t>政府行为</w:t>
      </w:r>
      <w:r>
        <w:rPr>
          <w:rFonts w:hint="eastAsia" w:ascii="宋体" w:hAnsi="宋体" w:eastAsia="宋体" w:cs="宋体"/>
          <w:sz w:val="24"/>
          <w:szCs w:val="24"/>
        </w:rPr>
        <w:fldChar w:fldCharType="end"/>
      </w:r>
      <w:r>
        <w:rPr>
          <w:rFonts w:hint="eastAsia" w:ascii="宋体" w:hAnsi="宋体" w:eastAsia="宋体" w:cs="宋体"/>
          <w:sz w:val="24"/>
          <w:szCs w:val="24"/>
        </w:rPr>
        <w:t>，如征收、征用）</w:t>
      </w:r>
      <w:r>
        <w:rPr>
          <w:rFonts w:hint="eastAsia" w:ascii="宋体" w:hAnsi="宋体" w:eastAsia="宋体" w:cs="宋体"/>
          <w:color w:val="000000"/>
          <w:sz w:val="24"/>
          <w:szCs w:val="24"/>
        </w:rPr>
        <w:t>发生后，应立即通知对方，并寄送有关权威机构出具的证明。</w:t>
      </w:r>
    </w:p>
    <w:p w14:paraId="0AEB1F8F">
      <w:pPr>
        <w:pStyle w:val="17"/>
        <w:pageBreakBefore w:val="0"/>
        <w:tabs>
          <w:tab w:val="left" w:leader="middleDot" w:pos="9240"/>
        </w:tabs>
        <w:kinsoku/>
        <w:wordWrap/>
        <w:overflowPunct/>
        <w:topLinePunct w:val="0"/>
        <w:bidi w:val="0"/>
        <w:spacing w:line="440" w:lineRule="exact"/>
        <w:ind w:firstLine="420"/>
        <w:rPr>
          <w:rFonts w:hint="eastAsia" w:ascii="宋体" w:hAnsi="宋体" w:eastAsia="宋体" w:cs="宋体"/>
          <w:color w:val="000000"/>
          <w:sz w:val="24"/>
          <w:szCs w:val="24"/>
        </w:rPr>
      </w:pPr>
      <w:r>
        <w:rPr>
          <w:rFonts w:hint="eastAsia" w:hAnsi="宋体" w:eastAsia="宋体" w:cs="宋体"/>
          <w:color w:val="000000"/>
          <w:sz w:val="24"/>
          <w:szCs w:val="24"/>
          <w:lang w:val="en-US" w:eastAsia="zh-CN"/>
        </w:rPr>
        <w:t>10</w:t>
      </w:r>
      <w:r>
        <w:rPr>
          <w:rFonts w:hint="eastAsia" w:ascii="宋体" w:hAnsi="宋体" w:eastAsia="宋体" w:cs="宋体"/>
          <w:color w:val="000000"/>
          <w:sz w:val="24"/>
          <w:szCs w:val="24"/>
        </w:rPr>
        <w:t>.3不可抗力事件延续120天以上，双方应通过友好协商，确定是否继续履行合同。</w:t>
      </w:r>
    </w:p>
    <w:p w14:paraId="2CA49415">
      <w:pPr>
        <w:keepNext w:val="0"/>
        <w:keepLines w:val="0"/>
        <w:pageBreakBefore w:val="0"/>
        <w:widowControl w:val="0"/>
        <w:tabs>
          <w:tab w:val="left" w:leader="middleDot" w:pos="9240"/>
        </w:tabs>
        <w:kinsoku/>
        <w:wordWrap/>
        <w:overflowPunct/>
        <w:topLinePunct w:val="0"/>
        <w:autoSpaceDE/>
        <w:autoSpaceDN/>
        <w:bidi w:val="0"/>
        <w:adjustRightInd/>
        <w:snapToGrid/>
        <w:spacing w:before="157" w:beforeLines="50" w:after="157" w:afterLines="50"/>
        <w:ind w:firstLine="0" w:firstLineChars="0"/>
        <w:jc w:val="center"/>
        <w:textAlignment w:val="auto"/>
        <w:rPr>
          <w:rFonts w:hint="eastAsia" w:ascii="宋体" w:hAnsi="宋体" w:eastAsia="宋体" w:cs="宋体"/>
          <w:b/>
          <w:color w:val="000000"/>
          <w:sz w:val="24"/>
          <w:szCs w:val="24"/>
        </w:rPr>
      </w:pPr>
      <w:r>
        <w:rPr>
          <w:rFonts w:hint="eastAsia" w:ascii="宋体" w:hAnsi="宋体" w:eastAsia="宋体" w:cs="宋体"/>
          <w:b/>
          <w:color w:val="000000"/>
          <w:sz w:val="24"/>
          <w:szCs w:val="24"/>
        </w:rPr>
        <w:t>十</w:t>
      </w:r>
      <w:r>
        <w:rPr>
          <w:rFonts w:hint="eastAsia" w:ascii="宋体" w:hAnsi="宋体" w:eastAsia="宋体" w:cs="宋体"/>
          <w:b/>
          <w:color w:val="000000"/>
          <w:sz w:val="24"/>
          <w:szCs w:val="24"/>
          <w:lang w:val="en-US" w:eastAsia="zh-CN"/>
        </w:rPr>
        <w:t>一</w:t>
      </w:r>
      <w:r>
        <w:rPr>
          <w:rFonts w:hint="eastAsia" w:ascii="宋体" w:hAnsi="宋体" w:eastAsia="宋体" w:cs="宋体"/>
          <w:b/>
          <w:color w:val="000000"/>
          <w:sz w:val="24"/>
          <w:szCs w:val="24"/>
        </w:rPr>
        <w:t xml:space="preserve">   仲   裁</w:t>
      </w:r>
    </w:p>
    <w:p w14:paraId="78EED360">
      <w:pPr>
        <w:pStyle w:val="17"/>
        <w:pageBreakBefore w:val="0"/>
        <w:tabs>
          <w:tab w:val="left" w:leader="middleDot" w:pos="9240"/>
        </w:tabs>
        <w:kinsoku/>
        <w:wordWrap/>
        <w:overflowPunct/>
        <w:topLinePunct w:val="0"/>
        <w:bidi w:val="0"/>
        <w:spacing w:line="38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hAnsi="宋体" w:eastAsia="宋体" w:cs="宋体"/>
          <w:color w:val="000000"/>
          <w:sz w:val="24"/>
          <w:szCs w:val="24"/>
          <w:lang w:val="en-US" w:eastAsia="zh-CN"/>
        </w:rPr>
        <w:t>1</w:t>
      </w:r>
      <w:r>
        <w:rPr>
          <w:rFonts w:hint="eastAsia" w:ascii="宋体" w:hAnsi="宋体" w:eastAsia="宋体" w:cs="宋体"/>
          <w:color w:val="000000"/>
          <w:sz w:val="24"/>
          <w:szCs w:val="24"/>
        </w:rPr>
        <w:t>.1</w:t>
      </w:r>
      <w:r>
        <w:rPr>
          <w:rFonts w:hint="eastAsia" w:ascii="宋体" w:hAnsi="宋体" w:eastAsia="宋体" w:cs="宋体"/>
          <w:sz w:val="24"/>
          <w:szCs w:val="24"/>
        </w:rPr>
        <w:t>凡因执行项目所发生的争议，或与本项目有关的一切争议，双方应通过友好协商解决。如果协商不能解决，依照《中华人民共和国民法典》，由双方认可的仲裁部门解决或向人民法院起诉。</w:t>
      </w:r>
    </w:p>
    <w:p w14:paraId="006EF823">
      <w:pPr>
        <w:keepNext w:val="0"/>
        <w:keepLines w:val="0"/>
        <w:pageBreakBefore w:val="0"/>
        <w:widowControl w:val="0"/>
        <w:tabs>
          <w:tab w:val="left" w:leader="middleDot" w:pos="9240"/>
        </w:tabs>
        <w:kinsoku/>
        <w:wordWrap/>
        <w:overflowPunct/>
        <w:topLinePunct w:val="0"/>
        <w:autoSpaceDE/>
        <w:autoSpaceDN/>
        <w:bidi w:val="0"/>
        <w:adjustRightInd/>
        <w:snapToGrid/>
        <w:spacing w:before="157" w:beforeLines="50" w:after="157" w:afterLines="50"/>
        <w:ind w:firstLine="0" w:firstLineChars="0"/>
        <w:jc w:val="center"/>
        <w:textAlignment w:val="auto"/>
        <w:rPr>
          <w:rFonts w:hint="eastAsia" w:ascii="宋体" w:hAnsi="宋体" w:eastAsia="宋体" w:cs="宋体"/>
          <w:b/>
          <w:color w:val="000000"/>
          <w:sz w:val="24"/>
          <w:szCs w:val="24"/>
        </w:rPr>
      </w:pPr>
      <w:r>
        <w:rPr>
          <w:rFonts w:hint="eastAsia" w:ascii="宋体" w:hAnsi="宋体" w:eastAsia="宋体" w:cs="宋体"/>
          <w:b/>
          <w:color w:val="000000"/>
          <w:sz w:val="24"/>
          <w:szCs w:val="24"/>
        </w:rPr>
        <w:t>十</w:t>
      </w:r>
      <w:r>
        <w:rPr>
          <w:rFonts w:hint="eastAsia" w:ascii="宋体" w:hAnsi="宋体" w:eastAsia="宋体" w:cs="宋体"/>
          <w:b/>
          <w:color w:val="000000"/>
          <w:sz w:val="24"/>
          <w:szCs w:val="24"/>
          <w:lang w:val="en-US" w:eastAsia="zh-CN"/>
        </w:rPr>
        <w:t>二</w:t>
      </w:r>
      <w:r>
        <w:rPr>
          <w:rFonts w:hint="eastAsia" w:ascii="宋体" w:hAnsi="宋体" w:eastAsia="宋体" w:cs="宋体"/>
          <w:b/>
          <w:color w:val="000000"/>
          <w:sz w:val="24"/>
          <w:szCs w:val="24"/>
        </w:rPr>
        <w:t xml:space="preserve">   合同生效及其它</w:t>
      </w:r>
    </w:p>
    <w:p w14:paraId="5E543ED9">
      <w:pPr>
        <w:pStyle w:val="17"/>
        <w:pageBreakBefore w:val="0"/>
        <w:tabs>
          <w:tab w:val="left" w:leader="middleDot" w:pos="9240"/>
        </w:tabs>
        <w:kinsoku/>
        <w:wordWrap/>
        <w:overflowPunct/>
        <w:topLinePunct w:val="0"/>
        <w:bidi w:val="0"/>
        <w:spacing w:line="38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hAnsi="宋体" w:eastAsia="宋体" w:cs="宋体"/>
          <w:color w:val="000000"/>
          <w:sz w:val="24"/>
          <w:szCs w:val="24"/>
          <w:lang w:val="en-US" w:eastAsia="zh-CN"/>
        </w:rPr>
        <w:t>2</w:t>
      </w:r>
      <w:r>
        <w:rPr>
          <w:rFonts w:hint="eastAsia" w:ascii="宋体" w:hAnsi="宋体" w:eastAsia="宋体" w:cs="宋体"/>
          <w:color w:val="000000"/>
          <w:sz w:val="24"/>
          <w:szCs w:val="24"/>
        </w:rPr>
        <w:t>.1合同经双方法定代表人或委托代理人签字并加盖单位公章后生效。</w:t>
      </w:r>
    </w:p>
    <w:p w14:paraId="7AA56D56">
      <w:pPr>
        <w:pStyle w:val="17"/>
        <w:pageBreakBefore w:val="0"/>
        <w:tabs>
          <w:tab w:val="left" w:leader="middleDot" w:pos="9240"/>
        </w:tabs>
        <w:kinsoku/>
        <w:wordWrap/>
        <w:overflowPunct/>
        <w:topLinePunct w:val="0"/>
        <w:bidi w:val="0"/>
        <w:spacing w:line="38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hAnsi="宋体" w:eastAsia="宋体" w:cs="宋体"/>
          <w:color w:val="000000"/>
          <w:sz w:val="24"/>
          <w:szCs w:val="24"/>
          <w:lang w:val="en-US" w:eastAsia="zh-CN"/>
        </w:rPr>
        <w:t>2</w:t>
      </w:r>
      <w:r>
        <w:rPr>
          <w:rFonts w:hint="eastAsia" w:ascii="宋体" w:hAnsi="宋体" w:eastAsia="宋体" w:cs="宋体"/>
          <w:color w:val="000000"/>
          <w:sz w:val="24"/>
          <w:szCs w:val="24"/>
        </w:rPr>
        <w:t>.2合同履行中，如需修改或补充合同内容，由双方协商另签署书面修改或补充协议作为主合同不可分割的一部分。</w:t>
      </w:r>
    </w:p>
    <w:p w14:paraId="66AC1698">
      <w:pPr>
        <w:keepNext w:val="0"/>
        <w:keepLines w:val="0"/>
        <w:pageBreakBefore w:val="0"/>
        <w:kinsoku/>
        <w:wordWrap/>
        <w:overflowPunct/>
        <w:topLinePunct w:val="0"/>
        <w:autoSpaceDE/>
        <w:autoSpaceDN/>
        <w:bidi w:val="0"/>
        <w:spacing w:line="400" w:lineRule="exact"/>
        <w:ind w:firstLine="480" w:firstLineChars="200"/>
        <w:textAlignment w:val="auto"/>
        <w:rPr>
          <w:rFonts w:hint="eastAsia"/>
          <w:highlight w:val="none"/>
          <w:lang w:val="en-US" w:eastAsia="zh-CN"/>
        </w:rPr>
      </w:pPr>
      <w:r>
        <w:rPr>
          <w:rFonts w:hint="eastAsia" w:ascii="宋体" w:hAnsi="宋体" w:eastAsia="宋体" w:cs="宋体"/>
          <w:b w:val="0"/>
          <w:bCs w:val="0"/>
          <w:color w:val="000000"/>
          <w:sz w:val="24"/>
          <w:szCs w:val="24"/>
        </w:rPr>
        <w:t>1</w:t>
      </w:r>
      <w:r>
        <w:rPr>
          <w:rFonts w:hint="eastAsia" w:hAnsi="宋体" w:eastAsia="宋体" w:cs="宋体"/>
          <w:b w:val="0"/>
          <w:bCs w:val="0"/>
          <w:color w:val="000000"/>
          <w:sz w:val="24"/>
          <w:szCs w:val="24"/>
          <w:lang w:val="en-US" w:eastAsia="zh-CN"/>
        </w:rPr>
        <w:t>2</w:t>
      </w:r>
      <w:r>
        <w:rPr>
          <w:rFonts w:hint="eastAsia" w:ascii="宋体" w:hAnsi="宋体" w:eastAsia="宋体" w:cs="宋体"/>
          <w:b w:val="0"/>
          <w:bCs w:val="0"/>
          <w:color w:val="000000"/>
          <w:sz w:val="24"/>
          <w:szCs w:val="24"/>
        </w:rPr>
        <w:t>.3乙方必须自行为其提供产品侵犯其他专利人的专利成果承担相应法律责任，如因侵犯他人专利权造成甲方损失的，还应赔偿甲方损失。</w:t>
      </w:r>
    </w:p>
    <w:sectPr>
      <w:footerReference r:id="rId5" w:type="default"/>
      <w:pgSz w:w="11906" w:h="16838"/>
      <w:pgMar w:top="1701" w:right="1417" w:bottom="1417" w:left="170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Ђˎ̥">
    <w:altName w:val="Times New Roman"/>
    <w:panose1 w:val="00000000000000000000"/>
    <w:charset w:val="00"/>
    <w:family w:val="roman"/>
    <w:pitch w:val="default"/>
    <w:sig w:usb0="00000000" w:usb1="00000000" w:usb2="00000000"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79348">
    <w:pPr>
      <w:pStyle w:val="1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0C33A2">
                          <w:pPr>
                            <w:pStyle w:val="1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50C33A2">
                    <w:pPr>
                      <w:pStyle w:val="1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04B6FF">
    <w:pPr>
      <w:pStyle w:val="18"/>
      <w:jc w:val="both"/>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625242">
                          <w:pPr>
                            <w:pStyle w:val="18"/>
                            <w:jc w:val="center"/>
                          </w:pPr>
                          <w:r>
                            <w:fldChar w:fldCharType="begin"/>
                          </w:r>
                          <w:r>
                            <w:instrText xml:space="preserve"> PAGE   \* MERGEFORMAT </w:instrText>
                          </w:r>
                          <w:r>
                            <w:fldChar w:fldCharType="separate"/>
                          </w:r>
                          <w:r>
                            <w:rPr>
                              <w:lang w:val="zh-CN"/>
                            </w:rPr>
                            <w:t>10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E625242">
                    <w:pPr>
                      <w:pStyle w:val="18"/>
                      <w:jc w:val="center"/>
                    </w:pPr>
                    <w:r>
                      <w:fldChar w:fldCharType="begin"/>
                    </w:r>
                    <w:r>
                      <w:instrText xml:space="preserve"> PAGE   \* MERGEFORMAT </w:instrText>
                    </w:r>
                    <w:r>
                      <w:fldChar w:fldCharType="separate"/>
                    </w:r>
                    <w:r>
                      <w:rPr>
                        <w:lang w:val="zh-CN"/>
                      </w:rPr>
                      <w:t>10</w:t>
                    </w:r>
                    <w:r>
                      <w:fldChar w:fldCharType="end"/>
                    </w:r>
                  </w:p>
                </w:txbxContent>
              </v:textbox>
            </v:shape>
          </w:pict>
        </mc:Fallback>
      </mc:AlternateContent>
    </w:r>
  </w:p>
  <w:p w14:paraId="6F2775EE">
    <w:pPr>
      <w:pStyle w:val="1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3331FE">
    <w:pPr>
      <w:pStyle w:val="19"/>
      <w:pBdr>
        <w:bottom w:val="single" w:color="auto" w:sz="4"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37A8B6"/>
    <w:multiLevelType w:val="singleLevel"/>
    <w:tmpl w:val="BE37A8B6"/>
    <w:lvl w:ilvl="0" w:tentative="0">
      <w:start w:val="3"/>
      <w:numFmt w:val="chineseCounting"/>
      <w:suff w:val="nothing"/>
      <w:lvlText w:val="%1、"/>
      <w:lvlJc w:val="left"/>
      <w:rPr>
        <w:rFonts w:hint="eastAsia"/>
      </w:rPr>
    </w:lvl>
  </w:abstractNum>
  <w:abstractNum w:abstractNumId="1">
    <w:nsid w:val="CD306D35"/>
    <w:multiLevelType w:val="singleLevel"/>
    <w:tmpl w:val="CD306D35"/>
    <w:lvl w:ilvl="0" w:tentative="0">
      <w:start w:val="2"/>
      <w:numFmt w:val="chineseCounting"/>
      <w:suff w:val="nothing"/>
      <w:lvlText w:val="%1、"/>
      <w:lvlJc w:val="left"/>
      <w:rPr>
        <w:rFonts w:hint="eastAsia"/>
      </w:rPr>
    </w:lvl>
  </w:abstractNum>
  <w:abstractNum w:abstractNumId="2">
    <w:nsid w:val="EFBDC91E"/>
    <w:multiLevelType w:val="singleLevel"/>
    <w:tmpl w:val="EFBDC91E"/>
    <w:lvl w:ilvl="0" w:tentative="0">
      <w:start w:val="2"/>
      <w:numFmt w:val="decimal"/>
      <w:suff w:val="nothing"/>
      <w:lvlText w:val="（%1）"/>
      <w:lvlJc w:val="left"/>
      <w:rPr>
        <w:rFonts w:hint="default"/>
        <w:b w:val="0"/>
        <w:bCs w:val="0"/>
      </w:rPr>
    </w:lvl>
  </w:abstractNum>
  <w:abstractNum w:abstractNumId="3">
    <w:nsid w:val="064BE252"/>
    <w:multiLevelType w:val="singleLevel"/>
    <w:tmpl w:val="064BE252"/>
    <w:lvl w:ilvl="0" w:tentative="0">
      <w:start w:val="1"/>
      <w:numFmt w:val="decimal"/>
      <w:pStyle w:val="6"/>
      <w:lvlText w:val="%1."/>
      <w:lvlJc w:val="left"/>
      <w:pPr>
        <w:tabs>
          <w:tab w:val="left" w:pos="360"/>
        </w:tabs>
        <w:ind w:left="360" w:hanging="36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xNWU1N2QxY2UxZWI4YzNlODg4ODFmNzk0YTgzMDQifQ=="/>
  </w:docVars>
  <w:rsids>
    <w:rsidRoot w:val="00000000"/>
    <w:rsid w:val="000A002F"/>
    <w:rsid w:val="003A4F45"/>
    <w:rsid w:val="005A7208"/>
    <w:rsid w:val="007200AE"/>
    <w:rsid w:val="00726300"/>
    <w:rsid w:val="00762B36"/>
    <w:rsid w:val="007D6A53"/>
    <w:rsid w:val="00A41E1A"/>
    <w:rsid w:val="00A67D58"/>
    <w:rsid w:val="00CD3536"/>
    <w:rsid w:val="00E37089"/>
    <w:rsid w:val="00FF56BA"/>
    <w:rsid w:val="01136B4E"/>
    <w:rsid w:val="012313A8"/>
    <w:rsid w:val="01260E98"/>
    <w:rsid w:val="015123B9"/>
    <w:rsid w:val="01661B19"/>
    <w:rsid w:val="01695955"/>
    <w:rsid w:val="017B785A"/>
    <w:rsid w:val="019404F8"/>
    <w:rsid w:val="01962088"/>
    <w:rsid w:val="019B5D8A"/>
    <w:rsid w:val="019C520C"/>
    <w:rsid w:val="019F1CAA"/>
    <w:rsid w:val="01C04E49"/>
    <w:rsid w:val="01DE1773"/>
    <w:rsid w:val="02072A78"/>
    <w:rsid w:val="020C66EF"/>
    <w:rsid w:val="0218414F"/>
    <w:rsid w:val="02222CAB"/>
    <w:rsid w:val="023D51AE"/>
    <w:rsid w:val="02641C78"/>
    <w:rsid w:val="0281282A"/>
    <w:rsid w:val="028B18FB"/>
    <w:rsid w:val="028E3199"/>
    <w:rsid w:val="02900CBF"/>
    <w:rsid w:val="02AD40CA"/>
    <w:rsid w:val="02C62933"/>
    <w:rsid w:val="02E35293"/>
    <w:rsid w:val="02FC6355"/>
    <w:rsid w:val="02FD125B"/>
    <w:rsid w:val="030B79D9"/>
    <w:rsid w:val="031A057A"/>
    <w:rsid w:val="032558AB"/>
    <w:rsid w:val="032633D2"/>
    <w:rsid w:val="03321D76"/>
    <w:rsid w:val="03373831"/>
    <w:rsid w:val="03393105"/>
    <w:rsid w:val="033B6E7D"/>
    <w:rsid w:val="03630182"/>
    <w:rsid w:val="03800D34"/>
    <w:rsid w:val="039842CF"/>
    <w:rsid w:val="03AC38D7"/>
    <w:rsid w:val="03C2134C"/>
    <w:rsid w:val="03D44CDB"/>
    <w:rsid w:val="03E07A24"/>
    <w:rsid w:val="03E52EEC"/>
    <w:rsid w:val="03F62C0E"/>
    <w:rsid w:val="03FB23A4"/>
    <w:rsid w:val="04247911"/>
    <w:rsid w:val="04473600"/>
    <w:rsid w:val="04650ECE"/>
    <w:rsid w:val="04706FFA"/>
    <w:rsid w:val="04A46CA4"/>
    <w:rsid w:val="04CB2483"/>
    <w:rsid w:val="04D53301"/>
    <w:rsid w:val="04E07BD4"/>
    <w:rsid w:val="04E15802"/>
    <w:rsid w:val="04F96FF0"/>
    <w:rsid w:val="05017C52"/>
    <w:rsid w:val="050D2A9B"/>
    <w:rsid w:val="050F7102"/>
    <w:rsid w:val="052D4EEB"/>
    <w:rsid w:val="052F58F4"/>
    <w:rsid w:val="054A066D"/>
    <w:rsid w:val="056856F9"/>
    <w:rsid w:val="057743B8"/>
    <w:rsid w:val="057A09C7"/>
    <w:rsid w:val="058C7E64"/>
    <w:rsid w:val="05A607FA"/>
    <w:rsid w:val="05BF6CDE"/>
    <w:rsid w:val="05CF1AFF"/>
    <w:rsid w:val="05D67331"/>
    <w:rsid w:val="05E1153D"/>
    <w:rsid w:val="05E137B9"/>
    <w:rsid w:val="05FB0B46"/>
    <w:rsid w:val="060E0879"/>
    <w:rsid w:val="061119C9"/>
    <w:rsid w:val="061340E1"/>
    <w:rsid w:val="061E65E2"/>
    <w:rsid w:val="06473D8B"/>
    <w:rsid w:val="06653527"/>
    <w:rsid w:val="06EC048E"/>
    <w:rsid w:val="06F86E33"/>
    <w:rsid w:val="07047ECE"/>
    <w:rsid w:val="07071B14"/>
    <w:rsid w:val="070C28DE"/>
    <w:rsid w:val="072B7208"/>
    <w:rsid w:val="073D0CEA"/>
    <w:rsid w:val="07444509"/>
    <w:rsid w:val="075132BE"/>
    <w:rsid w:val="076170CE"/>
    <w:rsid w:val="07630750"/>
    <w:rsid w:val="0768045D"/>
    <w:rsid w:val="078B5EF9"/>
    <w:rsid w:val="079B25E0"/>
    <w:rsid w:val="07A34FF1"/>
    <w:rsid w:val="07B0452B"/>
    <w:rsid w:val="07B62F76"/>
    <w:rsid w:val="07D16002"/>
    <w:rsid w:val="07E35D35"/>
    <w:rsid w:val="07F01A92"/>
    <w:rsid w:val="080737D2"/>
    <w:rsid w:val="081D2FF5"/>
    <w:rsid w:val="0828199A"/>
    <w:rsid w:val="082D6FB0"/>
    <w:rsid w:val="08421BC8"/>
    <w:rsid w:val="08532F72"/>
    <w:rsid w:val="087A397A"/>
    <w:rsid w:val="08892439"/>
    <w:rsid w:val="08901A19"/>
    <w:rsid w:val="089A2990"/>
    <w:rsid w:val="08A70B11"/>
    <w:rsid w:val="08B124AE"/>
    <w:rsid w:val="08BF5E5A"/>
    <w:rsid w:val="08CC67C9"/>
    <w:rsid w:val="08D07B67"/>
    <w:rsid w:val="08F71A98"/>
    <w:rsid w:val="090221EB"/>
    <w:rsid w:val="090441B5"/>
    <w:rsid w:val="090917CB"/>
    <w:rsid w:val="09153CCC"/>
    <w:rsid w:val="093323A4"/>
    <w:rsid w:val="0941123B"/>
    <w:rsid w:val="095274E4"/>
    <w:rsid w:val="095962AF"/>
    <w:rsid w:val="096B5FE2"/>
    <w:rsid w:val="09862E1C"/>
    <w:rsid w:val="098653FA"/>
    <w:rsid w:val="098826F0"/>
    <w:rsid w:val="099866AB"/>
    <w:rsid w:val="09A82D92"/>
    <w:rsid w:val="09D63EB0"/>
    <w:rsid w:val="09E576CD"/>
    <w:rsid w:val="09FB1114"/>
    <w:rsid w:val="0A0211D5"/>
    <w:rsid w:val="0A1362C7"/>
    <w:rsid w:val="0A31108A"/>
    <w:rsid w:val="0A3F5274"/>
    <w:rsid w:val="0A402FCB"/>
    <w:rsid w:val="0A4D7496"/>
    <w:rsid w:val="0A555C49"/>
    <w:rsid w:val="0A5D5DE0"/>
    <w:rsid w:val="0A762E91"/>
    <w:rsid w:val="0A856C30"/>
    <w:rsid w:val="0A947F5A"/>
    <w:rsid w:val="0AA23C86"/>
    <w:rsid w:val="0AAC240E"/>
    <w:rsid w:val="0AAF0151"/>
    <w:rsid w:val="0AB10AB1"/>
    <w:rsid w:val="0AB87005"/>
    <w:rsid w:val="0ACC0D02"/>
    <w:rsid w:val="0AD100C7"/>
    <w:rsid w:val="0ADD6A6C"/>
    <w:rsid w:val="0ADE26F1"/>
    <w:rsid w:val="0AE4604C"/>
    <w:rsid w:val="0AFD0EBC"/>
    <w:rsid w:val="0AFF19D8"/>
    <w:rsid w:val="0B0C127B"/>
    <w:rsid w:val="0B232DB1"/>
    <w:rsid w:val="0B2428ED"/>
    <w:rsid w:val="0B4E7969"/>
    <w:rsid w:val="0B6220B0"/>
    <w:rsid w:val="0B710869"/>
    <w:rsid w:val="0B812556"/>
    <w:rsid w:val="0B84338B"/>
    <w:rsid w:val="0B850C28"/>
    <w:rsid w:val="0B8B471A"/>
    <w:rsid w:val="0B9F6417"/>
    <w:rsid w:val="0BA76D59"/>
    <w:rsid w:val="0BDA11FD"/>
    <w:rsid w:val="0BDF05C2"/>
    <w:rsid w:val="0BE34556"/>
    <w:rsid w:val="0BE634AB"/>
    <w:rsid w:val="0BF94595"/>
    <w:rsid w:val="0BF95B27"/>
    <w:rsid w:val="0C01678A"/>
    <w:rsid w:val="0C1106D0"/>
    <w:rsid w:val="0C193AD3"/>
    <w:rsid w:val="0C3A7D84"/>
    <w:rsid w:val="0C3F667B"/>
    <w:rsid w:val="0C430A9C"/>
    <w:rsid w:val="0C460641"/>
    <w:rsid w:val="0C594818"/>
    <w:rsid w:val="0C607954"/>
    <w:rsid w:val="0C66480D"/>
    <w:rsid w:val="0C676F35"/>
    <w:rsid w:val="0C6841EA"/>
    <w:rsid w:val="0C7B478E"/>
    <w:rsid w:val="0C8E74CE"/>
    <w:rsid w:val="0C9559EC"/>
    <w:rsid w:val="0CA96C0E"/>
    <w:rsid w:val="0CAA0BCF"/>
    <w:rsid w:val="0CCE2B10"/>
    <w:rsid w:val="0CD619C5"/>
    <w:rsid w:val="0CE02843"/>
    <w:rsid w:val="0CE46347"/>
    <w:rsid w:val="0D132C19"/>
    <w:rsid w:val="0D28578D"/>
    <w:rsid w:val="0D701E19"/>
    <w:rsid w:val="0D9A6E96"/>
    <w:rsid w:val="0DA878DE"/>
    <w:rsid w:val="0DAA6038"/>
    <w:rsid w:val="0DE819AF"/>
    <w:rsid w:val="0DF33CF1"/>
    <w:rsid w:val="0DF977D2"/>
    <w:rsid w:val="0E083E00"/>
    <w:rsid w:val="0E214EC1"/>
    <w:rsid w:val="0E4312DC"/>
    <w:rsid w:val="0E492530"/>
    <w:rsid w:val="0E5C05EF"/>
    <w:rsid w:val="0E5D3047"/>
    <w:rsid w:val="0E71409B"/>
    <w:rsid w:val="0E7A4F7C"/>
    <w:rsid w:val="0EA5125F"/>
    <w:rsid w:val="0EB22DDA"/>
    <w:rsid w:val="0ECC66A0"/>
    <w:rsid w:val="0EED1247"/>
    <w:rsid w:val="0F0E18EA"/>
    <w:rsid w:val="0F234C69"/>
    <w:rsid w:val="0F3B6457"/>
    <w:rsid w:val="0F4672D5"/>
    <w:rsid w:val="0F76748F"/>
    <w:rsid w:val="0F786BF9"/>
    <w:rsid w:val="0F7D1150"/>
    <w:rsid w:val="0F9D2C6D"/>
    <w:rsid w:val="0FA91B7F"/>
    <w:rsid w:val="0FCC6DFA"/>
    <w:rsid w:val="0FE663C2"/>
    <w:rsid w:val="0FE8213B"/>
    <w:rsid w:val="0FFC1B47"/>
    <w:rsid w:val="10101691"/>
    <w:rsid w:val="10182E93"/>
    <w:rsid w:val="10190546"/>
    <w:rsid w:val="1021389E"/>
    <w:rsid w:val="102313C5"/>
    <w:rsid w:val="10246863"/>
    <w:rsid w:val="10525806"/>
    <w:rsid w:val="10607C17"/>
    <w:rsid w:val="106C2D6C"/>
    <w:rsid w:val="107514F4"/>
    <w:rsid w:val="108B0D18"/>
    <w:rsid w:val="10AB3168"/>
    <w:rsid w:val="10B647F9"/>
    <w:rsid w:val="10D16A56"/>
    <w:rsid w:val="10E16B8A"/>
    <w:rsid w:val="10F66AD9"/>
    <w:rsid w:val="113E4E57"/>
    <w:rsid w:val="1151283D"/>
    <w:rsid w:val="11603F53"/>
    <w:rsid w:val="11627CCB"/>
    <w:rsid w:val="1182557E"/>
    <w:rsid w:val="118341C0"/>
    <w:rsid w:val="11847C41"/>
    <w:rsid w:val="11961522"/>
    <w:rsid w:val="119C02C2"/>
    <w:rsid w:val="11C97EA9"/>
    <w:rsid w:val="11E703EE"/>
    <w:rsid w:val="11E93F48"/>
    <w:rsid w:val="11EE5A02"/>
    <w:rsid w:val="11F03528"/>
    <w:rsid w:val="11F823DD"/>
    <w:rsid w:val="11F931F4"/>
    <w:rsid w:val="12056664"/>
    <w:rsid w:val="12086AC4"/>
    <w:rsid w:val="1220184D"/>
    <w:rsid w:val="123F24AA"/>
    <w:rsid w:val="124F46F3"/>
    <w:rsid w:val="12541D09"/>
    <w:rsid w:val="125735A8"/>
    <w:rsid w:val="12591F6D"/>
    <w:rsid w:val="127557DC"/>
    <w:rsid w:val="127C300E"/>
    <w:rsid w:val="12AA12B5"/>
    <w:rsid w:val="12BB79E4"/>
    <w:rsid w:val="12C0114D"/>
    <w:rsid w:val="12C34799"/>
    <w:rsid w:val="12DA1AE3"/>
    <w:rsid w:val="12ED1816"/>
    <w:rsid w:val="12FE1C75"/>
    <w:rsid w:val="130A23C8"/>
    <w:rsid w:val="1319085D"/>
    <w:rsid w:val="13271BB1"/>
    <w:rsid w:val="133B2F48"/>
    <w:rsid w:val="13454C20"/>
    <w:rsid w:val="134A5D70"/>
    <w:rsid w:val="134D2F57"/>
    <w:rsid w:val="135950FD"/>
    <w:rsid w:val="13653AA2"/>
    <w:rsid w:val="138F28CD"/>
    <w:rsid w:val="13A50343"/>
    <w:rsid w:val="13CF716E"/>
    <w:rsid w:val="13F75BCF"/>
    <w:rsid w:val="13FD2011"/>
    <w:rsid w:val="13FF287E"/>
    <w:rsid w:val="140B289C"/>
    <w:rsid w:val="147A2F52"/>
    <w:rsid w:val="147D6BCA"/>
    <w:rsid w:val="148B7538"/>
    <w:rsid w:val="14991C55"/>
    <w:rsid w:val="14A14FAE"/>
    <w:rsid w:val="14A566F8"/>
    <w:rsid w:val="14B2243D"/>
    <w:rsid w:val="14C240EA"/>
    <w:rsid w:val="14C64A14"/>
    <w:rsid w:val="14C64FC0"/>
    <w:rsid w:val="14D64C58"/>
    <w:rsid w:val="14EE1571"/>
    <w:rsid w:val="14F24E09"/>
    <w:rsid w:val="151A11AA"/>
    <w:rsid w:val="151B08BC"/>
    <w:rsid w:val="15202377"/>
    <w:rsid w:val="152B041F"/>
    <w:rsid w:val="154C6CC8"/>
    <w:rsid w:val="157B135B"/>
    <w:rsid w:val="157F5F86"/>
    <w:rsid w:val="15915971"/>
    <w:rsid w:val="159863B1"/>
    <w:rsid w:val="159E0850"/>
    <w:rsid w:val="15A64FE4"/>
    <w:rsid w:val="15CE1DD3"/>
    <w:rsid w:val="15DB629E"/>
    <w:rsid w:val="161465A9"/>
    <w:rsid w:val="162B50BD"/>
    <w:rsid w:val="16361726"/>
    <w:rsid w:val="164511D2"/>
    <w:rsid w:val="1650051A"/>
    <w:rsid w:val="16504596"/>
    <w:rsid w:val="165A18B8"/>
    <w:rsid w:val="165E3829"/>
    <w:rsid w:val="166401D7"/>
    <w:rsid w:val="16677B31"/>
    <w:rsid w:val="16690670"/>
    <w:rsid w:val="166B13D0"/>
    <w:rsid w:val="16716384"/>
    <w:rsid w:val="16832BBD"/>
    <w:rsid w:val="16873D30"/>
    <w:rsid w:val="16A47E5E"/>
    <w:rsid w:val="16CD3E38"/>
    <w:rsid w:val="16EF6D81"/>
    <w:rsid w:val="16F00564"/>
    <w:rsid w:val="16F46EE5"/>
    <w:rsid w:val="17500FFF"/>
    <w:rsid w:val="1766323A"/>
    <w:rsid w:val="177C13BA"/>
    <w:rsid w:val="177C760C"/>
    <w:rsid w:val="1780534F"/>
    <w:rsid w:val="178070FD"/>
    <w:rsid w:val="179008A3"/>
    <w:rsid w:val="1792505A"/>
    <w:rsid w:val="17D87BC0"/>
    <w:rsid w:val="17DC2B1C"/>
    <w:rsid w:val="17F673BF"/>
    <w:rsid w:val="17FB49D5"/>
    <w:rsid w:val="17FD641A"/>
    <w:rsid w:val="18001FEB"/>
    <w:rsid w:val="18031B72"/>
    <w:rsid w:val="18133ACD"/>
    <w:rsid w:val="181461D3"/>
    <w:rsid w:val="181F6915"/>
    <w:rsid w:val="182061EA"/>
    <w:rsid w:val="18216B7B"/>
    <w:rsid w:val="182A601C"/>
    <w:rsid w:val="18316649"/>
    <w:rsid w:val="184B770B"/>
    <w:rsid w:val="18552337"/>
    <w:rsid w:val="18657D01"/>
    <w:rsid w:val="18773C95"/>
    <w:rsid w:val="187C3D68"/>
    <w:rsid w:val="188E5D02"/>
    <w:rsid w:val="189310B2"/>
    <w:rsid w:val="18956512"/>
    <w:rsid w:val="18B352B0"/>
    <w:rsid w:val="18D3325C"/>
    <w:rsid w:val="18DE2567"/>
    <w:rsid w:val="18E15979"/>
    <w:rsid w:val="18E558E7"/>
    <w:rsid w:val="18EE62E8"/>
    <w:rsid w:val="18F51424"/>
    <w:rsid w:val="191F0861"/>
    <w:rsid w:val="19314B52"/>
    <w:rsid w:val="19466124"/>
    <w:rsid w:val="19520625"/>
    <w:rsid w:val="19677E41"/>
    <w:rsid w:val="197A314C"/>
    <w:rsid w:val="198F3627"/>
    <w:rsid w:val="19A60971"/>
    <w:rsid w:val="19B66E06"/>
    <w:rsid w:val="19D96F98"/>
    <w:rsid w:val="19F33BB6"/>
    <w:rsid w:val="19F45B80"/>
    <w:rsid w:val="19F46A70"/>
    <w:rsid w:val="1A14067E"/>
    <w:rsid w:val="1A387E8B"/>
    <w:rsid w:val="1A5B79AD"/>
    <w:rsid w:val="1A691CCE"/>
    <w:rsid w:val="1A733D13"/>
    <w:rsid w:val="1A9058A9"/>
    <w:rsid w:val="1AEA05DF"/>
    <w:rsid w:val="1AEE28FF"/>
    <w:rsid w:val="1B2A7AAB"/>
    <w:rsid w:val="1B593EEC"/>
    <w:rsid w:val="1B66485B"/>
    <w:rsid w:val="1B9413C8"/>
    <w:rsid w:val="1BA64C58"/>
    <w:rsid w:val="1BC33A5C"/>
    <w:rsid w:val="1BC96DA5"/>
    <w:rsid w:val="1BEA548C"/>
    <w:rsid w:val="1BF04E4F"/>
    <w:rsid w:val="1BF44DE1"/>
    <w:rsid w:val="1BF81957"/>
    <w:rsid w:val="1BFF50E5"/>
    <w:rsid w:val="1C071B9A"/>
    <w:rsid w:val="1C0F4155"/>
    <w:rsid w:val="1C2A7637"/>
    <w:rsid w:val="1C31288F"/>
    <w:rsid w:val="1C3953B0"/>
    <w:rsid w:val="1C3F69E4"/>
    <w:rsid w:val="1C406E5A"/>
    <w:rsid w:val="1C4912EF"/>
    <w:rsid w:val="1C691986"/>
    <w:rsid w:val="1C694603"/>
    <w:rsid w:val="1C876837"/>
    <w:rsid w:val="1C9639D6"/>
    <w:rsid w:val="1CA4563B"/>
    <w:rsid w:val="1CA7512B"/>
    <w:rsid w:val="1CB908AC"/>
    <w:rsid w:val="1CBD66FD"/>
    <w:rsid w:val="1CC1101A"/>
    <w:rsid w:val="1CC21E45"/>
    <w:rsid w:val="1CC40B0B"/>
    <w:rsid w:val="1CCB2BC8"/>
    <w:rsid w:val="1CEC0D90"/>
    <w:rsid w:val="1D077978"/>
    <w:rsid w:val="1D150FC5"/>
    <w:rsid w:val="1D232A04"/>
    <w:rsid w:val="1D280446"/>
    <w:rsid w:val="1D2C0BEB"/>
    <w:rsid w:val="1D2D4721"/>
    <w:rsid w:val="1D4961E3"/>
    <w:rsid w:val="1D4E55A7"/>
    <w:rsid w:val="1D7019C1"/>
    <w:rsid w:val="1D713B23"/>
    <w:rsid w:val="1D7274E7"/>
    <w:rsid w:val="1D886D0B"/>
    <w:rsid w:val="1D952D46"/>
    <w:rsid w:val="1D975F15"/>
    <w:rsid w:val="1DA8386E"/>
    <w:rsid w:val="1DAB47A7"/>
    <w:rsid w:val="1DB45D52"/>
    <w:rsid w:val="1DBC0763"/>
    <w:rsid w:val="1DC046F7"/>
    <w:rsid w:val="1DD12460"/>
    <w:rsid w:val="1DED6B6E"/>
    <w:rsid w:val="1E0A5972"/>
    <w:rsid w:val="1E0C16EA"/>
    <w:rsid w:val="1E14059F"/>
    <w:rsid w:val="1E1A22FB"/>
    <w:rsid w:val="1E1E4F79"/>
    <w:rsid w:val="1E2F53D8"/>
    <w:rsid w:val="1E58490A"/>
    <w:rsid w:val="1E587609"/>
    <w:rsid w:val="1E636E30"/>
    <w:rsid w:val="1E656859"/>
    <w:rsid w:val="1E805C34"/>
    <w:rsid w:val="1EA14212"/>
    <w:rsid w:val="1EA731C1"/>
    <w:rsid w:val="1EAC07D7"/>
    <w:rsid w:val="1EAF0707"/>
    <w:rsid w:val="1EB8717C"/>
    <w:rsid w:val="1EBE244B"/>
    <w:rsid w:val="1EBF49AE"/>
    <w:rsid w:val="1EC2624D"/>
    <w:rsid w:val="1F185E6D"/>
    <w:rsid w:val="1F274302"/>
    <w:rsid w:val="1F4B4494"/>
    <w:rsid w:val="1F7D20FB"/>
    <w:rsid w:val="1FA871F0"/>
    <w:rsid w:val="1FAB33E8"/>
    <w:rsid w:val="1FAB6CE1"/>
    <w:rsid w:val="1FB5190D"/>
    <w:rsid w:val="1FCB2EDF"/>
    <w:rsid w:val="1FE16BA6"/>
    <w:rsid w:val="1FF93EF0"/>
    <w:rsid w:val="1FF95C9E"/>
    <w:rsid w:val="201C373B"/>
    <w:rsid w:val="20280331"/>
    <w:rsid w:val="202A22FB"/>
    <w:rsid w:val="20336F55"/>
    <w:rsid w:val="20515ADA"/>
    <w:rsid w:val="206E043A"/>
    <w:rsid w:val="206F7D0E"/>
    <w:rsid w:val="20855784"/>
    <w:rsid w:val="20A0611A"/>
    <w:rsid w:val="20BD3045"/>
    <w:rsid w:val="20E029BA"/>
    <w:rsid w:val="20F91DC3"/>
    <w:rsid w:val="21056955"/>
    <w:rsid w:val="21166835"/>
    <w:rsid w:val="21325ABC"/>
    <w:rsid w:val="214D4EB3"/>
    <w:rsid w:val="217A2E0F"/>
    <w:rsid w:val="217A4BBD"/>
    <w:rsid w:val="218E68BA"/>
    <w:rsid w:val="21934F11"/>
    <w:rsid w:val="21937A2C"/>
    <w:rsid w:val="21957276"/>
    <w:rsid w:val="21A25EC1"/>
    <w:rsid w:val="21B005DE"/>
    <w:rsid w:val="21BA320B"/>
    <w:rsid w:val="21D27BDA"/>
    <w:rsid w:val="21E14C3C"/>
    <w:rsid w:val="21E40488"/>
    <w:rsid w:val="21E93AF0"/>
    <w:rsid w:val="21EB10D5"/>
    <w:rsid w:val="21EB5ABA"/>
    <w:rsid w:val="221548E5"/>
    <w:rsid w:val="22180D21"/>
    <w:rsid w:val="224156DA"/>
    <w:rsid w:val="22450DA6"/>
    <w:rsid w:val="227635D6"/>
    <w:rsid w:val="22794E74"/>
    <w:rsid w:val="22C205C9"/>
    <w:rsid w:val="22CA1B74"/>
    <w:rsid w:val="22CF0F38"/>
    <w:rsid w:val="22F07A78"/>
    <w:rsid w:val="22F64717"/>
    <w:rsid w:val="22FC1362"/>
    <w:rsid w:val="2303104A"/>
    <w:rsid w:val="23272B22"/>
    <w:rsid w:val="232E2103"/>
    <w:rsid w:val="233E75AE"/>
    <w:rsid w:val="23466363"/>
    <w:rsid w:val="234B6811"/>
    <w:rsid w:val="234E78B1"/>
    <w:rsid w:val="236732CC"/>
    <w:rsid w:val="236773C3"/>
    <w:rsid w:val="236964A7"/>
    <w:rsid w:val="236A4649"/>
    <w:rsid w:val="236E2B89"/>
    <w:rsid w:val="238F2BB7"/>
    <w:rsid w:val="239301B8"/>
    <w:rsid w:val="239909B2"/>
    <w:rsid w:val="23B51EDC"/>
    <w:rsid w:val="23E26A49"/>
    <w:rsid w:val="24294138"/>
    <w:rsid w:val="242F7EE0"/>
    <w:rsid w:val="243F3E9B"/>
    <w:rsid w:val="244D3DFE"/>
    <w:rsid w:val="24A952A3"/>
    <w:rsid w:val="24E16D01"/>
    <w:rsid w:val="24EA11A8"/>
    <w:rsid w:val="24F7089A"/>
    <w:rsid w:val="25202D3F"/>
    <w:rsid w:val="25333A00"/>
    <w:rsid w:val="253A4D8F"/>
    <w:rsid w:val="25453733"/>
    <w:rsid w:val="25457290"/>
    <w:rsid w:val="254C4AC2"/>
    <w:rsid w:val="254E0526"/>
    <w:rsid w:val="2553373E"/>
    <w:rsid w:val="256911D0"/>
    <w:rsid w:val="257F27A2"/>
    <w:rsid w:val="258204E4"/>
    <w:rsid w:val="258424AE"/>
    <w:rsid w:val="25A17C6A"/>
    <w:rsid w:val="25A25DCA"/>
    <w:rsid w:val="25D86356"/>
    <w:rsid w:val="25E847EB"/>
    <w:rsid w:val="25FA62CC"/>
    <w:rsid w:val="260D4251"/>
    <w:rsid w:val="2621539B"/>
    <w:rsid w:val="26347A30"/>
    <w:rsid w:val="266100F9"/>
    <w:rsid w:val="2666570F"/>
    <w:rsid w:val="2686305D"/>
    <w:rsid w:val="26867B60"/>
    <w:rsid w:val="268A3AF4"/>
    <w:rsid w:val="26962499"/>
    <w:rsid w:val="269C3827"/>
    <w:rsid w:val="26A60202"/>
    <w:rsid w:val="26B91CE3"/>
    <w:rsid w:val="26C009EF"/>
    <w:rsid w:val="26C86E2D"/>
    <w:rsid w:val="26D61491"/>
    <w:rsid w:val="26DE174A"/>
    <w:rsid w:val="26E66826"/>
    <w:rsid w:val="270A3FE0"/>
    <w:rsid w:val="270C4E2A"/>
    <w:rsid w:val="270D202F"/>
    <w:rsid w:val="271B35CC"/>
    <w:rsid w:val="2729426E"/>
    <w:rsid w:val="27441EF5"/>
    <w:rsid w:val="27561C28"/>
    <w:rsid w:val="275B2D9A"/>
    <w:rsid w:val="27613B9F"/>
    <w:rsid w:val="27644345"/>
    <w:rsid w:val="277B168E"/>
    <w:rsid w:val="27826579"/>
    <w:rsid w:val="279D5271"/>
    <w:rsid w:val="27AC35F6"/>
    <w:rsid w:val="27B626C7"/>
    <w:rsid w:val="27BF157B"/>
    <w:rsid w:val="27C23AD2"/>
    <w:rsid w:val="27CB7F20"/>
    <w:rsid w:val="27EC7E96"/>
    <w:rsid w:val="27F855FD"/>
    <w:rsid w:val="28135D30"/>
    <w:rsid w:val="2821194A"/>
    <w:rsid w:val="282B6C11"/>
    <w:rsid w:val="28551EE0"/>
    <w:rsid w:val="285A2FA5"/>
    <w:rsid w:val="285A5748"/>
    <w:rsid w:val="285F371B"/>
    <w:rsid w:val="28616AD6"/>
    <w:rsid w:val="286E4D4F"/>
    <w:rsid w:val="28706D19"/>
    <w:rsid w:val="287265EE"/>
    <w:rsid w:val="287927AA"/>
    <w:rsid w:val="287C3D28"/>
    <w:rsid w:val="288B5901"/>
    <w:rsid w:val="288E6299"/>
    <w:rsid w:val="28AB47F1"/>
    <w:rsid w:val="28BA7F95"/>
    <w:rsid w:val="28CA1820"/>
    <w:rsid w:val="28DE5E2A"/>
    <w:rsid w:val="28E03E9F"/>
    <w:rsid w:val="290B259E"/>
    <w:rsid w:val="291432EC"/>
    <w:rsid w:val="29564161"/>
    <w:rsid w:val="296A3769"/>
    <w:rsid w:val="296F01AD"/>
    <w:rsid w:val="2973086F"/>
    <w:rsid w:val="29B175E9"/>
    <w:rsid w:val="29C03AD7"/>
    <w:rsid w:val="29C456B6"/>
    <w:rsid w:val="29C72969"/>
    <w:rsid w:val="29D15596"/>
    <w:rsid w:val="29DD218D"/>
    <w:rsid w:val="29E552F5"/>
    <w:rsid w:val="2A0911D4"/>
    <w:rsid w:val="2A092F82"/>
    <w:rsid w:val="2A1A0CEB"/>
    <w:rsid w:val="2A1C0F07"/>
    <w:rsid w:val="2A202079"/>
    <w:rsid w:val="2A2A6532"/>
    <w:rsid w:val="2A3C6EB3"/>
    <w:rsid w:val="2A571F3F"/>
    <w:rsid w:val="2A6554C2"/>
    <w:rsid w:val="2A8E16D9"/>
    <w:rsid w:val="2A9E122B"/>
    <w:rsid w:val="2AA96A88"/>
    <w:rsid w:val="2AB7478C"/>
    <w:rsid w:val="2ABB6513"/>
    <w:rsid w:val="2ACD3FAF"/>
    <w:rsid w:val="2AD01CF1"/>
    <w:rsid w:val="2AD95B0C"/>
    <w:rsid w:val="2ADE61BC"/>
    <w:rsid w:val="2AF754D0"/>
    <w:rsid w:val="2B163BA8"/>
    <w:rsid w:val="2B261911"/>
    <w:rsid w:val="2B400C25"/>
    <w:rsid w:val="2B4A3852"/>
    <w:rsid w:val="2B777BE6"/>
    <w:rsid w:val="2B794137"/>
    <w:rsid w:val="2B801021"/>
    <w:rsid w:val="2B920D55"/>
    <w:rsid w:val="2B9B7567"/>
    <w:rsid w:val="2BA56D2B"/>
    <w:rsid w:val="2BAE3DE1"/>
    <w:rsid w:val="2BC2163A"/>
    <w:rsid w:val="2BC26A33"/>
    <w:rsid w:val="2BE041B6"/>
    <w:rsid w:val="2BF137F5"/>
    <w:rsid w:val="2C1300E8"/>
    <w:rsid w:val="2C155C0E"/>
    <w:rsid w:val="2C17411D"/>
    <w:rsid w:val="2C275941"/>
    <w:rsid w:val="2C2C601B"/>
    <w:rsid w:val="2C3D4040"/>
    <w:rsid w:val="2C550700"/>
    <w:rsid w:val="2C6B3A80"/>
    <w:rsid w:val="2C70553A"/>
    <w:rsid w:val="2C730B86"/>
    <w:rsid w:val="2C9B780D"/>
    <w:rsid w:val="2C9F2B97"/>
    <w:rsid w:val="2CA760BB"/>
    <w:rsid w:val="2CB90C8F"/>
    <w:rsid w:val="2CD535EF"/>
    <w:rsid w:val="2CD634E0"/>
    <w:rsid w:val="2CDA585C"/>
    <w:rsid w:val="2CF6225B"/>
    <w:rsid w:val="2D1139FF"/>
    <w:rsid w:val="2D4A18E7"/>
    <w:rsid w:val="2D5101A8"/>
    <w:rsid w:val="2D572256"/>
    <w:rsid w:val="2D630BFB"/>
    <w:rsid w:val="2D6B4704"/>
    <w:rsid w:val="2D855015"/>
    <w:rsid w:val="2D9E66A8"/>
    <w:rsid w:val="2DAC0C1E"/>
    <w:rsid w:val="2DCF44E2"/>
    <w:rsid w:val="2DF126AA"/>
    <w:rsid w:val="2E0F4E01"/>
    <w:rsid w:val="2E2F4D39"/>
    <w:rsid w:val="2E3B56D4"/>
    <w:rsid w:val="2E6764C9"/>
    <w:rsid w:val="2E6A4A00"/>
    <w:rsid w:val="2E6D79FE"/>
    <w:rsid w:val="2E76670C"/>
    <w:rsid w:val="2E7F39BA"/>
    <w:rsid w:val="2E8928E3"/>
    <w:rsid w:val="2E8E1CA7"/>
    <w:rsid w:val="2EE0567F"/>
    <w:rsid w:val="2EE33991"/>
    <w:rsid w:val="2EE97B20"/>
    <w:rsid w:val="2F1C72B3"/>
    <w:rsid w:val="2F1F3015"/>
    <w:rsid w:val="2F204FF5"/>
    <w:rsid w:val="2F2B399A"/>
    <w:rsid w:val="2F3949C2"/>
    <w:rsid w:val="2F3F11F4"/>
    <w:rsid w:val="2F45680A"/>
    <w:rsid w:val="2F5C1DA5"/>
    <w:rsid w:val="2F633134"/>
    <w:rsid w:val="2F6A2714"/>
    <w:rsid w:val="2F6B5AEA"/>
    <w:rsid w:val="2F6C7A55"/>
    <w:rsid w:val="2F6D7FDB"/>
    <w:rsid w:val="2F827A5E"/>
    <w:rsid w:val="2FB60F93"/>
    <w:rsid w:val="2FB971F8"/>
    <w:rsid w:val="2FC31E25"/>
    <w:rsid w:val="2FDE0A0C"/>
    <w:rsid w:val="2FF10740"/>
    <w:rsid w:val="301B756B"/>
    <w:rsid w:val="30313232"/>
    <w:rsid w:val="303845C1"/>
    <w:rsid w:val="303C2E9C"/>
    <w:rsid w:val="30501C4D"/>
    <w:rsid w:val="305A4537"/>
    <w:rsid w:val="3062163D"/>
    <w:rsid w:val="30656A38"/>
    <w:rsid w:val="30907F59"/>
    <w:rsid w:val="309A2FCC"/>
    <w:rsid w:val="30BF5504"/>
    <w:rsid w:val="30EB1466"/>
    <w:rsid w:val="30F71D86"/>
    <w:rsid w:val="30F80A0D"/>
    <w:rsid w:val="310D3357"/>
    <w:rsid w:val="311E1962"/>
    <w:rsid w:val="312132A7"/>
    <w:rsid w:val="313A6116"/>
    <w:rsid w:val="313E79B5"/>
    <w:rsid w:val="314C75BB"/>
    <w:rsid w:val="317653A0"/>
    <w:rsid w:val="317C3B9F"/>
    <w:rsid w:val="318F1D42"/>
    <w:rsid w:val="31916A3A"/>
    <w:rsid w:val="31932A25"/>
    <w:rsid w:val="319C292D"/>
    <w:rsid w:val="31A517E2"/>
    <w:rsid w:val="31AA329C"/>
    <w:rsid w:val="31AF2660"/>
    <w:rsid w:val="31B23EFF"/>
    <w:rsid w:val="31B859B9"/>
    <w:rsid w:val="31C22F3E"/>
    <w:rsid w:val="31D420C7"/>
    <w:rsid w:val="31DE6AA2"/>
    <w:rsid w:val="31E06CBE"/>
    <w:rsid w:val="31ED3189"/>
    <w:rsid w:val="31F12C79"/>
    <w:rsid w:val="31F43D52"/>
    <w:rsid w:val="31F443CB"/>
    <w:rsid w:val="32047F9D"/>
    <w:rsid w:val="320F30FF"/>
    <w:rsid w:val="320F75A3"/>
    <w:rsid w:val="32186458"/>
    <w:rsid w:val="32285F6F"/>
    <w:rsid w:val="325508C9"/>
    <w:rsid w:val="32621481"/>
    <w:rsid w:val="326C2300"/>
    <w:rsid w:val="32777762"/>
    <w:rsid w:val="32784DC3"/>
    <w:rsid w:val="327D62BB"/>
    <w:rsid w:val="32851613"/>
    <w:rsid w:val="328533C1"/>
    <w:rsid w:val="328E7DEA"/>
    <w:rsid w:val="32943604"/>
    <w:rsid w:val="32963820"/>
    <w:rsid w:val="32B819E9"/>
    <w:rsid w:val="32BF657F"/>
    <w:rsid w:val="32C65EB4"/>
    <w:rsid w:val="32F10A57"/>
    <w:rsid w:val="32F32A21"/>
    <w:rsid w:val="33182487"/>
    <w:rsid w:val="334535E8"/>
    <w:rsid w:val="334705B2"/>
    <w:rsid w:val="33503314"/>
    <w:rsid w:val="33627F5C"/>
    <w:rsid w:val="33745910"/>
    <w:rsid w:val="33D11A5A"/>
    <w:rsid w:val="33E52369"/>
    <w:rsid w:val="33F151B2"/>
    <w:rsid w:val="34117602"/>
    <w:rsid w:val="342968E5"/>
    <w:rsid w:val="342F06CC"/>
    <w:rsid w:val="343706EB"/>
    <w:rsid w:val="343E5F1E"/>
    <w:rsid w:val="34607C42"/>
    <w:rsid w:val="34732BA2"/>
    <w:rsid w:val="347A065D"/>
    <w:rsid w:val="348957C0"/>
    <w:rsid w:val="3491429F"/>
    <w:rsid w:val="3495618F"/>
    <w:rsid w:val="34A75871"/>
    <w:rsid w:val="34B00BC9"/>
    <w:rsid w:val="34B34216"/>
    <w:rsid w:val="34BB131C"/>
    <w:rsid w:val="34E31A24"/>
    <w:rsid w:val="34EB1FE1"/>
    <w:rsid w:val="34EB2755"/>
    <w:rsid w:val="34F62354"/>
    <w:rsid w:val="34FA7A45"/>
    <w:rsid w:val="35127DF3"/>
    <w:rsid w:val="352933BC"/>
    <w:rsid w:val="35366BDD"/>
    <w:rsid w:val="353E4930"/>
    <w:rsid w:val="359758E5"/>
    <w:rsid w:val="359E6C74"/>
    <w:rsid w:val="35BE10C4"/>
    <w:rsid w:val="35D02246"/>
    <w:rsid w:val="35D10786"/>
    <w:rsid w:val="35D27439"/>
    <w:rsid w:val="35E0728C"/>
    <w:rsid w:val="35E84393"/>
    <w:rsid w:val="360F1920"/>
    <w:rsid w:val="361C228F"/>
    <w:rsid w:val="36246FC4"/>
    <w:rsid w:val="364D41F6"/>
    <w:rsid w:val="36511F38"/>
    <w:rsid w:val="365E6403"/>
    <w:rsid w:val="366C4FC4"/>
    <w:rsid w:val="36783969"/>
    <w:rsid w:val="368A544A"/>
    <w:rsid w:val="36AA5AEC"/>
    <w:rsid w:val="36BD137C"/>
    <w:rsid w:val="36E6490D"/>
    <w:rsid w:val="36E717E3"/>
    <w:rsid w:val="36EF52AD"/>
    <w:rsid w:val="36F143CA"/>
    <w:rsid w:val="3704407A"/>
    <w:rsid w:val="370945C1"/>
    <w:rsid w:val="371504C8"/>
    <w:rsid w:val="372B33F7"/>
    <w:rsid w:val="372C6501"/>
    <w:rsid w:val="37337890"/>
    <w:rsid w:val="373830F8"/>
    <w:rsid w:val="3751494E"/>
    <w:rsid w:val="376712E7"/>
    <w:rsid w:val="37A80F1E"/>
    <w:rsid w:val="37B81B43"/>
    <w:rsid w:val="37C329C2"/>
    <w:rsid w:val="37CA60FE"/>
    <w:rsid w:val="37CE559C"/>
    <w:rsid w:val="380134EA"/>
    <w:rsid w:val="38262F51"/>
    <w:rsid w:val="382F0057"/>
    <w:rsid w:val="383026B2"/>
    <w:rsid w:val="38312021"/>
    <w:rsid w:val="38341B11"/>
    <w:rsid w:val="38431D54"/>
    <w:rsid w:val="38447A9B"/>
    <w:rsid w:val="38476878"/>
    <w:rsid w:val="384F06F9"/>
    <w:rsid w:val="3862667F"/>
    <w:rsid w:val="3885236D"/>
    <w:rsid w:val="38A65E3F"/>
    <w:rsid w:val="38C22C79"/>
    <w:rsid w:val="38DA604A"/>
    <w:rsid w:val="38F8669B"/>
    <w:rsid w:val="39026556"/>
    <w:rsid w:val="39074B30"/>
    <w:rsid w:val="39447B32"/>
    <w:rsid w:val="394D08DF"/>
    <w:rsid w:val="39513FFD"/>
    <w:rsid w:val="395835DE"/>
    <w:rsid w:val="395D0BF4"/>
    <w:rsid w:val="396C060C"/>
    <w:rsid w:val="39785A2E"/>
    <w:rsid w:val="39900FC9"/>
    <w:rsid w:val="399833FA"/>
    <w:rsid w:val="39CF4948"/>
    <w:rsid w:val="3A103EB8"/>
    <w:rsid w:val="3A155D47"/>
    <w:rsid w:val="3A217DF2"/>
    <w:rsid w:val="3A361B71"/>
    <w:rsid w:val="3A3E27D3"/>
    <w:rsid w:val="3A3F654C"/>
    <w:rsid w:val="3A4A1178"/>
    <w:rsid w:val="3A4D2A17"/>
    <w:rsid w:val="3A811C9B"/>
    <w:rsid w:val="3A8B1791"/>
    <w:rsid w:val="3A96260F"/>
    <w:rsid w:val="3A9643BE"/>
    <w:rsid w:val="3AA50AA5"/>
    <w:rsid w:val="3ABB02C8"/>
    <w:rsid w:val="3AE72E6B"/>
    <w:rsid w:val="3AF45588"/>
    <w:rsid w:val="3B111C96"/>
    <w:rsid w:val="3B11613A"/>
    <w:rsid w:val="3B283ACB"/>
    <w:rsid w:val="3B2D06E4"/>
    <w:rsid w:val="3B366B34"/>
    <w:rsid w:val="3B3B6D13"/>
    <w:rsid w:val="3B4149DB"/>
    <w:rsid w:val="3B455DE4"/>
    <w:rsid w:val="3B6444BC"/>
    <w:rsid w:val="3B7F4E52"/>
    <w:rsid w:val="3B81506E"/>
    <w:rsid w:val="3B8E00C3"/>
    <w:rsid w:val="3BA7084C"/>
    <w:rsid w:val="3BAF2C8C"/>
    <w:rsid w:val="3BCB453B"/>
    <w:rsid w:val="3BCD02B3"/>
    <w:rsid w:val="3BD17677"/>
    <w:rsid w:val="3BD641DA"/>
    <w:rsid w:val="3BDA080F"/>
    <w:rsid w:val="3BFC64A2"/>
    <w:rsid w:val="3BFF5F92"/>
    <w:rsid w:val="3C236105"/>
    <w:rsid w:val="3C2459F9"/>
    <w:rsid w:val="3C2B4FD9"/>
    <w:rsid w:val="3C325F0B"/>
    <w:rsid w:val="3C3E268D"/>
    <w:rsid w:val="3C544530"/>
    <w:rsid w:val="3C544875"/>
    <w:rsid w:val="3C6127A9"/>
    <w:rsid w:val="3C6A3835"/>
    <w:rsid w:val="3C7E115E"/>
    <w:rsid w:val="3C963F93"/>
    <w:rsid w:val="3CAA0A65"/>
    <w:rsid w:val="3CC35212"/>
    <w:rsid w:val="3CE00DEC"/>
    <w:rsid w:val="3CFB0E50"/>
    <w:rsid w:val="3CFD1EB5"/>
    <w:rsid w:val="3D3954D4"/>
    <w:rsid w:val="3D5705CF"/>
    <w:rsid w:val="3D5D11C3"/>
    <w:rsid w:val="3D7D7AB7"/>
    <w:rsid w:val="3D850719"/>
    <w:rsid w:val="3DD35929"/>
    <w:rsid w:val="3DE03BA2"/>
    <w:rsid w:val="3E060C40"/>
    <w:rsid w:val="3E32264F"/>
    <w:rsid w:val="3E410AE4"/>
    <w:rsid w:val="3E432AAE"/>
    <w:rsid w:val="3E5D1F87"/>
    <w:rsid w:val="3E602B0F"/>
    <w:rsid w:val="3E674787"/>
    <w:rsid w:val="3E8310FD"/>
    <w:rsid w:val="3EDF3E59"/>
    <w:rsid w:val="3EE057E6"/>
    <w:rsid w:val="3EE85404"/>
    <w:rsid w:val="3F19380F"/>
    <w:rsid w:val="3F1E7077"/>
    <w:rsid w:val="3F255D10"/>
    <w:rsid w:val="3F282EC4"/>
    <w:rsid w:val="3F391125"/>
    <w:rsid w:val="3F482F4E"/>
    <w:rsid w:val="3F61717C"/>
    <w:rsid w:val="3F7E18C4"/>
    <w:rsid w:val="3F85325E"/>
    <w:rsid w:val="3F9503E1"/>
    <w:rsid w:val="3F95226A"/>
    <w:rsid w:val="3F9D1D4A"/>
    <w:rsid w:val="3F9E4390"/>
    <w:rsid w:val="3FB928FC"/>
    <w:rsid w:val="3FCF3ECE"/>
    <w:rsid w:val="3FD140EA"/>
    <w:rsid w:val="3FDC0668"/>
    <w:rsid w:val="3FF57DD8"/>
    <w:rsid w:val="401A783F"/>
    <w:rsid w:val="402A3CA8"/>
    <w:rsid w:val="40303710"/>
    <w:rsid w:val="40363F4D"/>
    <w:rsid w:val="403E2FEC"/>
    <w:rsid w:val="404F3FD5"/>
    <w:rsid w:val="406B3DDC"/>
    <w:rsid w:val="407A208B"/>
    <w:rsid w:val="407D0E36"/>
    <w:rsid w:val="40880B53"/>
    <w:rsid w:val="409C0254"/>
    <w:rsid w:val="40A10D90"/>
    <w:rsid w:val="40A315E2"/>
    <w:rsid w:val="40B57568"/>
    <w:rsid w:val="40B97058"/>
    <w:rsid w:val="40E47ED6"/>
    <w:rsid w:val="40F2256A"/>
    <w:rsid w:val="40FF230D"/>
    <w:rsid w:val="41032081"/>
    <w:rsid w:val="410A340F"/>
    <w:rsid w:val="411029F0"/>
    <w:rsid w:val="41120516"/>
    <w:rsid w:val="41210759"/>
    <w:rsid w:val="412169AB"/>
    <w:rsid w:val="412D70FE"/>
    <w:rsid w:val="412F731A"/>
    <w:rsid w:val="41330FCF"/>
    <w:rsid w:val="41415E2F"/>
    <w:rsid w:val="41452699"/>
    <w:rsid w:val="41597EF3"/>
    <w:rsid w:val="41744D2D"/>
    <w:rsid w:val="417B60BB"/>
    <w:rsid w:val="4183522A"/>
    <w:rsid w:val="4185270A"/>
    <w:rsid w:val="418A27A2"/>
    <w:rsid w:val="418E2292"/>
    <w:rsid w:val="419D52B7"/>
    <w:rsid w:val="41B94E35"/>
    <w:rsid w:val="41BD4926"/>
    <w:rsid w:val="41BD66D4"/>
    <w:rsid w:val="41CB6793"/>
    <w:rsid w:val="41EA4FEF"/>
    <w:rsid w:val="42125AB0"/>
    <w:rsid w:val="42154762"/>
    <w:rsid w:val="4233229F"/>
    <w:rsid w:val="423F17DF"/>
    <w:rsid w:val="42426BD9"/>
    <w:rsid w:val="424E557E"/>
    <w:rsid w:val="4253296F"/>
    <w:rsid w:val="42576B28"/>
    <w:rsid w:val="425A03C6"/>
    <w:rsid w:val="427C033D"/>
    <w:rsid w:val="42AD752A"/>
    <w:rsid w:val="42B86E9B"/>
    <w:rsid w:val="42BD407C"/>
    <w:rsid w:val="42C65A5C"/>
    <w:rsid w:val="42DC5CC8"/>
    <w:rsid w:val="42DC702D"/>
    <w:rsid w:val="42DE2DA6"/>
    <w:rsid w:val="42E934F8"/>
    <w:rsid w:val="42FE533E"/>
    <w:rsid w:val="43122A4F"/>
    <w:rsid w:val="431247FD"/>
    <w:rsid w:val="43210C07"/>
    <w:rsid w:val="43326C4D"/>
    <w:rsid w:val="43346E69"/>
    <w:rsid w:val="43544E16"/>
    <w:rsid w:val="4360359D"/>
    <w:rsid w:val="43827BD5"/>
    <w:rsid w:val="438837D9"/>
    <w:rsid w:val="438C45B0"/>
    <w:rsid w:val="43917E18"/>
    <w:rsid w:val="43AC2EA4"/>
    <w:rsid w:val="43C5238F"/>
    <w:rsid w:val="43C65736"/>
    <w:rsid w:val="43CD4BC8"/>
    <w:rsid w:val="43D47D05"/>
    <w:rsid w:val="43D92BEF"/>
    <w:rsid w:val="43EB0C2A"/>
    <w:rsid w:val="44185E43"/>
    <w:rsid w:val="4420119C"/>
    <w:rsid w:val="444529B0"/>
    <w:rsid w:val="44501A81"/>
    <w:rsid w:val="4451147D"/>
    <w:rsid w:val="44636A4E"/>
    <w:rsid w:val="4464552C"/>
    <w:rsid w:val="44722751"/>
    <w:rsid w:val="4475773A"/>
    <w:rsid w:val="447C0AC8"/>
    <w:rsid w:val="44977F05"/>
    <w:rsid w:val="44A64897"/>
    <w:rsid w:val="44AC2A30"/>
    <w:rsid w:val="44C24FB4"/>
    <w:rsid w:val="44CD5077"/>
    <w:rsid w:val="44E16B7D"/>
    <w:rsid w:val="44E64193"/>
    <w:rsid w:val="44E87F0C"/>
    <w:rsid w:val="44EB3558"/>
    <w:rsid w:val="450B2031"/>
    <w:rsid w:val="451F1453"/>
    <w:rsid w:val="45246A6A"/>
    <w:rsid w:val="45280539"/>
    <w:rsid w:val="452C6BC0"/>
    <w:rsid w:val="45364C8F"/>
    <w:rsid w:val="453809C7"/>
    <w:rsid w:val="453E0AA9"/>
    <w:rsid w:val="456C42B5"/>
    <w:rsid w:val="458F4349"/>
    <w:rsid w:val="45A100BA"/>
    <w:rsid w:val="45AB2CE7"/>
    <w:rsid w:val="45B20519"/>
    <w:rsid w:val="45B47DEE"/>
    <w:rsid w:val="45B778DE"/>
    <w:rsid w:val="45C049E4"/>
    <w:rsid w:val="45C344D5"/>
    <w:rsid w:val="45E649C1"/>
    <w:rsid w:val="45FE2B09"/>
    <w:rsid w:val="46140894"/>
    <w:rsid w:val="461940F5"/>
    <w:rsid w:val="46256F3D"/>
    <w:rsid w:val="46365271"/>
    <w:rsid w:val="463E3B5B"/>
    <w:rsid w:val="46487824"/>
    <w:rsid w:val="466C06C8"/>
    <w:rsid w:val="46712183"/>
    <w:rsid w:val="467B6B5D"/>
    <w:rsid w:val="4689127A"/>
    <w:rsid w:val="46A76B23"/>
    <w:rsid w:val="46EA77D2"/>
    <w:rsid w:val="47095F17"/>
    <w:rsid w:val="470A192F"/>
    <w:rsid w:val="471E5E67"/>
    <w:rsid w:val="47347438"/>
    <w:rsid w:val="473E1472"/>
    <w:rsid w:val="47503B46"/>
    <w:rsid w:val="47573126"/>
    <w:rsid w:val="47665118"/>
    <w:rsid w:val="478B4B7E"/>
    <w:rsid w:val="478E5BF3"/>
    <w:rsid w:val="479559FD"/>
    <w:rsid w:val="47AB0809"/>
    <w:rsid w:val="47C022EA"/>
    <w:rsid w:val="47C63154"/>
    <w:rsid w:val="47CB141F"/>
    <w:rsid w:val="47DD11F5"/>
    <w:rsid w:val="47E10C42"/>
    <w:rsid w:val="47EF04AA"/>
    <w:rsid w:val="4800317F"/>
    <w:rsid w:val="4800556C"/>
    <w:rsid w:val="480321E6"/>
    <w:rsid w:val="48180B08"/>
    <w:rsid w:val="4823125B"/>
    <w:rsid w:val="4839282C"/>
    <w:rsid w:val="485E2293"/>
    <w:rsid w:val="485F5788"/>
    <w:rsid w:val="487B1097"/>
    <w:rsid w:val="488A12DA"/>
    <w:rsid w:val="489A151D"/>
    <w:rsid w:val="489B34E7"/>
    <w:rsid w:val="48A837B8"/>
    <w:rsid w:val="48CF2828"/>
    <w:rsid w:val="48E1372A"/>
    <w:rsid w:val="48EE3617"/>
    <w:rsid w:val="48EE7ABB"/>
    <w:rsid w:val="48F814B6"/>
    <w:rsid w:val="49044BE8"/>
    <w:rsid w:val="490746D8"/>
    <w:rsid w:val="49105C83"/>
    <w:rsid w:val="49184C88"/>
    <w:rsid w:val="49214B3A"/>
    <w:rsid w:val="49470F79"/>
    <w:rsid w:val="495F62C2"/>
    <w:rsid w:val="49695393"/>
    <w:rsid w:val="496A2251"/>
    <w:rsid w:val="497F0713"/>
    <w:rsid w:val="49976853"/>
    <w:rsid w:val="499917D4"/>
    <w:rsid w:val="499F0DB5"/>
    <w:rsid w:val="499F5761"/>
    <w:rsid w:val="49AD1724"/>
    <w:rsid w:val="49C425C9"/>
    <w:rsid w:val="49C600F0"/>
    <w:rsid w:val="49DE18DD"/>
    <w:rsid w:val="49E35145"/>
    <w:rsid w:val="49EA0282"/>
    <w:rsid w:val="49EC3FFA"/>
    <w:rsid w:val="49F20EE5"/>
    <w:rsid w:val="49FC7FB5"/>
    <w:rsid w:val="49FE5ADB"/>
    <w:rsid w:val="4A534079"/>
    <w:rsid w:val="4A5751EC"/>
    <w:rsid w:val="4A955225"/>
    <w:rsid w:val="4ABA5EA6"/>
    <w:rsid w:val="4ACA00A8"/>
    <w:rsid w:val="4AEA40A1"/>
    <w:rsid w:val="4AFA44F5"/>
    <w:rsid w:val="4B0709C0"/>
    <w:rsid w:val="4B074A45"/>
    <w:rsid w:val="4B3C4B0D"/>
    <w:rsid w:val="4B510D65"/>
    <w:rsid w:val="4B6978CC"/>
    <w:rsid w:val="4B8D7117"/>
    <w:rsid w:val="4B9E1324"/>
    <w:rsid w:val="4B9F28EF"/>
    <w:rsid w:val="4BA804EE"/>
    <w:rsid w:val="4BAD5A0B"/>
    <w:rsid w:val="4BB87F0C"/>
    <w:rsid w:val="4BCD4DA7"/>
    <w:rsid w:val="4BD72A88"/>
    <w:rsid w:val="4C003D8D"/>
    <w:rsid w:val="4C2D65B7"/>
    <w:rsid w:val="4C453E95"/>
    <w:rsid w:val="4C513C42"/>
    <w:rsid w:val="4C784837"/>
    <w:rsid w:val="4C8C5620"/>
    <w:rsid w:val="4CB71850"/>
    <w:rsid w:val="4CBE1552"/>
    <w:rsid w:val="4CF50C0C"/>
    <w:rsid w:val="4D072EF9"/>
    <w:rsid w:val="4D147DE0"/>
    <w:rsid w:val="4D1723B2"/>
    <w:rsid w:val="4D181B86"/>
    <w:rsid w:val="4D241CFD"/>
    <w:rsid w:val="4D267823"/>
    <w:rsid w:val="4D297313"/>
    <w:rsid w:val="4D2F5E5D"/>
    <w:rsid w:val="4D333CEE"/>
    <w:rsid w:val="4D415BF1"/>
    <w:rsid w:val="4D447CA9"/>
    <w:rsid w:val="4D587BF8"/>
    <w:rsid w:val="4D605095"/>
    <w:rsid w:val="4D834C75"/>
    <w:rsid w:val="4D896004"/>
    <w:rsid w:val="4D897DB2"/>
    <w:rsid w:val="4D924EB8"/>
    <w:rsid w:val="4DA1334D"/>
    <w:rsid w:val="4DC82688"/>
    <w:rsid w:val="4DCB03CA"/>
    <w:rsid w:val="4DD3102D"/>
    <w:rsid w:val="4DDF3E76"/>
    <w:rsid w:val="4DF36049"/>
    <w:rsid w:val="4E0833CC"/>
    <w:rsid w:val="4E0B6A19"/>
    <w:rsid w:val="4E240F03"/>
    <w:rsid w:val="4E2633B6"/>
    <w:rsid w:val="4E2B0E69"/>
    <w:rsid w:val="4E2D4BE1"/>
    <w:rsid w:val="4E4B32B9"/>
    <w:rsid w:val="4E51409D"/>
    <w:rsid w:val="4E6D3230"/>
    <w:rsid w:val="4E810A89"/>
    <w:rsid w:val="4E8F31A6"/>
    <w:rsid w:val="4E9702AC"/>
    <w:rsid w:val="4E9764FE"/>
    <w:rsid w:val="4E9B0304"/>
    <w:rsid w:val="4ED80FF1"/>
    <w:rsid w:val="4EFB083B"/>
    <w:rsid w:val="4F05790C"/>
    <w:rsid w:val="4F082F58"/>
    <w:rsid w:val="4F194B09"/>
    <w:rsid w:val="4F4B3C05"/>
    <w:rsid w:val="4F4C0136"/>
    <w:rsid w:val="4F9D5D96"/>
    <w:rsid w:val="4FB07878"/>
    <w:rsid w:val="4FB629B4"/>
    <w:rsid w:val="4FBD1F95"/>
    <w:rsid w:val="4FC81DBA"/>
    <w:rsid w:val="4FCB2904"/>
    <w:rsid w:val="4FD72978"/>
    <w:rsid w:val="4FDE2637"/>
    <w:rsid w:val="4FE87012"/>
    <w:rsid w:val="4FF0236A"/>
    <w:rsid w:val="50055358"/>
    <w:rsid w:val="50153772"/>
    <w:rsid w:val="501F49FD"/>
    <w:rsid w:val="502913D8"/>
    <w:rsid w:val="504601DC"/>
    <w:rsid w:val="50642410"/>
    <w:rsid w:val="506643DA"/>
    <w:rsid w:val="50962F12"/>
    <w:rsid w:val="50A218B6"/>
    <w:rsid w:val="50AC0FE9"/>
    <w:rsid w:val="50B602D7"/>
    <w:rsid w:val="50BB6929"/>
    <w:rsid w:val="50CC06E1"/>
    <w:rsid w:val="50D91050"/>
    <w:rsid w:val="50DB6B76"/>
    <w:rsid w:val="50E4128C"/>
    <w:rsid w:val="50EC0D83"/>
    <w:rsid w:val="510478A5"/>
    <w:rsid w:val="51084011"/>
    <w:rsid w:val="51286E64"/>
    <w:rsid w:val="51422751"/>
    <w:rsid w:val="51534A93"/>
    <w:rsid w:val="515661FD"/>
    <w:rsid w:val="51AB6549"/>
    <w:rsid w:val="51AC22C1"/>
    <w:rsid w:val="51B51175"/>
    <w:rsid w:val="51B655ED"/>
    <w:rsid w:val="51BC69A8"/>
    <w:rsid w:val="51C45B1E"/>
    <w:rsid w:val="51DD027E"/>
    <w:rsid w:val="5202766A"/>
    <w:rsid w:val="52075749"/>
    <w:rsid w:val="52086E88"/>
    <w:rsid w:val="520914C1"/>
    <w:rsid w:val="522D51B0"/>
    <w:rsid w:val="52385255"/>
    <w:rsid w:val="524D39E7"/>
    <w:rsid w:val="52655EED"/>
    <w:rsid w:val="526A01B2"/>
    <w:rsid w:val="52720E14"/>
    <w:rsid w:val="52B551A5"/>
    <w:rsid w:val="52B92F75"/>
    <w:rsid w:val="52C03D1F"/>
    <w:rsid w:val="52C665A9"/>
    <w:rsid w:val="530B778E"/>
    <w:rsid w:val="53162A7A"/>
    <w:rsid w:val="531B422E"/>
    <w:rsid w:val="53234805"/>
    <w:rsid w:val="533802B0"/>
    <w:rsid w:val="533876CC"/>
    <w:rsid w:val="53514ECE"/>
    <w:rsid w:val="5371731E"/>
    <w:rsid w:val="53774CFF"/>
    <w:rsid w:val="537D2167"/>
    <w:rsid w:val="53890B0C"/>
    <w:rsid w:val="538B66CB"/>
    <w:rsid w:val="538F3E27"/>
    <w:rsid w:val="53933738"/>
    <w:rsid w:val="53C55770"/>
    <w:rsid w:val="53CA286E"/>
    <w:rsid w:val="53D37CCA"/>
    <w:rsid w:val="53D53D51"/>
    <w:rsid w:val="53EB7839"/>
    <w:rsid w:val="53F561A1"/>
    <w:rsid w:val="53FC12DE"/>
    <w:rsid w:val="540208BE"/>
    <w:rsid w:val="540A58B9"/>
    <w:rsid w:val="541327B7"/>
    <w:rsid w:val="542720D3"/>
    <w:rsid w:val="54295E4B"/>
    <w:rsid w:val="542E3461"/>
    <w:rsid w:val="543208FA"/>
    <w:rsid w:val="544762D1"/>
    <w:rsid w:val="545E1D6F"/>
    <w:rsid w:val="546D3F89"/>
    <w:rsid w:val="5479292E"/>
    <w:rsid w:val="54B41BB8"/>
    <w:rsid w:val="54B576DE"/>
    <w:rsid w:val="54BB2F47"/>
    <w:rsid w:val="54C31F15"/>
    <w:rsid w:val="54CF254E"/>
    <w:rsid w:val="54E56216"/>
    <w:rsid w:val="55106DE7"/>
    <w:rsid w:val="55110DB9"/>
    <w:rsid w:val="55326D32"/>
    <w:rsid w:val="55487179"/>
    <w:rsid w:val="554B5B7F"/>
    <w:rsid w:val="55517E5D"/>
    <w:rsid w:val="55521C9E"/>
    <w:rsid w:val="55852E44"/>
    <w:rsid w:val="558C48E3"/>
    <w:rsid w:val="5590620F"/>
    <w:rsid w:val="55AA4D69"/>
    <w:rsid w:val="55B61960"/>
    <w:rsid w:val="55C51BA3"/>
    <w:rsid w:val="55D22371"/>
    <w:rsid w:val="55D40D5D"/>
    <w:rsid w:val="55DD0C9B"/>
    <w:rsid w:val="55EB5A20"/>
    <w:rsid w:val="5612303A"/>
    <w:rsid w:val="56215B75"/>
    <w:rsid w:val="567E622C"/>
    <w:rsid w:val="568A5F56"/>
    <w:rsid w:val="569D042A"/>
    <w:rsid w:val="56A143BE"/>
    <w:rsid w:val="56AB2B47"/>
    <w:rsid w:val="56AC76D0"/>
    <w:rsid w:val="56BC2A77"/>
    <w:rsid w:val="56C5189F"/>
    <w:rsid w:val="56E84CA2"/>
    <w:rsid w:val="56E9213D"/>
    <w:rsid w:val="5728063B"/>
    <w:rsid w:val="572A43B4"/>
    <w:rsid w:val="575D6537"/>
    <w:rsid w:val="575E22AF"/>
    <w:rsid w:val="575F4A5D"/>
    <w:rsid w:val="57633422"/>
    <w:rsid w:val="576F0018"/>
    <w:rsid w:val="578320CF"/>
    <w:rsid w:val="57835872"/>
    <w:rsid w:val="57BB14B0"/>
    <w:rsid w:val="57BD10A8"/>
    <w:rsid w:val="57CA16F3"/>
    <w:rsid w:val="57E9601D"/>
    <w:rsid w:val="57FB5D50"/>
    <w:rsid w:val="580F01B2"/>
    <w:rsid w:val="5821117D"/>
    <w:rsid w:val="583555B0"/>
    <w:rsid w:val="58373836"/>
    <w:rsid w:val="583D4424"/>
    <w:rsid w:val="58433FDB"/>
    <w:rsid w:val="584F6B7D"/>
    <w:rsid w:val="585B0D05"/>
    <w:rsid w:val="58694A68"/>
    <w:rsid w:val="586A1866"/>
    <w:rsid w:val="5875165E"/>
    <w:rsid w:val="589046EA"/>
    <w:rsid w:val="58970D9C"/>
    <w:rsid w:val="589B7E1A"/>
    <w:rsid w:val="58BC50A4"/>
    <w:rsid w:val="58CE6FC1"/>
    <w:rsid w:val="58D72319"/>
    <w:rsid w:val="58DC16DE"/>
    <w:rsid w:val="58E97CE8"/>
    <w:rsid w:val="58F033DB"/>
    <w:rsid w:val="59097FF9"/>
    <w:rsid w:val="59125193"/>
    <w:rsid w:val="592461CF"/>
    <w:rsid w:val="59311130"/>
    <w:rsid w:val="593226CA"/>
    <w:rsid w:val="5934151A"/>
    <w:rsid w:val="59411541"/>
    <w:rsid w:val="59413C36"/>
    <w:rsid w:val="59425272"/>
    <w:rsid w:val="594B23BF"/>
    <w:rsid w:val="59512491"/>
    <w:rsid w:val="59545718"/>
    <w:rsid w:val="59554FEC"/>
    <w:rsid w:val="595B6AA6"/>
    <w:rsid w:val="59682F71"/>
    <w:rsid w:val="597520EC"/>
    <w:rsid w:val="598B53E3"/>
    <w:rsid w:val="59902B0E"/>
    <w:rsid w:val="59917A82"/>
    <w:rsid w:val="59AC5554"/>
    <w:rsid w:val="59B461B6"/>
    <w:rsid w:val="59BB5797"/>
    <w:rsid w:val="59CA7E98"/>
    <w:rsid w:val="59F12F67"/>
    <w:rsid w:val="59F564CA"/>
    <w:rsid w:val="59F842F5"/>
    <w:rsid w:val="59FF30AB"/>
    <w:rsid w:val="5A0B0A85"/>
    <w:rsid w:val="5A290952"/>
    <w:rsid w:val="5A2C0AD2"/>
    <w:rsid w:val="5A355A42"/>
    <w:rsid w:val="5A4532B2"/>
    <w:rsid w:val="5A6000EC"/>
    <w:rsid w:val="5A803EC5"/>
    <w:rsid w:val="5AB20948"/>
    <w:rsid w:val="5AC05BF0"/>
    <w:rsid w:val="5AC468CD"/>
    <w:rsid w:val="5AD54636"/>
    <w:rsid w:val="5ADD6987"/>
    <w:rsid w:val="5AE825BC"/>
    <w:rsid w:val="5B0D2022"/>
    <w:rsid w:val="5B1E422F"/>
    <w:rsid w:val="5B304AE3"/>
    <w:rsid w:val="5B4A5024"/>
    <w:rsid w:val="5B57504B"/>
    <w:rsid w:val="5BAA161F"/>
    <w:rsid w:val="5BAA5AC3"/>
    <w:rsid w:val="5BAA7871"/>
    <w:rsid w:val="5BB701E0"/>
    <w:rsid w:val="5BB97AB4"/>
    <w:rsid w:val="5BCF0469"/>
    <w:rsid w:val="5BEA2363"/>
    <w:rsid w:val="5BF705DC"/>
    <w:rsid w:val="5BF925A6"/>
    <w:rsid w:val="5BFB631F"/>
    <w:rsid w:val="5C0D7E00"/>
    <w:rsid w:val="5C397A1F"/>
    <w:rsid w:val="5C3C3BB3"/>
    <w:rsid w:val="5C430981"/>
    <w:rsid w:val="5C5D0B60"/>
    <w:rsid w:val="5C8C3340"/>
    <w:rsid w:val="5CB5360A"/>
    <w:rsid w:val="5CBF6DB9"/>
    <w:rsid w:val="5CD31049"/>
    <w:rsid w:val="5CD32DF8"/>
    <w:rsid w:val="5CDF354A"/>
    <w:rsid w:val="5CE86853"/>
    <w:rsid w:val="5CF35248"/>
    <w:rsid w:val="5D201440"/>
    <w:rsid w:val="5D277C85"/>
    <w:rsid w:val="5D331AE8"/>
    <w:rsid w:val="5D487342"/>
    <w:rsid w:val="5D492258"/>
    <w:rsid w:val="5D543F38"/>
    <w:rsid w:val="5D5F6986"/>
    <w:rsid w:val="5D620824"/>
    <w:rsid w:val="5D850596"/>
    <w:rsid w:val="5D8D5B67"/>
    <w:rsid w:val="5D924A61"/>
    <w:rsid w:val="5D9625A2"/>
    <w:rsid w:val="5DB40418"/>
    <w:rsid w:val="5DDB6408"/>
    <w:rsid w:val="5DEB5F1F"/>
    <w:rsid w:val="5DF23751"/>
    <w:rsid w:val="5E0314BA"/>
    <w:rsid w:val="5E03770C"/>
    <w:rsid w:val="5E0E058B"/>
    <w:rsid w:val="5E0F1C0D"/>
    <w:rsid w:val="5E336E59"/>
    <w:rsid w:val="5E40626B"/>
    <w:rsid w:val="5E4775F9"/>
    <w:rsid w:val="5E4C4C10"/>
    <w:rsid w:val="5E6202E5"/>
    <w:rsid w:val="5E954808"/>
    <w:rsid w:val="5EAC1FB8"/>
    <w:rsid w:val="5EB44B9A"/>
    <w:rsid w:val="5EC86EA1"/>
    <w:rsid w:val="5ECF75EF"/>
    <w:rsid w:val="5ED66053"/>
    <w:rsid w:val="5EDF7832"/>
    <w:rsid w:val="5EEF0DD0"/>
    <w:rsid w:val="5EF325CC"/>
    <w:rsid w:val="5F225ABD"/>
    <w:rsid w:val="5F2E2567"/>
    <w:rsid w:val="5F465B03"/>
    <w:rsid w:val="5F473629"/>
    <w:rsid w:val="5F6C794D"/>
    <w:rsid w:val="5F961BF6"/>
    <w:rsid w:val="5F9E76ED"/>
    <w:rsid w:val="5FB32A6C"/>
    <w:rsid w:val="5FB5096E"/>
    <w:rsid w:val="5FC5111D"/>
    <w:rsid w:val="5FDB26EF"/>
    <w:rsid w:val="5FE07D05"/>
    <w:rsid w:val="60091255"/>
    <w:rsid w:val="60161979"/>
    <w:rsid w:val="602120CC"/>
    <w:rsid w:val="60262BCA"/>
    <w:rsid w:val="60275934"/>
    <w:rsid w:val="60327E35"/>
    <w:rsid w:val="6051650D"/>
    <w:rsid w:val="605D73EA"/>
    <w:rsid w:val="60636240"/>
    <w:rsid w:val="606935C3"/>
    <w:rsid w:val="60735C83"/>
    <w:rsid w:val="60813CE2"/>
    <w:rsid w:val="6082700E"/>
    <w:rsid w:val="60E2185B"/>
    <w:rsid w:val="60ED3165"/>
    <w:rsid w:val="60FE708C"/>
    <w:rsid w:val="61016185"/>
    <w:rsid w:val="611A2DA3"/>
    <w:rsid w:val="61202383"/>
    <w:rsid w:val="6126799A"/>
    <w:rsid w:val="61630BEE"/>
    <w:rsid w:val="616A46F9"/>
    <w:rsid w:val="616C3850"/>
    <w:rsid w:val="61700C15"/>
    <w:rsid w:val="618446C0"/>
    <w:rsid w:val="61860438"/>
    <w:rsid w:val="61A22D98"/>
    <w:rsid w:val="61B530E2"/>
    <w:rsid w:val="61C251E9"/>
    <w:rsid w:val="61D72388"/>
    <w:rsid w:val="61DB4C28"/>
    <w:rsid w:val="61FF26CC"/>
    <w:rsid w:val="620852F1"/>
    <w:rsid w:val="620D0B5A"/>
    <w:rsid w:val="62347E94"/>
    <w:rsid w:val="623C31ED"/>
    <w:rsid w:val="62552366"/>
    <w:rsid w:val="625978FB"/>
    <w:rsid w:val="6267026A"/>
    <w:rsid w:val="62677DBE"/>
    <w:rsid w:val="62714880"/>
    <w:rsid w:val="6271733B"/>
    <w:rsid w:val="627961EF"/>
    <w:rsid w:val="628249B5"/>
    <w:rsid w:val="628C5F22"/>
    <w:rsid w:val="62922E0D"/>
    <w:rsid w:val="62AF1C11"/>
    <w:rsid w:val="62B64D4D"/>
    <w:rsid w:val="62C21944"/>
    <w:rsid w:val="62F20AC3"/>
    <w:rsid w:val="63147CC6"/>
    <w:rsid w:val="631B2E02"/>
    <w:rsid w:val="635B1A77"/>
    <w:rsid w:val="635C3B47"/>
    <w:rsid w:val="63624ED5"/>
    <w:rsid w:val="639C7534"/>
    <w:rsid w:val="639F57E1"/>
    <w:rsid w:val="63B10704"/>
    <w:rsid w:val="63BA3E13"/>
    <w:rsid w:val="63C139AA"/>
    <w:rsid w:val="63C416EC"/>
    <w:rsid w:val="63E37FC6"/>
    <w:rsid w:val="63F14E78"/>
    <w:rsid w:val="64032214"/>
    <w:rsid w:val="6410048D"/>
    <w:rsid w:val="641E704E"/>
    <w:rsid w:val="642301C1"/>
    <w:rsid w:val="64322AF9"/>
    <w:rsid w:val="644B7717"/>
    <w:rsid w:val="645962D8"/>
    <w:rsid w:val="645C0E1F"/>
    <w:rsid w:val="647A6C66"/>
    <w:rsid w:val="64947310"/>
    <w:rsid w:val="64966BE4"/>
    <w:rsid w:val="649D4651"/>
    <w:rsid w:val="64A83A6C"/>
    <w:rsid w:val="64C5571C"/>
    <w:rsid w:val="64E536C8"/>
    <w:rsid w:val="64E9731B"/>
    <w:rsid w:val="64EB11A1"/>
    <w:rsid w:val="64EF2799"/>
    <w:rsid w:val="650C50F9"/>
    <w:rsid w:val="653308D7"/>
    <w:rsid w:val="653A0FA0"/>
    <w:rsid w:val="6549634D"/>
    <w:rsid w:val="656F7435"/>
    <w:rsid w:val="65A05841"/>
    <w:rsid w:val="65A61E51"/>
    <w:rsid w:val="65B25CA0"/>
    <w:rsid w:val="65B71938"/>
    <w:rsid w:val="65BC08CD"/>
    <w:rsid w:val="65C546A4"/>
    <w:rsid w:val="65ED6CD8"/>
    <w:rsid w:val="65F75DA9"/>
    <w:rsid w:val="660706CC"/>
    <w:rsid w:val="664177C9"/>
    <w:rsid w:val="66747D26"/>
    <w:rsid w:val="667747F4"/>
    <w:rsid w:val="66B5531C"/>
    <w:rsid w:val="66C258A6"/>
    <w:rsid w:val="66CF63DE"/>
    <w:rsid w:val="66E856F1"/>
    <w:rsid w:val="66EA3218"/>
    <w:rsid w:val="67176CA3"/>
    <w:rsid w:val="672A3F5C"/>
    <w:rsid w:val="676F196F"/>
    <w:rsid w:val="677A0A3F"/>
    <w:rsid w:val="678673E4"/>
    <w:rsid w:val="67967E45"/>
    <w:rsid w:val="679F070D"/>
    <w:rsid w:val="67C1041C"/>
    <w:rsid w:val="67C65A33"/>
    <w:rsid w:val="67D23DA8"/>
    <w:rsid w:val="67D5211A"/>
    <w:rsid w:val="67E4410B"/>
    <w:rsid w:val="67E81E4D"/>
    <w:rsid w:val="67E934CF"/>
    <w:rsid w:val="67F04F8A"/>
    <w:rsid w:val="68071BA7"/>
    <w:rsid w:val="681048F1"/>
    <w:rsid w:val="681E3F78"/>
    <w:rsid w:val="682F7047"/>
    <w:rsid w:val="68364CD7"/>
    <w:rsid w:val="68420E31"/>
    <w:rsid w:val="685F19E3"/>
    <w:rsid w:val="685F7957"/>
    <w:rsid w:val="687F2281"/>
    <w:rsid w:val="688D6550"/>
    <w:rsid w:val="68C72254"/>
    <w:rsid w:val="68DA0494"/>
    <w:rsid w:val="68E1064A"/>
    <w:rsid w:val="690A7BA1"/>
    <w:rsid w:val="69180510"/>
    <w:rsid w:val="692844CB"/>
    <w:rsid w:val="692F585A"/>
    <w:rsid w:val="69362744"/>
    <w:rsid w:val="694E2184"/>
    <w:rsid w:val="69502F14"/>
    <w:rsid w:val="6974712F"/>
    <w:rsid w:val="699B26CD"/>
    <w:rsid w:val="69A51678"/>
    <w:rsid w:val="69A753F0"/>
    <w:rsid w:val="69BB2B17"/>
    <w:rsid w:val="69EA21D5"/>
    <w:rsid w:val="69F61ED3"/>
    <w:rsid w:val="69FB1963"/>
    <w:rsid w:val="6A1D00CE"/>
    <w:rsid w:val="6A3B3D8A"/>
    <w:rsid w:val="6A3C022E"/>
    <w:rsid w:val="6A4D41E9"/>
    <w:rsid w:val="6A4E3ABD"/>
    <w:rsid w:val="6A4E61B3"/>
    <w:rsid w:val="6A503CD9"/>
    <w:rsid w:val="6A580B7F"/>
    <w:rsid w:val="6A5E3620"/>
    <w:rsid w:val="6A7449B2"/>
    <w:rsid w:val="6A8706F1"/>
    <w:rsid w:val="6A9736B6"/>
    <w:rsid w:val="6AA302AD"/>
    <w:rsid w:val="6AA61B4B"/>
    <w:rsid w:val="6AA95198"/>
    <w:rsid w:val="6ABF6769"/>
    <w:rsid w:val="6AD12266"/>
    <w:rsid w:val="6AD73E3C"/>
    <w:rsid w:val="6AF1726A"/>
    <w:rsid w:val="6AF208ED"/>
    <w:rsid w:val="6B0D1BCA"/>
    <w:rsid w:val="6B120F8F"/>
    <w:rsid w:val="6B122D3D"/>
    <w:rsid w:val="6B1C1E0E"/>
    <w:rsid w:val="6B4355EC"/>
    <w:rsid w:val="6B4E646B"/>
    <w:rsid w:val="6B7457A6"/>
    <w:rsid w:val="6B8579B3"/>
    <w:rsid w:val="6B9419A4"/>
    <w:rsid w:val="6BE124BE"/>
    <w:rsid w:val="6BE20961"/>
    <w:rsid w:val="6BE50451"/>
    <w:rsid w:val="6BE8387E"/>
    <w:rsid w:val="6BE96194"/>
    <w:rsid w:val="6C246144"/>
    <w:rsid w:val="6C7D4B2E"/>
    <w:rsid w:val="6C7E4B30"/>
    <w:rsid w:val="6C8718B8"/>
    <w:rsid w:val="6CA409AC"/>
    <w:rsid w:val="6CA93CD7"/>
    <w:rsid w:val="6CC344F8"/>
    <w:rsid w:val="6CE34991"/>
    <w:rsid w:val="6CE64481"/>
    <w:rsid w:val="6D056FFD"/>
    <w:rsid w:val="6D25144D"/>
    <w:rsid w:val="6D3416A0"/>
    <w:rsid w:val="6D3671B7"/>
    <w:rsid w:val="6D3F05F3"/>
    <w:rsid w:val="6D437B25"/>
    <w:rsid w:val="6D515497"/>
    <w:rsid w:val="6D6C2BD8"/>
    <w:rsid w:val="6D6D4BA2"/>
    <w:rsid w:val="6DAA54AF"/>
    <w:rsid w:val="6DAE1443"/>
    <w:rsid w:val="6E070B53"/>
    <w:rsid w:val="6E274D51"/>
    <w:rsid w:val="6E3A7D92"/>
    <w:rsid w:val="6E3D1FD3"/>
    <w:rsid w:val="6E5427B4"/>
    <w:rsid w:val="6E7855AD"/>
    <w:rsid w:val="6E7A7577"/>
    <w:rsid w:val="6E7F3C61"/>
    <w:rsid w:val="6E9308F4"/>
    <w:rsid w:val="6ED0363B"/>
    <w:rsid w:val="6EEF1D13"/>
    <w:rsid w:val="6EF530A1"/>
    <w:rsid w:val="6EF94940"/>
    <w:rsid w:val="6EFA7CC2"/>
    <w:rsid w:val="6F1C23DC"/>
    <w:rsid w:val="6F2B4B68"/>
    <w:rsid w:val="6F3C65DA"/>
    <w:rsid w:val="6F4934AE"/>
    <w:rsid w:val="6F7D3E81"/>
    <w:rsid w:val="6F800BBD"/>
    <w:rsid w:val="6F851954"/>
    <w:rsid w:val="6FA73BA8"/>
    <w:rsid w:val="6FB75646"/>
    <w:rsid w:val="6FE27182"/>
    <w:rsid w:val="6FEF5D43"/>
    <w:rsid w:val="6FEF7AF1"/>
    <w:rsid w:val="6FF13869"/>
    <w:rsid w:val="704936A5"/>
    <w:rsid w:val="70651B61"/>
    <w:rsid w:val="706F478E"/>
    <w:rsid w:val="708E10B8"/>
    <w:rsid w:val="708E2E66"/>
    <w:rsid w:val="70FC4273"/>
    <w:rsid w:val="71080E6A"/>
    <w:rsid w:val="710A2D64"/>
    <w:rsid w:val="710E3FA6"/>
    <w:rsid w:val="712E4649"/>
    <w:rsid w:val="715069EC"/>
    <w:rsid w:val="7165689A"/>
    <w:rsid w:val="71851885"/>
    <w:rsid w:val="718B148D"/>
    <w:rsid w:val="71950224"/>
    <w:rsid w:val="71997D14"/>
    <w:rsid w:val="71A32E24"/>
    <w:rsid w:val="71BE6476"/>
    <w:rsid w:val="71EF5B86"/>
    <w:rsid w:val="71F0647E"/>
    <w:rsid w:val="71F5250F"/>
    <w:rsid w:val="71FE401B"/>
    <w:rsid w:val="72035BCD"/>
    <w:rsid w:val="720F3474"/>
    <w:rsid w:val="721970A7"/>
    <w:rsid w:val="72330169"/>
    <w:rsid w:val="7241389E"/>
    <w:rsid w:val="72442376"/>
    <w:rsid w:val="72A03324"/>
    <w:rsid w:val="72A0751B"/>
    <w:rsid w:val="72CD44DD"/>
    <w:rsid w:val="72F378F8"/>
    <w:rsid w:val="732950C8"/>
    <w:rsid w:val="732B7092"/>
    <w:rsid w:val="732D3C85"/>
    <w:rsid w:val="73487C44"/>
    <w:rsid w:val="73516D4E"/>
    <w:rsid w:val="735E1215"/>
    <w:rsid w:val="73620FE6"/>
    <w:rsid w:val="7377413B"/>
    <w:rsid w:val="73942E89"/>
    <w:rsid w:val="73A61C8F"/>
    <w:rsid w:val="73AA26AC"/>
    <w:rsid w:val="73AD1BC2"/>
    <w:rsid w:val="73B47087"/>
    <w:rsid w:val="73B726D3"/>
    <w:rsid w:val="73E831D5"/>
    <w:rsid w:val="73F05BE5"/>
    <w:rsid w:val="73FE47A6"/>
    <w:rsid w:val="74051691"/>
    <w:rsid w:val="74220495"/>
    <w:rsid w:val="742777E0"/>
    <w:rsid w:val="742D5A28"/>
    <w:rsid w:val="743957DE"/>
    <w:rsid w:val="743F3434"/>
    <w:rsid w:val="74493C73"/>
    <w:rsid w:val="747F58E7"/>
    <w:rsid w:val="7495214B"/>
    <w:rsid w:val="74B93ECA"/>
    <w:rsid w:val="74CC6652"/>
    <w:rsid w:val="74EB1494"/>
    <w:rsid w:val="74F55BA9"/>
    <w:rsid w:val="74F773E5"/>
    <w:rsid w:val="750C6A4F"/>
    <w:rsid w:val="751D6EAE"/>
    <w:rsid w:val="75330480"/>
    <w:rsid w:val="755F74C6"/>
    <w:rsid w:val="75A3785E"/>
    <w:rsid w:val="75A62E29"/>
    <w:rsid w:val="75A90D63"/>
    <w:rsid w:val="75B07D22"/>
    <w:rsid w:val="75D25EEA"/>
    <w:rsid w:val="75D73501"/>
    <w:rsid w:val="75DC0B17"/>
    <w:rsid w:val="75DD24BF"/>
    <w:rsid w:val="75E8126A"/>
    <w:rsid w:val="760836BA"/>
    <w:rsid w:val="760D6F22"/>
    <w:rsid w:val="763B5B08"/>
    <w:rsid w:val="765D196F"/>
    <w:rsid w:val="76634D94"/>
    <w:rsid w:val="768A5F2A"/>
    <w:rsid w:val="768B0D8B"/>
    <w:rsid w:val="768E0063"/>
    <w:rsid w:val="76A74DDD"/>
    <w:rsid w:val="76AF7FDA"/>
    <w:rsid w:val="76B80C3C"/>
    <w:rsid w:val="76D0242A"/>
    <w:rsid w:val="76D417EE"/>
    <w:rsid w:val="76DD4B47"/>
    <w:rsid w:val="76E61C4D"/>
    <w:rsid w:val="76F31C74"/>
    <w:rsid w:val="76FA5D8E"/>
    <w:rsid w:val="77004391"/>
    <w:rsid w:val="770420D4"/>
    <w:rsid w:val="77075720"/>
    <w:rsid w:val="770C2D36"/>
    <w:rsid w:val="771953B8"/>
    <w:rsid w:val="771F2A69"/>
    <w:rsid w:val="77336515"/>
    <w:rsid w:val="7763043E"/>
    <w:rsid w:val="77901BB9"/>
    <w:rsid w:val="779B2CD1"/>
    <w:rsid w:val="779C40BA"/>
    <w:rsid w:val="77D221D2"/>
    <w:rsid w:val="78122D8D"/>
    <w:rsid w:val="781E71C5"/>
    <w:rsid w:val="782544BF"/>
    <w:rsid w:val="783469E8"/>
    <w:rsid w:val="783562BD"/>
    <w:rsid w:val="78450D3A"/>
    <w:rsid w:val="78496FBD"/>
    <w:rsid w:val="7866291A"/>
    <w:rsid w:val="786B5A9C"/>
    <w:rsid w:val="78746DE5"/>
    <w:rsid w:val="787E7C64"/>
    <w:rsid w:val="789E3E62"/>
    <w:rsid w:val="78BC253A"/>
    <w:rsid w:val="78C338C8"/>
    <w:rsid w:val="78DA3778"/>
    <w:rsid w:val="79004B1D"/>
    <w:rsid w:val="79134850"/>
    <w:rsid w:val="79426EE3"/>
    <w:rsid w:val="794C71C1"/>
    <w:rsid w:val="796609EE"/>
    <w:rsid w:val="797F5A41"/>
    <w:rsid w:val="798C63B0"/>
    <w:rsid w:val="79975481"/>
    <w:rsid w:val="79A851F6"/>
    <w:rsid w:val="79C67B14"/>
    <w:rsid w:val="79EB30D7"/>
    <w:rsid w:val="7A0B19CB"/>
    <w:rsid w:val="7A140880"/>
    <w:rsid w:val="7A2111EE"/>
    <w:rsid w:val="7A2B5BC9"/>
    <w:rsid w:val="7A6D61E2"/>
    <w:rsid w:val="7A6D7F90"/>
    <w:rsid w:val="7A756E44"/>
    <w:rsid w:val="7A905722"/>
    <w:rsid w:val="7AA975E0"/>
    <w:rsid w:val="7ACD16AF"/>
    <w:rsid w:val="7AE83ABA"/>
    <w:rsid w:val="7AEC7106"/>
    <w:rsid w:val="7B0A57DF"/>
    <w:rsid w:val="7B0F54EB"/>
    <w:rsid w:val="7B143268"/>
    <w:rsid w:val="7B160627"/>
    <w:rsid w:val="7B1A0118"/>
    <w:rsid w:val="7B2014A6"/>
    <w:rsid w:val="7B2368A0"/>
    <w:rsid w:val="7B3C1F59"/>
    <w:rsid w:val="7B3F192C"/>
    <w:rsid w:val="7B454A69"/>
    <w:rsid w:val="7B4A207F"/>
    <w:rsid w:val="7B6C561B"/>
    <w:rsid w:val="7B810197"/>
    <w:rsid w:val="7BC02341"/>
    <w:rsid w:val="7BD55DBA"/>
    <w:rsid w:val="7BDE3614"/>
    <w:rsid w:val="7BDF0A19"/>
    <w:rsid w:val="7BF22E42"/>
    <w:rsid w:val="7C1508DF"/>
    <w:rsid w:val="7C1D7794"/>
    <w:rsid w:val="7C1E2304"/>
    <w:rsid w:val="7C4D4FF4"/>
    <w:rsid w:val="7C52568F"/>
    <w:rsid w:val="7C52743D"/>
    <w:rsid w:val="7C5B09E8"/>
    <w:rsid w:val="7C5C02BC"/>
    <w:rsid w:val="7C686C61"/>
    <w:rsid w:val="7C7F3FAA"/>
    <w:rsid w:val="7C9424C4"/>
    <w:rsid w:val="7CA0464C"/>
    <w:rsid w:val="7CC16371"/>
    <w:rsid w:val="7D034BDB"/>
    <w:rsid w:val="7D3E79C1"/>
    <w:rsid w:val="7D5316BF"/>
    <w:rsid w:val="7D5B7F2D"/>
    <w:rsid w:val="7D625DA6"/>
    <w:rsid w:val="7D7002AC"/>
    <w:rsid w:val="7D721306"/>
    <w:rsid w:val="7D8C2E23"/>
    <w:rsid w:val="7D952517"/>
    <w:rsid w:val="7DE642E1"/>
    <w:rsid w:val="7E152E18"/>
    <w:rsid w:val="7E2D0162"/>
    <w:rsid w:val="7E3808B5"/>
    <w:rsid w:val="7E5020A2"/>
    <w:rsid w:val="7E5043EB"/>
    <w:rsid w:val="7E611BB9"/>
    <w:rsid w:val="7E655BDB"/>
    <w:rsid w:val="7E6B47E6"/>
    <w:rsid w:val="7E775881"/>
    <w:rsid w:val="7E867872"/>
    <w:rsid w:val="7E8B2E70"/>
    <w:rsid w:val="7EA83C8C"/>
    <w:rsid w:val="7EAF0B77"/>
    <w:rsid w:val="7ECB797B"/>
    <w:rsid w:val="7EDE320A"/>
    <w:rsid w:val="7EDE76AE"/>
    <w:rsid w:val="7EE12CFA"/>
    <w:rsid w:val="7EF33E37"/>
    <w:rsid w:val="7EFC5D86"/>
    <w:rsid w:val="7F007624"/>
    <w:rsid w:val="7F2F3A66"/>
    <w:rsid w:val="7F361298"/>
    <w:rsid w:val="7F4F44E6"/>
    <w:rsid w:val="7F5E434B"/>
    <w:rsid w:val="7F741DC0"/>
    <w:rsid w:val="7F7F4D53"/>
    <w:rsid w:val="7F8D69DE"/>
    <w:rsid w:val="7F9B4DDA"/>
    <w:rsid w:val="7FA4445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2"/>
    <w:basedOn w:val="1"/>
    <w:next w:val="1"/>
    <w:qFormat/>
    <w:uiPriority w:val="9"/>
    <w:pPr>
      <w:keepNext/>
      <w:keepLines/>
      <w:spacing w:before="260" w:after="260" w:line="416" w:lineRule="auto"/>
      <w:outlineLvl w:val="1"/>
    </w:pPr>
    <w:rPr>
      <w:rFonts w:ascii="Cambria" w:hAnsi="Cambria" w:eastAsia="宋体" w:cs="Times New Roman"/>
      <w:b/>
      <w:bCs/>
      <w:sz w:val="32"/>
      <w:szCs w:val="32"/>
    </w:rPr>
  </w:style>
  <w:style w:type="paragraph" w:styleId="5">
    <w:name w:val="heading 3"/>
    <w:basedOn w:val="1"/>
    <w:next w:val="1"/>
    <w:unhideWhenUsed/>
    <w:qFormat/>
    <w:uiPriority w:val="0"/>
    <w:pPr>
      <w:spacing w:beforeAutospacing="1" w:afterAutospacing="1"/>
      <w:jc w:val="left"/>
      <w:outlineLvl w:val="2"/>
    </w:pPr>
    <w:rPr>
      <w:rFonts w:hint="eastAsia" w:ascii="宋体" w:hAnsi="宋体"/>
      <w:b/>
      <w:bCs/>
      <w:kern w:val="0"/>
      <w:sz w:val="27"/>
      <w:szCs w:val="27"/>
    </w:rPr>
  </w:style>
  <w:style w:type="paragraph" w:styleId="2">
    <w:name w:val="heading 4"/>
    <w:basedOn w:val="1"/>
    <w:next w:val="1"/>
    <w:qFormat/>
    <w:uiPriority w:val="0"/>
    <w:pPr>
      <w:keepNext/>
      <w:keepLines/>
      <w:widowControl/>
      <w:spacing w:before="120" w:after="120" w:line="360" w:lineRule="auto"/>
      <w:jc w:val="center"/>
      <w:outlineLvl w:val="3"/>
    </w:pPr>
    <w:rPr>
      <w:rFonts w:eastAsia="Ђˎ̥"/>
      <w:kern w:val="0"/>
      <w:sz w:val="28"/>
      <w:szCs w:val="20"/>
    </w:rPr>
  </w:style>
  <w:style w:type="character" w:default="1" w:styleId="31">
    <w:name w:val="Default Paragraph Font"/>
    <w:semiHidden/>
    <w:qFormat/>
    <w:uiPriority w:val="0"/>
  </w:style>
  <w:style w:type="table" w:default="1" w:styleId="29">
    <w:name w:val="Normal Table"/>
    <w:semiHidden/>
    <w:qFormat/>
    <w:uiPriority w:val="0"/>
    <w:tblPr>
      <w:tblCellMar>
        <w:top w:w="0" w:type="dxa"/>
        <w:left w:w="108" w:type="dxa"/>
        <w:bottom w:w="0" w:type="dxa"/>
        <w:right w:w="108" w:type="dxa"/>
      </w:tblCellMar>
    </w:tblPr>
  </w:style>
  <w:style w:type="paragraph" w:styleId="6">
    <w:name w:val="List Number"/>
    <w:basedOn w:val="1"/>
    <w:qFormat/>
    <w:uiPriority w:val="0"/>
    <w:pPr>
      <w:numPr>
        <w:ilvl w:val="0"/>
        <w:numId w:val="1"/>
      </w:numPr>
    </w:pPr>
  </w:style>
  <w:style w:type="paragraph" w:styleId="7">
    <w:name w:val="Normal Indent"/>
    <w:basedOn w:val="1"/>
    <w:next w:val="1"/>
    <w:qFormat/>
    <w:uiPriority w:val="0"/>
    <w:pPr>
      <w:ind w:firstLine="420"/>
    </w:pPr>
    <w:rPr>
      <w:szCs w:val="20"/>
    </w:rPr>
  </w:style>
  <w:style w:type="paragraph" w:styleId="8">
    <w:name w:val="caption"/>
    <w:basedOn w:val="1"/>
    <w:next w:val="1"/>
    <w:qFormat/>
    <w:uiPriority w:val="0"/>
    <w:pPr>
      <w:spacing w:before="152" w:after="160"/>
    </w:pPr>
    <w:rPr>
      <w:rFonts w:ascii="Arial" w:hAnsi="Arial" w:eastAsia="黑体" w:cs="Arial"/>
      <w:sz w:val="20"/>
      <w:szCs w:val="20"/>
    </w:rPr>
  </w:style>
  <w:style w:type="paragraph" w:styleId="9">
    <w:name w:val="annotation text"/>
    <w:basedOn w:val="1"/>
    <w:qFormat/>
    <w:uiPriority w:val="0"/>
    <w:pPr>
      <w:adjustRightInd w:val="0"/>
      <w:spacing w:line="360" w:lineRule="atLeast"/>
      <w:jc w:val="left"/>
      <w:textAlignment w:val="baseline"/>
    </w:pPr>
    <w:rPr>
      <w:kern w:val="0"/>
      <w:sz w:val="24"/>
      <w:szCs w:val="20"/>
    </w:rPr>
  </w:style>
  <w:style w:type="paragraph" w:styleId="10">
    <w:name w:val="index 6"/>
    <w:basedOn w:val="1"/>
    <w:next w:val="1"/>
    <w:qFormat/>
    <w:uiPriority w:val="0"/>
    <w:pPr>
      <w:widowControl/>
      <w:spacing w:before="100" w:after="200" w:line="276" w:lineRule="auto"/>
      <w:ind w:left="1260" w:hanging="210"/>
      <w:jc w:val="left"/>
    </w:pPr>
    <w:rPr>
      <w:rFonts w:ascii="Calibri" w:hAnsi="Calibri" w:eastAsia="楷体_GB2312"/>
      <w:kern w:val="0"/>
      <w:sz w:val="24"/>
      <w:szCs w:val="20"/>
    </w:rPr>
  </w:style>
  <w:style w:type="paragraph" w:styleId="11">
    <w:name w:val="Body Text 3"/>
    <w:basedOn w:val="1"/>
    <w:qFormat/>
    <w:uiPriority w:val="0"/>
    <w:pPr>
      <w:spacing w:line="500" w:lineRule="exact"/>
    </w:pPr>
    <w:rPr>
      <w:b/>
      <w:bCs/>
      <w:kern w:val="0"/>
      <w:sz w:val="24"/>
    </w:rPr>
  </w:style>
  <w:style w:type="paragraph" w:styleId="12">
    <w:name w:val="Body Text"/>
    <w:basedOn w:val="1"/>
    <w:next w:val="13"/>
    <w:qFormat/>
    <w:uiPriority w:val="0"/>
    <w:pPr>
      <w:spacing w:line="380" w:lineRule="exact"/>
    </w:pPr>
    <w:rPr>
      <w:kern w:val="0"/>
      <w:sz w:val="24"/>
    </w:rPr>
  </w:style>
  <w:style w:type="paragraph" w:styleId="13">
    <w:name w:val="Date"/>
    <w:basedOn w:val="1"/>
    <w:next w:val="1"/>
    <w:qFormat/>
    <w:uiPriority w:val="0"/>
    <w:rPr>
      <w:sz w:val="24"/>
    </w:rPr>
  </w:style>
  <w:style w:type="paragraph" w:styleId="14">
    <w:name w:val="Body Text Indent"/>
    <w:basedOn w:val="1"/>
    <w:qFormat/>
    <w:uiPriority w:val="0"/>
    <w:pPr>
      <w:ind w:firstLine="830" w:firstLineChars="352"/>
    </w:pPr>
    <w:rPr>
      <w:rFonts w:ascii="仿宋_GB2312" w:eastAsia="仿宋_GB2312"/>
      <w:kern w:val="0"/>
      <w:sz w:val="32"/>
      <w:szCs w:val="20"/>
    </w:rPr>
  </w:style>
  <w:style w:type="paragraph" w:styleId="15">
    <w:name w:val="List 2"/>
    <w:basedOn w:val="1"/>
    <w:qFormat/>
    <w:uiPriority w:val="0"/>
    <w:pPr>
      <w:ind w:left="100" w:leftChars="200" w:hanging="200" w:hangingChars="200"/>
    </w:pPr>
    <w:rPr>
      <w:rFonts w:ascii="Verdana" w:hAnsi="Verdana"/>
      <w:sz w:val="28"/>
    </w:rPr>
  </w:style>
  <w:style w:type="paragraph" w:styleId="16">
    <w:name w:val="toc 3"/>
    <w:basedOn w:val="1"/>
    <w:next w:val="1"/>
    <w:qFormat/>
    <w:uiPriority w:val="0"/>
    <w:pPr>
      <w:ind w:left="840" w:leftChars="400"/>
    </w:pPr>
  </w:style>
  <w:style w:type="paragraph" w:styleId="17">
    <w:name w:val="Plain Text"/>
    <w:basedOn w:val="1"/>
    <w:next w:val="1"/>
    <w:qFormat/>
    <w:uiPriority w:val="0"/>
    <w:rPr>
      <w:rFonts w:ascii="宋体" w:hAnsi="Courier New"/>
      <w:kern w:val="0"/>
      <w:sz w:val="20"/>
      <w:szCs w:val="21"/>
    </w:rPr>
  </w:style>
  <w:style w:type="paragraph" w:styleId="18">
    <w:name w:val="footer"/>
    <w:basedOn w:val="1"/>
    <w:qFormat/>
    <w:uiPriority w:val="0"/>
    <w:pPr>
      <w:tabs>
        <w:tab w:val="center" w:pos="4153"/>
        <w:tab w:val="right" w:pos="8306"/>
      </w:tabs>
      <w:snapToGrid w:val="0"/>
      <w:jc w:val="left"/>
    </w:pPr>
    <w:rPr>
      <w:kern w:val="0"/>
      <w:sz w:val="18"/>
      <w:szCs w:val="18"/>
    </w:rPr>
  </w:style>
  <w:style w:type="paragraph" w:styleId="19">
    <w:name w:val="header"/>
    <w:basedOn w:val="1"/>
    <w:next w:val="12"/>
    <w:qFormat/>
    <w:uiPriority w:val="0"/>
    <w:pPr>
      <w:pBdr>
        <w:bottom w:val="single" w:color="auto" w:sz="6" w:space="1"/>
      </w:pBdr>
      <w:tabs>
        <w:tab w:val="center" w:pos="4153"/>
        <w:tab w:val="right" w:pos="8306"/>
      </w:tabs>
      <w:snapToGrid w:val="0"/>
      <w:jc w:val="center"/>
    </w:pPr>
    <w:rPr>
      <w:kern w:val="0"/>
      <w:sz w:val="18"/>
      <w:szCs w:val="18"/>
    </w:rPr>
  </w:style>
  <w:style w:type="paragraph" w:styleId="20">
    <w:name w:val="toc 1"/>
    <w:basedOn w:val="1"/>
    <w:next w:val="1"/>
    <w:qFormat/>
    <w:uiPriority w:val="39"/>
  </w:style>
  <w:style w:type="paragraph" w:styleId="21">
    <w:name w:val="List"/>
    <w:basedOn w:val="1"/>
    <w:qFormat/>
    <w:uiPriority w:val="0"/>
    <w:pPr>
      <w:ind w:left="200" w:hanging="200" w:hangingChars="200"/>
    </w:pPr>
    <w:rPr>
      <w:rFonts w:ascii="Times New Roman" w:hAnsi="Times New Roman" w:eastAsia="宋体" w:cs="Times New Roman"/>
      <w:sz w:val="28"/>
    </w:rPr>
  </w:style>
  <w:style w:type="paragraph" w:styleId="22">
    <w:name w:val="toc 2"/>
    <w:basedOn w:val="1"/>
    <w:next w:val="1"/>
    <w:unhideWhenUsed/>
    <w:qFormat/>
    <w:uiPriority w:val="39"/>
    <w:pPr>
      <w:ind w:left="420" w:leftChars="200"/>
    </w:pPr>
  </w:style>
  <w:style w:type="paragraph" w:styleId="23">
    <w:name w:val="Body Text 2"/>
    <w:basedOn w:val="1"/>
    <w:qFormat/>
    <w:uiPriority w:val="0"/>
    <w:pPr>
      <w:spacing w:after="120" w:line="480" w:lineRule="auto"/>
    </w:pPr>
    <w:rPr>
      <w:kern w:val="0"/>
      <w:sz w:val="20"/>
    </w:rPr>
  </w:style>
  <w:style w:type="paragraph" w:styleId="24">
    <w:name w:val="HTML Preformatted"/>
    <w:basedOn w:val="1"/>
    <w:qFormat/>
    <w:uiPriority w:val="0"/>
    <w:rPr>
      <w:rFonts w:ascii="Courier New" w:hAnsi="Courier New" w:cs="Courier New"/>
      <w:sz w:val="20"/>
      <w:szCs w:val="20"/>
    </w:rPr>
  </w:style>
  <w:style w:type="paragraph" w:styleId="2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26">
    <w:name w:val="Title"/>
    <w:basedOn w:val="1"/>
    <w:qFormat/>
    <w:uiPriority w:val="0"/>
    <w:pPr>
      <w:spacing w:before="240" w:after="60"/>
      <w:jc w:val="center"/>
      <w:outlineLvl w:val="0"/>
    </w:pPr>
    <w:rPr>
      <w:rFonts w:ascii="Arial" w:hAnsi="Arial"/>
      <w:b/>
      <w:bCs/>
      <w:sz w:val="32"/>
      <w:szCs w:val="32"/>
    </w:rPr>
  </w:style>
  <w:style w:type="paragraph" w:styleId="27">
    <w:name w:val="Body Text First Indent"/>
    <w:basedOn w:val="12"/>
    <w:qFormat/>
    <w:uiPriority w:val="0"/>
    <w:pPr>
      <w:widowControl/>
      <w:wordWrap w:val="0"/>
      <w:topLinePunct/>
      <w:spacing w:after="0" w:line="600" w:lineRule="exact"/>
      <w:ind w:firstLine="880" w:firstLineChars="200"/>
      <w:jc w:val="left"/>
      <w:textAlignment w:val="baseline"/>
    </w:pPr>
    <w:rPr>
      <w:rFonts w:ascii="Times New Roman" w:hAnsi="Times New Roman" w:eastAsia="仿宋_GB2312" w:cs="Times New Roman"/>
      <w:sz w:val="32"/>
      <w:szCs w:val="24"/>
      <w:lang w:eastAsia="en-US"/>
    </w:rPr>
  </w:style>
  <w:style w:type="paragraph" w:styleId="28">
    <w:name w:val="Body Text First Indent 2"/>
    <w:basedOn w:val="14"/>
    <w:next w:val="1"/>
    <w:qFormat/>
    <w:uiPriority w:val="0"/>
    <w:pPr>
      <w:ind w:firstLine="420" w:firstLineChars="200"/>
    </w:pPr>
    <w:rPr>
      <w:rFonts w:ascii="Times New Roman" w:hAnsi="Times New Roman" w:eastAsia="宋体" w:cs="Times New Roman"/>
    </w:rPr>
  </w:style>
  <w:style w:type="table" w:styleId="30">
    <w:name w:val="Table Grid"/>
    <w:basedOn w:val="29"/>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32">
    <w:name w:val="Strong"/>
    <w:basedOn w:val="31"/>
    <w:qFormat/>
    <w:uiPriority w:val="0"/>
    <w:rPr>
      <w:b/>
    </w:rPr>
  </w:style>
  <w:style w:type="character" w:styleId="33">
    <w:name w:val="page number"/>
    <w:qFormat/>
    <w:uiPriority w:val="0"/>
    <w:rPr>
      <w:rFonts w:ascii="Times New Roman" w:hAnsi="Times New Roman" w:eastAsia="宋体" w:cs="Times New Roman"/>
    </w:rPr>
  </w:style>
  <w:style w:type="character" w:styleId="34">
    <w:name w:val="Hyperlink"/>
    <w:basedOn w:val="31"/>
    <w:unhideWhenUsed/>
    <w:qFormat/>
    <w:uiPriority w:val="99"/>
    <w:rPr>
      <w:color w:val="0000FF"/>
      <w:u w:val="single"/>
    </w:rPr>
  </w:style>
  <w:style w:type="character" w:styleId="35">
    <w:name w:val="annotation reference"/>
    <w:qFormat/>
    <w:uiPriority w:val="0"/>
    <w:rPr>
      <w:rFonts w:ascii="Times New Roman" w:hAnsi="Times New Roman" w:eastAsia="宋体" w:cs="Times New Roman"/>
      <w:sz w:val="21"/>
      <w:szCs w:val="21"/>
    </w:rPr>
  </w:style>
  <w:style w:type="paragraph" w:customStyle="1" w:styleId="36">
    <w:name w:val="Default"/>
    <w:next w:val="37"/>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37">
    <w:name w:val="正文文字 6"/>
    <w:next w:val="1"/>
    <w:qFormat/>
    <w:uiPriority w:val="0"/>
    <w:pPr>
      <w:widowControl w:val="0"/>
      <w:ind w:left="240"/>
      <w:jc w:val="both"/>
    </w:pPr>
    <w:rPr>
      <w:rFonts w:ascii="宋体" w:hAnsi="Calibri" w:eastAsia="宋体" w:cs="Times New Roman"/>
      <w:b/>
      <w:bCs/>
      <w:kern w:val="2"/>
      <w:sz w:val="32"/>
      <w:szCs w:val="32"/>
      <w:lang w:val="en-US" w:eastAsia="zh-CN" w:bidi="ar-SA"/>
    </w:rPr>
  </w:style>
  <w:style w:type="paragraph" w:customStyle="1" w:styleId="38">
    <w:name w:val="表格文字"/>
    <w:basedOn w:val="1"/>
    <w:qFormat/>
    <w:uiPriority w:val="99"/>
    <w:pPr>
      <w:spacing w:before="25" w:after="25"/>
      <w:jc w:val="left"/>
    </w:pPr>
    <w:rPr>
      <w:bCs/>
      <w:spacing w:val="10"/>
      <w:kern w:val="0"/>
      <w:sz w:val="24"/>
    </w:rPr>
  </w:style>
  <w:style w:type="paragraph" w:customStyle="1" w:styleId="39">
    <w:name w:val="正文1"/>
    <w:qFormat/>
    <w:uiPriority w:val="0"/>
    <w:pPr>
      <w:widowControl w:val="0"/>
      <w:jc w:val="both"/>
    </w:pPr>
    <w:rPr>
      <w:rFonts w:ascii="Calibri" w:hAnsi="Calibri" w:eastAsia="微软雅黑" w:cs="Times New Roman"/>
      <w:kern w:val="2"/>
      <w:sz w:val="18"/>
      <w:szCs w:val="18"/>
      <w:lang w:val="en-US" w:eastAsia="zh-CN" w:bidi="ar-SA"/>
    </w:rPr>
  </w:style>
  <w:style w:type="paragraph" w:customStyle="1" w:styleId="40">
    <w:name w:val="正文文字 Char"/>
    <w:basedOn w:val="1"/>
    <w:next w:val="2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customStyle="1" w:styleId="41">
    <w:name w:val="纯文本1"/>
    <w:basedOn w:val="1"/>
    <w:qFormat/>
    <w:uiPriority w:val="0"/>
    <w:pPr>
      <w:suppressAutoHyphens/>
    </w:pPr>
    <w:rPr>
      <w:rFonts w:ascii="宋体" w:hAnsi="宋体" w:eastAsia="宋体" w:cs="Calibri"/>
      <w:kern w:val="1"/>
      <w:sz w:val="20"/>
      <w:szCs w:val="21"/>
      <w:lang w:eastAsia="ar-SA"/>
    </w:rPr>
  </w:style>
  <w:style w:type="paragraph" w:customStyle="1" w:styleId="42">
    <w:name w:val="表内文字"/>
    <w:basedOn w:val="1"/>
    <w:qFormat/>
    <w:uiPriority w:val="0"/>
    <w:pPr>
      <w:snapToGrid w:val="0"/>
      <w:spacing w:before="50" w:after="50"/>
      <w:jc w:val="center"/>
    </w:pPr>
    <w:rPr>
      <w:rFonts w:ascii="仿宋_GB2312" w:hAnsi="宋体" w:eastAsia="仿宋_GB2312" w:cs="Times New Roman"/>
      <w:color w:val="000000"/>
      <w:szCs w:val="21"/>
    </w:rPr>
  </w:style>
  <w:style w:type="paragraph" w:styleId="43">
    <w:name w:val="List Paragraph"/>
    <w:basedOn w:val="1"/>
    <w:qFormat/>
    <w:uiPriority w:val="34"/>
    <w:pPr>
      <w:ind w:firstLine="420" w:firstLineChars="200"/>
    </w:pPr>
  </w:style>
  <w:style w:type="character" w:customStyle="1" w:styleId="44">
    <w:name w:val="NormalCharacter"/>
    <w:semiHidden/>
    <w:qFormat/>
    <w:uiPriority w:val="0"/>
    <w:rPr>
      <w:rFonts w:ascii="Times New Roman" w:hAnsi="Times New Roman" w:eastAsia="宋体" w:cstheme="minorBidi"/>
      <w:kern w:val="2"/>
      <w:sz w:val="21"/>
      <w:szCs w:val="24"/>
      <w:lang w:val="en-US" w:eastAsia="zh-CN" w:bidi="ar-SA"/>
    </w:rPr>
  </w:style>
  <w:style w:type="character" w:customStyle="1" w:styleId="45">
    <w:name w:val="p141"/>
    <w:qFormat/>
    <w:uiPriority w:val="0"/>
    <w:rPr>
      <w:sz w:val="21"/>
      <w:szCs w:val="21"/>
    </w:rPr>
  </w:style>
  <w:style w:type="paragraph" w:customStyle="1" w:styleId="46">
    <w:name w:val="Other|1"/>
    <w:basedOn w:val="1"/>
    <w:qFormat/>
    <w:uiPriority w:val="0"/>
    <w:pPr>
      <w:spacing w:line="402" w:lineRule="exact"/>
      <w:jc w:val="left"/>
    </w:pPr>
    <w:rPr>
      <w:rFonts w:ascii="宋体" w:hAnsi="宋体" w:eastAsia="宋体" w:cs="Times New Roman"/>
      <w:kern w:val="0"/>
      <w:sz w:val="20"/>
      <w:szCs w:val="20"/>
      <w:lang w:val="zh-TW" w:eastAsia="zh-TW"/>
    </w:rPr>
  </w:style>
  <w:style w:type="character" w:customStyle="1" w:styleId="47">
    <w:name w:val="font31"/>
    <w:qFormat/>
    <w:uiPriority w:val="0"/>
    <w:rPr>
      <w:rFonts w:hint="eastAsia" w:ascii="宋体" w:hAnsi="宋体" w:eastAsia="宋体" w:cs="宋体"/>
      <w:color w:val="000000"/>
      <w:sz w:val="22"/>
      <w:szCs w:val="22"/>
      <w:u w:val="none"/>
    </w:rPr>
  </w:style>
  <w:style w:type="table" w:customStyle="1" w:styleId="48">
    <w:name w:val="Table Normal"/>
    <w:semiHidden/>
    <w:unhideWhenUsed/>
    <w:qFormat/>
    <w:uiPriority w:val="0"/>
    <w:tblPr>
      <w:tblCellMar>
        <w:top w:w="0" w:type="dxa"/>
        <w:left w:w="0" w:type="dxa"/>
        <w:bottom w:w="0" w:type="dxa"/>
        <w:right w:w="0" w:type="dxa"/>
      </w:tblCellMar>
    </w:tblPr>
  </w:style>
  <w:style w:type="paragraph" w:customStyle="1" w:styleId="49">
    <w:name w:val="Body text|3"/>
    <w:basedOn w:val="1"/>
    <w:qFormat/>
    <w:uiPriority w:val="0"/>
    <w:pPr>
      <w:spacing w:after="460"/>
      <w:jc w:val="center"/>
    </w:pPr>
    <w:rPr>
      <w:rFonts w:ascii="宋体" w:hAnsi="宋体" w:eastAsia="宋体" w:cs="Times New Roman"/>
      <w:kern w:val="0"/>
      <w:sz w:val="34"/>
      <w:szCs w:val="34"/>
    </w:rPr>
  </w:style>
  <w:style w:type="paragraph" w:customStyle="1" w:styleId="50">
    <w:name w:val="Body text|1"/>
    <w:basedOn w:val="1"/>
    <w:qFormat/>
    <w:uiPriority w:val="0"/>
    <w:pPr>
      <w:spacing w:line="353" w:lineRule="auto"/>
      <w:ind w:firstLine="400"/>
      <w:jc w:val="left"/>
    </w:pPr>
    <w:rPr>
      <w:rFonts w:ascii="宋体" w:hAnsi="宋体" w:eastAsia="宋体" w:cs="Times New Roman"/>
      <w:kern w:val="0"/>
      <w:sz w:val="30"/>
      <w:szCs w:val="3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73a8e4a2-0410-41b6-9909-1d59d5a64795</errorID>
      <errorWord>公示的</errorWord>
      <group>L1_Word</group>
      <groupName>字词问题</groupName>
      <ability>L2_Typo</ability>
      <abilityName>字词错误</abilityName>
      <candidateList>
        <item>公示</item>
      </candidateList>
      <explain/>
      <paraID>58574F3E</paraID>
      <start>2</start>
      <end>5</end>
      <status>ignored</status>
      <modifiedWord/>
      <trackRevisions>false</trackRevisions>
    </reviewItem>
    <reviewItem>
      <errorID>b6ef0db7-047e-41c7-b6ec-2cdcf13e8d9c</errorID>
      <errorWord>日至2026年</errorWord>
      <group>L1_Word</group>
      <groupName>字词问题</groupName>
      <ability>L2_Typo</ability>
      <abilityName>字词错误</abilityName>
      <candidateList>
        <item>日起至2026年</item>
      </candidateList>
      <explain/>
      <paraID>4FB2C99B</paraID>
      <start>9</start>
      <end>16</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383ad83-61fb-488e-aca7-2ca810b11918}">
  <ds:schemaRefs/>
</ds:datastoreItem>
</file>

<file path=docProps/app.xml><?xml version="1.0" encoding="utf-8"?>
<Properties xmlns="http://schemas.openxmlformats.org/officeDocument/2006/extended-properties" xmlns:vt="http://schemas.openxmlformats.org/officeDocument/2006/docPropsVTypes">
  <Template>Normal.dotm</Template>
  <Pages>22</Pages>
  <Words>10608</Words>
  <Characters>11068</Characters>
  <Lines>0</Lines>
  <Paragraphs>0</Paragraphs>
  <TotalTime>1</TotalTime>
  <ScaleCrop>false</ScaleCrop>
  <LinksUpToDate>false</LinksUpToDate>
  <CharactersWithSpaces>11737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LD</dc:creator>
  <cp:lastModifiedBy>尹姿懿</cp:lastModifiedBy>
  <cp:lastPrinted>2026-08-04T08:15:00Z</cp:lastPrinted>
  <dcterms:modified xsi:type="dcterms:W3CDTF">2026-10-09T03:26:18Z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BB9CA2D1FA8F423C9F6199F94F4F8B24_13</vt:lpwstr>
  </property>
  <property fmtid="{D5CDD505-2E9C-101B-9397-08002B2CF9AE}" pid="4" name="commondata">
    <vt:lpwstr>eyJoZGlkIjoiZWExNWU1N2QxY2UxZWI4YzNlODg4ODFmNzk0YTgzMDQifQ==</vt:lpwstr>
  </property>
  <property fmtid="{D5CDD505-2E9C-101B-9397-08002B2CF9AE}" pid="5" name="KSOTemplateDocerSaveRecord">
    <vt:lpwstr>eyJoZGlkIjoiZjYzYzNhZDExODI3ZjhmZmU4OWJiMDdiODQ1Mjg3M2UiLCJ1c2VySWQiOiI0MjU1MzY3NDAifQ==</vt:lpwstr>
  </property>
</Properties>
</file>