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900B1">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val="en-US" w:eastAsia="zh-CN"/>
        </w:rPr>
        <w:t>采购项目采购需求</w:t>
      </w:r>
    </w:p>
    <w:p w14:paraId="776C11EA">
      <w:pPr>
        <w:rPr>
          <w:rFonts w:hint="eastAsia" w:ascii="宋体" w:hAnsi="宋体" w:eastAsia="宋体" w:cs="宋体"/>
          <w:sz w:val="28"/>
          <w:szCs w:val="28"/>
          <w:lang w:val="en-US" w:eastAsia="zh-CN"/>
        </w:rPr>
      </w:pPr>
    </w:p>
    <w:p w14:paraId="53E1C72C">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一、总体要求:</w:t>
      </w:r>
    </w:p>
    <w:p w14:paraId="019B542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1、成交供应商独立承担采购单位外送精子超微结构分析（基础套餐）服务项目，按照行业标准要求提供相关服务。</w:t>
      </w:r>
    </w:p>
    <w:p w14:paraId="37E72DB0">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2、服务内容包括采购单位男科临床诊疗需要的精子超微结构分析（基础套餐）项目服务。</w:t>
      </w:r>
    </w:p>
    <w:p w14:paraId="0C38D25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3、实际费用以医院实际外送检验项目数量为准，按实结算。</w:t>
      </w:r>
    </w:p>
    <w:p w14:paraId="4782499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(一)质量标准</w:t>
      </w:r>
    </w:p>
    <w:p w14:paraId="3563469E">
      <w:pPr>
        <w:numPr>
          <w:ilvl w:val="0"/>
          <w:numId w:val="1"/>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自治区（省级）卫生健康委核发，持有有效的医疗机构执业许可证。</w:t>
      </w:r>
    </w:p>
    <w:p w14:paraId="446C0D5E">
      <w:pPr>
        <w:numPr>
          <w:ilvl w:val="0"/>
          <w:numId w:val="1"/>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具有国际认证的质量管理体系。</w:t>
      </w:r>
    </w:p>
    <w:p w14:paraId="357592D0">
      <w:pPr>
        <w:numPr>
          <w:ilvl w:val="0"/>
          <w:numId w:val="1"/>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外送的检验项目必须参加国内权威的质量评价机构的能力验证计划或室间质量评价活动，并提供材料证明。</w:t>
      </w:r>
    </w:p>
    <w:p w14:paraId="740BD509">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(二)服务质量要求</w:t>
      </w:r>
    </w:p>
    <w:p w14:paraId="21631171">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成交供应商实验室配备透射电子显微镜及其配套设备（超薄切片机、KOS多功能微波组织处理仪等）</w:t>
      </w:r>
    </w:p>
    <w:p w14:paraId="2C00E090">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成交供应商实验室配备经过长期专门训练的技术人员和病理医生对精子超微结构标本的制作（取材、固定、脱水、包埋、切片）和电镜图像进行判读。</w:t>
      </w:r>
    </w:p>
    <w:p w14:paraId="47F5106E">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成交供应商严格要求电镜实验室场地环境（防震、防磁、恒温恒湿）。</w:t>
      </w:r>
    </w:p>
    <w:p w14:paraId="41C6CE82">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成交供应商承诺免费上门收取标本免费上门收取标本。周一至周六接收当天样本，当天抵达实验室。</w:t>
      </w:r>
    </w:p>
    <w:p w14:paraId="091F28BE">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成交供应商标本到实验室5-7个工作日出具报告。</w:t>
      </w:r>
    </w:p>
    <w:p w14:paraId="59DCBF2A">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根据临床需求，成交供应商安排技术人员到科室进行项目培训。</w:t>
      </w:r>
    </w:p>
    <w:p w14:paraId="2994C36B">
      <w:pPr>
        <w:numPr>
          <w:ilvl w:val="0"/>
          <w:numId w:val="2"/>
        </w:numPr>
        <w:ind w:left="425" w:leftChars="0" w:hanging="425" w:firstLineChars="0"/>
        <w:rPr>
          <w:rFonts w:hint="eastAsia" w:ascii="宋体" w:hAnsi="宋体" w:eastAsia="宋体" w:cs="宋体"/>
          <w:strike w:val="0"/>
          <w:sz w:val="28"/>
          <w:szCs w:val="28"/>
          <w:lang w:val="en-US" w:eastAsia="zh-CN"/>
        </w:rPr>
      </w:pPr>
      <w:r>
        <w:rPr>
          <w:rFonts w:hint="eastAsia" w:ascii="宋体" w:hAnsi="宋体" w:eastAsia="宋体" w:cs="宋体"/>
          <w:sz w:val="28"/>
          <w:szCs w:val="28"/>
          <w:lang w:val="en-US" w:eastAsia="zh-CN"/>
        </w:rPr>
        <w:t>成交供应商配备专业病理医生对报告进行解读以及后续服务。</w:t>
      </w:r>
    </w:p>
    <w:p w14:paraId="469A9227">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成交供应商可提供原始数据等增值服务。</w:t>
      </w:r>
    </w:p>
    <w:p w14:paraId="100C2DA3">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成交供应商保证对检验结果的质量问题负全部责任；保证各类信息及数据的保密工作。</w:t>
      </w:r>
    </w:p>
    <w:p w14:paraId="1F1E6E5B">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成交供应商应当在检验项目发生变化或价格发生变化时向院方提供更改清单，清单详细列出检验项目、检测内容、检测方法、检验标本和价格等更改的内容。</w:t>
      </w:r>
    </w:p>
    <w:p w14:paraId="0F17627A">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院方送检的所有标本，除成交供应商明确委托的检测项目外，成交供应商不得将该标本用于其它项目检测或用途。</w:t>
      </w:r>
    </w:p>
    <w:p w14:paraId="7215D5BB">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成交供应商保证对所有送检标本、检验结果及其它相关资料保密，如有泄露，责任由成交供应商承担。</w:t>
      </w:r>
    </w:p>
    <w:p w14:paraId="7E2EC72E">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接受院方对成交供应商实验室的经营管理行使监督权，成交供应商定期向院方提供保证检验质量的相关证书。</w:t>
      </w:r>
    </w:p>
    <w:p w14:paraId="475D54E6">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第三方的报告打印:要求免费开放第三方与我院Lis系统网络链接端口，提供系统的对接服务，实现在院内信息系统直接打印报告单。</w:t>
      </w:r>
    </w:p>
    <w:p w14:paraId="44E5E029">
      <w:pPr>
        <w:numPr>
          <w:ilvl w:val="0"/>
          <w:numId w:val="2"/>
        </w:numPr>
        <w:ind w:left="425" w:leftChars="0" w:hanging="425" w:firstLineChars="0"/>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付款方式及要求：（</w:t>
      </w:r>
      <w:r>
        <w:rPr>
          <w:rFonts w:hint="default" w:ascii="宋体" w:hAnsi="宋体" w:eastAsia="宋体" w:cs="宋体"/>
          <w:sz w:val="28"/>
          <w:szCs w:val="28"/>
          <w:vertAlign w:val="baseline"/>
          <w:lang w:val="en-US" w:eastAsia="zh-CN"/>
        </w:rPr>
        <w:t>1</w:t>
      </w:r>
      <w:r>
        <w:rPr>
          <w:rFonts w:hint="eastAsia" w:ascii="宋体" w:hAnsi="宋体" w:eastAsia="宋体" w:cs="宋体"/>
          <w:sz w:val="28"/>
          <w:szCs w:val="28"/>
          <w:vertAlign w:val="baseline"/>
          <w:lang w:val="en-US" w:eastAsia="zh-CN"/>
        </w:rPr>
        <w:t>）</w:t>
      </w:r>
      <w:r>
        <w:rPr>
          <w:rFonts w:hint="default" w:ascii="宋体" w:hAnsi="宋体" w:eastAsia="宋体" w:cs="宋体"/>
          <w:sz w:val="28"/>
          <w:szCs w:val="28"/>
          <w:vertAlign w:val="baseline"/>
          <w:lang w:val="en-US" w:eastAsia="zh-CN"/>
        </w:rPr>
        <w:t>成交供应商每个月10号前将上月的服务对账信息以《服务对账单》形式提交给采购人双方进行核对确认。若有异议的，双方应在3个工作日内解决，确认无误后，由采购人按实际数量乘积成交单价进行结算。</w:t>
      </w:r>
      <w:r>
        <w:rPr>
          <w:rFonts w:hint="eastAsia" w:ascii="宋体" w:hAnsi="宋体" w:eastAsia="宋体" w:cs="宋体"/>
          <w:sz w:val="28"/>
          <w:szCs w:val="28"/>
          <w:vertAlign w:val="baseline"/>
          <w:lang w:val="en-US" w:eastAsia="zh-CN"/>
        </w:rPr>
        <w:t>（2）</w:t>
      </w:r>
      <w:r>
        <w:rPr>
          <w:rFonts w:hint="default" w:ascii="宋体" w:hAnsi="宋体" w:eastAsia="宋体" w:cs="宋体"/>
          <w:sz w:val="28"/>
          <w:szCs w:val="28"/>
          <w:vertAlign w:val="baseline"/>
          <w:lang w:val="en-US" w:eastAsia="zh-CN"/>
        </w:rPr>
        <w:t>付款前，成交供应商须提供符合要求的发票给采购人，否则采购人的付款期限顺延。成交人应当确保发票真实无误且合法有效，如发现存在虚假发票或违规发票的，成交人须赔偿采购人发票票面金额一倍的违约金，且采购人有权终止合同，因终止合同而产生的一切损失均由成交人承担。</w:t>
      </w:r>
    </w:p>
    <w:p w14:paraId="154ADA5B">
      <w:pPr>
        <w:numPr>
          <w:ilvl w:val="0"/>
          <w:numId w:val="2"/>
        </w:numPr>
        <w:ind w:left="425" w:leftChars="0" w:hanging="425" w:firstLineChars="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服务期及地点：（1）</w:t>
      </w:r>
      <w:r>
        <w:rPr>
          <w:rFonts w:hint="default" w:ascii="宋体" w:hAnsi="宋体" w:eastAsia="宋体" w:cs="宋体"/>
          <w:sz w:val="28"/>
          <w:szCs w:val="28"/>
          <w:vertAlign w:val="baseline"/>
          <w:lang w:val="en-US" w:eastAsia="zh-CN"/>
        </w:rPr>
        <w:t>服务期限:自合同签订之日起服务期</w:t>
      </w:r>
      <w:r>
        <w:rPr>
          <w:rFonts w:hint="default" w:ascii="宋体" w:hAnsi="宋体" w:eastAsia="宋体" w:cs="宋体"/>
          <w:color w:val="auto"/>
          <w:sz w:val="28"/>
          <w:szCs w:val="28"/>
          <w:vertAlign w:val="baseline"/>
          <w:lang w:val="en-US" w:eastAsia="zh-CN"/>
        </w:rPr>
        <w:t>壹年</w:t>
      </w:r>
      <w:r>
        <w:rPr>
          <w:rFonts w:hint="default" w:ascii="宋体" w:hAnsi="宋体" w:eastAsia="宋体" w:cs="宋体"/>
          <w:sz w:val="28"/>
          <w:szCs w:val="28"/>
          <w:vertAlign w:val="baseline"/>
          <w:lang w:val="en-US" w:eastAsia="zh-CN"/>
        </w:rPr>
        <w:t>。</w:t>
      </w:r>
      <w:r>
        <w:rPr>
          <w:rFonts w:hint="eastAsia" w:ascii="宋体" w:hAnsi="宋体" w:eastAsia="宋体" w:cs="宋体"/>
          <w:sz w:val="28"/>
          <w:szCs w:val="28"/>
          <w:vertAlign w:val="baseline"/>
          <w:lang w:val="en-US" w:eastAsia="zh-CN"/>
        </w:rPr>
        <w:t>（2）</w:t>
      </w:r>
      <w:r>
        <w:rPr>
          <w:rFonts w:hint="default" w:ascii="宋体" w:hAnsi="宋体" w:eastAsia="宋体" w:cs="宋体"/>
          <w:sz w:val="28"/>
          <w:szCs w:val="28"/>
          <w:vertAlign w:val="baseline"/>
          <w:lang w:val="en-US" w:eastAsia="zh-CN"/>
        </w:rPr>
        <w:t>服务地点:广西南宁市采购人指定地点。</w:t>
      </w:r>
    </w:p>
    <w:p w14:paraId="5C4C0BA4">
      <w:pPr>
        <w:widowControl w:val="0"/>
        <w:numPr>
          <w:ilvl w:val="0"/>
          <w:numId w:val="0"/>
        </w:numPr>
        <w:jc w:val="both"/>
        <w:rPr>
          <w:rFonts w:hint="default" w:ascii="宋体" w:hAnsi="宋体" w:eastAsia="宋体" w:cs="宋体"/>
          <w:sz w:val="28"/>
          <w:szCs w:val="28"/>
          <w:vertAlign w:val="baseline"/>
          <w:lang w:val="en-US" w:eastAsia="zh-CN"/>
        </w:rPr>
      </w:pPr>
    </w:p>
    <w:p w14:paraId="0446FD64">
      <w:pPr>
        <w:widowControl w:val="0"/>
        <w:numPr>
          <w:ilvl w:val="0"/>
          <w:numId w:val="0"/>
        </w:numPr>
        <w:jc w:val="both"/>
        <w:rPr>
          <w:rFonts w:hint="default" w:ascii="宋体" w:hAnsi="宋体" w:eastAsia="宋体" w:cs="宋体"/>
          <w:sz w:val="28"/>
          <w:szCs w:val="28"/>
          <w:vertAlign w:val="baseline"/>
          <w:lang w:val="en-US" w:eastAsia="zh-CN"/>
        </w:rPr>
      </w:pPr>
    </w:p>
    <w:p w14:paraId="5FF5BFA9">
      <w:pPr>
        <w:widowControl w:val="0"/>
        <w:numPr>
          <w:ilvl w:val="0"/>
          <w:numId w:val="0"/>
        </w:numPr>
        <w:jc w:val="both"/>
        <w:rPr>
          <w:rFonts w:hint="default" w:ascii="宋体" w:hAnsi="宋体" w:eastAsia="宋体" w:cs="宋体"/>
          <w:sz w:val="28"/>
          <w:szCs w:val="28"/>
          <w:vertAlign w:val="baseline"/>
          <w:lang w:val="en-US" w:eastAsia="zh-CN"/>
        </w:rPr>
      </w:pPr>
    </w:p>
    <w:p w14:paraId="2A00FCE1">
      <w:pPr>
        <w:widowControl w:val="0"/>
        <w:numPr>
          <w:ilvl w:val="0"/>
          <w:numId w:val="0"/>
        </w:numPr>
        <w:jc w:val="both"/>
        <w:rPr>
          <w:rFonts w:hint="eastAsia" w:ascii="宋体" w:hAnsi="宋体" w:eastAsia="宋体" w:cs="宋体"/>
          <w:sz w:val="28"/>
          <w:szCs w:val="28"/>
          <w:vertAlign w:val="baseline"/>
          <w:lang w:val="en-US" w:eastAsia="zh-CN"/>
        </w:rPr>
      </w:pPr>
    </w:p>
    <w:p w14:paraId="635B2E94">
      <w:pPr>
        <w:rPr>
          <w:rFonts w:hint="default" w:ascii="宋体" w:hAnsi="宋体" w:eastAsia="宋体" w:cs="宋体"/>
          <w:sz w:val="28"/>
          <w:szCs w:val="28"/>
          <w:lang w:val="en-US" w:eastAsia="zh-CN"/>
        </w:rPr>
      </w:pPr>
    </w:p>
    <w:p w14:paraId="0E661877">
      <w:pPr>
        <w:rPr>
          <w:rFonts w:hint="default" w:ascii="宋体" w:hAnsi="宋体" w:eastAsia="宋体" w:cs="宋体"/>
          <w:sz w:val="28"/>
          <w:szCs w:val="28"/>
          <w:lang w:val="en-US" w:eastAsia="zh-CN"/>
        </w:rPr>
      </w:pPr>
      <w:bookmarkStart w:id="0" w:name="_GoBack"/>
      <w:bookmarkEnd w:id="0"/>
    </w:p>
    <w:sectPr>
      <w:pgSz w:w="11906" w:h="16838"/>
      <w:pgMar w:top="1247" w:right="1417" w:bottom="147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621D0DF9-33BF-4254-93D9-CE2A39E80F8B}"/>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5BC31"/>
    <w:multiLevelType w:val="singleLevel"/>
    <w:tmpl w:val="C915BC31"/>
    <w:lvl w:ilvl="0" w:tentative="0">
      <w:start w:val="1"/>
      <w:numFmt w:val="decimal"/>
      <w:lvlText w:val="%1."/>
      <w:lvlJc w:val="left"/>
      <w:pPr>
        <w:ind w:left="425" w:hanging="425"/>
      </w:pPr>
      <w:rPr>
        <w:rFonts w:hint="default"/>
      </w:rPr>
    </w:lvl>
  </w:abstractNum>
  <w:abstractNum w:abstractNumId="1">
    <w:nsid w:val="D4C04EAE"/>
    <w:multiLevelType w:val="singleLevel"/>
    <w:tmpl w:val="D4C04EA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43882"/>
    <w:rsid w:val="2D603E4B"/>
    <w:rsid w:val="2F8E7F3A"/>
    <w:rsid w:val="44F81E2D"/>
    <w:rsid w:val="46A43882"/>
    <w:rsid w:val="49B120AA"/>
    <w:rsid w:val="4CC568E6"/>
    <w:rsid w:val="514172DE"/>
    <w:rsid w:val="6083196A"/>
    <w:rsid w:val="6C173DBE"/>
    <w:rsid w:val="76816672"/>
    <w:rsid w:val="7AEF353D"/>
    <w:rsid w:val="7B505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1427</Words>
  <Characters>1506</Characters>
  <Lines>0</Lines>
  <Paragraphs>0</Paragraphs>
  <TotalTime>3</TotalTime>
  <ScaleCrop>false</ScaleCrop>
  <LinksUpToDate>false</LinksUpToDate>
  <CharactersWithSpaces>1509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2026-03-25T08:24:00Z</dcterms:created>
  <dc:creator>木夕</dc:creator>
  <cp:lastModifiedBy>a霞</cp:lastModifiedBy>
  <dcterms:modified xsi:type="dcterms:W3CDTF">2026-05-12T02:13:54Z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22F3DD2FFDC74B688F07EB628AE841C1_13</vt:lpwstr>
  </property>
  <property fmtid="{D5CDD505-2E9C-101B-9397-08002B2CF9AE}" pid="4" name="KSOTemplateDocerSaveRecord">
    <vt:lpwstr>eyJoZGlkIjoiZDkyYmUwYTJmOTI3MzcxNWZkMjFjMTFiYTcxZjEyYjciLCJ1c2VySWQiOiIyOTY4NzE3ODcifQ==</vt:lpwstr>
  </property>
</Properties>
</file>