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-795020</wp:posOffset>
                      </wp:positionV>
                      <wp:extent cx="4381500" cy="6248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1596390" y="497205"/>
                                <a:ext cx="4381500" cy="624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检验科标准菌株采购需求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pt;margin-top:-62.6pt;height:49.2pt;width:345pt;z-index:251659264;mso-width-relative:page;mso-height-relative:page;" fillcolor="#FFFFFF [3201]" filled="t" stroked="t" coordsize="21600,21600" o:gfxdata="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9r9E9cAAAALAQAADwAAAAAAAAABACAAAAAiAAAAZHJzL2Rvd25yZXYueG1sUEsBAhQAFAAA&#10;AAgAh07iQNcjo4RiAgAAwgQAAA4AAAAAAAAAAQAgAAAAJgEAAGRycy9lMm9Eb2MueG1sUEsFBgAA&#10;AAAGAAYAWQEAAPoFAAAAAA==&#10;">
                      <v:fill on="t" focussize="0,0"/>
                      <v:stroke weight="0.5pt" color="#000000 [3204]" joinstyle="round"/>
                      <v:imagedata o:title=""/>
                      <o:lock v:ext="edit" aspectratio="f"/>
                      <v:textbo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检验科标准菌株采购需求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大肠杆菌 ATCC25922</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64FD8A2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2ABB043E">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2DE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46F490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铜绿假单胞菌 ATCC27853</w:t>
            </w:r>
          </w:p>
        </w:tc>
        <w:tc>
          <w:tcPr>
            <w:tcW w:w="629" w:type="dxa"/>
            <w:tcBorders>
              <w:left w:val="single" w:color="auto" w:sz="4" w:space="0"/>
              <w:bottom w:val="single" w:color="auto" w:sz="4" w:space="0"/>
              <w:right w:val="single" w:color="auto" w:sz="4" w:space="0"/>
            </w:tcBorders>
            <w:shd w:val="clear" w:color="auto" w:fill="auto"/>
            <w:vAlign w:val="center"/>
          </w:tcPr>
          <w:p w14:paraId="78447D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DBAA76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A3FCB00">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821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7CD6C8B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金黄色葡萄球菌ATCC29213</w:t>
            </w:r>
          </w:p>
        </w:tc>
        <w:tc>
          <w:tcPr>
            <w:tcW w:w="629" w:type="dxa"/>
            <w:tcBorders>
              <w:left w:val="single" w:color="auto" w:sz="4" w:space="0"/>
              <w:bottom w:val="single" w:color="auto" w:sz="4" w:space="0"/>
              <w:right w:val="single" w:color="auto" w:sz="4" w:space="0"/>
            </w:tcBorders>
            <w:shd w:val="clear" w:color="auto" w:fill="auto"/>
            <w:vAlign w:val="center"/>
          </w:tcPr>
          <w:p w14:paraId="1CFAC8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6B3B94B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74D7650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7BC6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CBD9DC9">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金黄色葡萄球菌ATCC25923</w:t>
            </w:r>
          </w:p>
        </w:tc>
        <w:tc>
          <w:tcPr>
            <w:tcW w:w="629" w:type="dxa"/>
            <w:tcBorders>
              <w:left w:val="single" w:color="auto" w:sz="4" w:space="0"/>
              <w:bottom w:val="single" w:color="auto" w:sz="4" w:space="0"/>
              <w:right w:val="single" w:color="auto" w:sz="4" w:space="0"/>
            </w:tcBorders>
            <w:shd w:val="clear" w:color="auto" w:fill="auto"/>
            <w:vAlign w:val="center"/>
          </w:tcPr>
          <w:p w14:paraId="177723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588221C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15D2223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2195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BE0B68A">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粪肠球菌ATCC29212</w:t>
            </w:r>
          </w:p>
        </w:tc>
        <w:tc>
          <w:tcPr>
            <w:tcW w:w="629" w:type="dxa"/>
            <w:tcBorders>
              <w:left w:val="single" w:color="auto" w:sz="4" w:space="0"/>
              <w:bottom w:val="single" w:color="auto" w:sz="4" w:space="0"/>
              <w:right w:val="single" w:color="auto" w:sz="4" w:space="0"/>
            </w:tcBorders>
            <w:shd w:val="clear" w:color="auto" w:fill="auto"/>
            <w:vAlign w:val="center"/>
          </w:tcPr>
          <w:p w14:paraId="4252CE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07F2B49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172AB764">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5474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BB8873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肺炎链球菌ATCC49619</w:t>
            </w:r>
          </w:p>
        </w:tc>
        <w:tc>
          <w:tcPr>
            <w:tcW w:w="629" w:type="dxa"/>
            <w:tcBorders>
              <w:left w:val="single" w:color="auto" w:sz="4" w:space="0"/>
              <w:bottom w:val="single" w:color="auto" w:sz="4" w:space="0"/>
              <w:right w:val="single" w:color="auto" w:sz="4" w:space="0"/>
            </w:tcBorders>
            <w:shd w:val="clear" w:color="auto" w:fill="auto"/>
            <w:vAlign w:val="center"/>
          </w:tcPr>
          <w:p w14:paraId="2B7C62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880CE0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1.本产品采用纸片扩散法体外检测细菌对药物的敏感性。</w:t>
            </w:r>
          </w:p>
          <w:p w14:paraId="1D320AFC">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2.包装完整，文字符号标识清晰，纸片的两面均有药物的英文名称缩写和表示含量的数字，纸片表面平整、边缘无缺损。</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184C27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2325717F"/>
    <w:rsid w:val="6105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5511</Words>
  <Characters>5585</Characters>
  <Lines>0</Lines>
  <Paragraphs>0</Paragraphs>
  <TotalTime>0</TotalTime>
  <ScaleCrop>false</ScaleCrop>
  <LinksUpToDate>false</LinksUpToDate>
  <CharactersWithSpaces>5612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2026-06-04T06:58:06Z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786ECA5CC74249FCB5688D3F2EAF11CA_13</vt:lpwstr>
  </property>
  <property fmtid="{D5CDD505-2E9C-101B-9397-08002B2CF9AE}" pid="4" name="KSOTemplateDocerSaveRecord">
    <vt:lpwstr>eyJoZGlkIjoiZThkNDU2MGFmNTEzZmVkNDk2N2RkNTQ2MjYxNDVjZjQiLCJ1c2VySWQiOiIxNjAzOTU3NzIzIn0=</vt:lpwstr>
  </property>
</Properties>
</file>