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F6FE8">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广西壮族自治区生殖医院</w:t>
      </w:r>
    </w:p>
    <w:p w14:paraId="6FF4FA7C">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院内采购项目采购需求</w:t>
      </w:r>
    </w:p>
    <w:p w14:paraId="243A53C5">
      <w:pPr>
        <w:ind w:firstLine="880"/>
        <w:jc w:val="center"/>
        <w:rPr>
          <w:rFonts w:ascii="方正小标宋简体" w:hAnsi="方正小标宋简体" w:eastAsia="方正小标宋简体"/>
          <w:sz w:val="44"/>
          <w:szCs w:val="44"/>
        </w:rPr>
      </w:pPr>
    </w:p>
    <w:p w14:paraId="449C6C6B">
      <w:pPr>
        <w:pStyle w:val="2"/>
      </w:pPr>
    </w:p>
    <w:p w14:paraId="2CA23F15"/>
    <w:p w14:paraId="6CAC759E">
      <w:pPr>
        <w:ind w:firstLine="1440" w:firstLineChars="450"/>
        <w:rPr>
          <w:rFonts w:ascii="方正小标宋简体" w:hAnsi="方正小标宋简体" w:eastAsia="方正小标宋简体"/>
          <w:sz w:val="32"/>
          <w:szCs w:val="32"/>
          <w:u w:val="single"/>
        </w:rPr>
      </w:pPr>
      <w:r>
        <w:rPr>
          <w:rFonts w:ascii="方正小标宋简体" w:hAnsi="方正小标宋简体" w:eastAsia="方正小标宋简体"/>
          <w:sz w:val="32"/>
          <w:szCs w:val="32"/>
        </w:rPr>
        <w:t>项目名称</w:t>
      </w:r>
      <w:r>
        <w:rPr>
          <w:rFonts w:hint="eastAsia" w:ascii="方正小标宋简体" w:hAnsi="方正小标宋简体" w:eastAsia="方正小标宋简体"/>
          <w:sz w:val="32"/>
          <w:szCs w:val="32"/>
        </w:rPr>
        <w:t>：</w:t>
      </w:r>
      <w:r>
        <w:rPr>
          <w:rFonts w:hint="eastAsia" w:ascii="方正小标宋简体" w:hAnsi="方正小标宋简体" w:eastAsia="方正小标宋简体"/>
          <w:sz w:val="32"/>
          <w:szCs w:val="32"/>
          <w:u w:val="single"/>
        </w:rPr>
        <w:t xml:space="preserve"> </w:t>
      </w:r>
      <w:r>
        <w:rPr>
          <w:rFonts w:hint="eastAsia" w:ascii="方正小标宋简体" w:hAnsi="方正小标宋简体" w:eastAsia="方正小标宋简体"/>
          <w:sz w:val="32"/>
          <w:szCs w:val="32"/>
          <w:u w:val="single"/>
          <w:lang w:val="en-US" w:eastAsia="zh-CN"/>
        </w:rPr>
        <w:t>医疗废物委托处置服务</w:t>
      </w:r>
      <w:r>
        <w:rPr>
          <w:rFonts w:hint="eastAsia" w:ascii="方正小标宋简体" w:hAnsi="方正小标宋简体" w:eastAsia="方正小标宋简体"/>
          <w:sz w:val="32"/>
          <w:szCs w:val="32"/>
          <w:u w:val="single"/>
        </w:rPr>
        <w:t xml:space="preserve">   </w:t>
      </w:r>
    </w:p>
    <w:p w14:paraId="2F29326C">
      <w:pPr>
        <w:ind w:firstLine="1440" w:firstLineChars="450"/>
        <w:rPr>
          <w:rFonts w:hint="eastAsia" w:ascii="方正小标宋简体" w:hAnsi="方正小标宋简体" w:eastAsia="方正小标宋简体"/>
          <w:sz w:val="32"/>
          <w:szCs w:val="32"/>
          <w:u w:val="single"/>
          <w:lang w:val="en-US" w:eastAsia="zh-CN"/>
        </w:rPr>
      </w:pPr>
      <w:r>
        <w:rPr>
          <w:rFonts w:hint="eastAsia" w:ascii="方正小标宋简体" w:hAnsi="方正小标宋简体" w:eastAsia="方正小标宋简体"/>
          <w:sz w:val="32"/>
          <w:szCs w:val="32"/>
        </w:rPr>
        <w:t>申购科室：</w:t>
      </w:r>
      <w:r>
        <w:rPr>
          <w:rFonts w:hint="eastAsia" w:ascii="方正小标宋简体" w:hAnsi="方正小标宋简体" w:eastAsia="方正小标宋简体"/>
          <w:sz w:val="32"/>
          <w:szCs w:val="32"/>
          <w:u w:val="single"/>
        </w:rPr>
        <w:t xml:space="preserve"> </w:t>
      </w:r>
      <w:r>
        <w:rPr>
          <w:rFonts w:ascii="方正小标宋简体" w:hAnsi="方正小标宋简体" w:eastAsia="方正小标宋简体"/>
          <w:sz w:val="32"/>
          <w:szCs w:val="32"/>
          <w:u w:val="single"/>
        </w:rPr>
        <w:t xml:space="preserve"> </w:t>
      </w:r>
      <w:r>
        <w:rPr>
          <w:rFonts w:hint="eastAsia" w:ascii="方正小标宋简体" w:hAnsi="方正小标宋简体" w:eastAsia="方正小标宋简体"/>
          <w:sz w:val="32"/>
          <w:szCs w:val="32"/>
          <w:u w:val="single"/>
          <w:lang w:val="en-US" w:eastAsia="zh-CN"/>
        </w:rPr>
        <w:t xml:space="preserve">      总务科</w:t>
      </w:r>
      <w:r>
        <w:rPr>
          <w:rFonts w:hint="eastAsia" w:ascii="方正小标宋简体" w:hAnsi="方正小标宋简体" w:eastAsia="方正小标宋简体"/>
          <w:sz w:val="32"/>
          <w:szCs w:val="32"/>
          <w:u w:val="single"/>
        </w:rPr>
        <w:t xml:space="preserve"> </w:t>
      </w:r>
      <w:r>
        <w:rPr>
          <w:rFonts w:hint="eastAsia" w:ascii="方正小标宋简体" w:hAnsi="方正小标宋简体" w:eastAsia="方正小标宋简体"/>
          <w:sz w:val="32"/>
          <w:szCs w:val="32"/>
          <w:u w:val="single"/>
          <w:lang w:val="en-US" w:eastAsia="zh-CN"/>
        </w:rPr>
        <w:t xml:space="preserve">  </w:t>
      </w:r>
      <w:r>
        <w:rPr>
          <w:rFonts w:hint="eastAsia" w:ascii="方正小标宋简体" w:hAnsi="方正小标宋简体" w:eastAsia="方正小标宋简体"/>
          <w:sz w:val="32"/>
          <w:szCs w:val="32"/>
          <w:u w:val="single"/>
        </w:rPr>
        <w:t xml:space="preserve">  </w:t>
      </w:r>
      <w:r>
        <w:rPr>
          <w:rFonts w:hint="eastAsia" w:ascii="方正小标宋简体" w:hAnsi="方正小标宋简体" w:eastAsia="方正小标宋简体"/>
          <w:sz w:val="32"/>
          <w:szCs w:val="32"/>
          <w:u w:val="single"/>
          <w:lang w:val="en-US" w:eastAsia="zh-CN"/>
        </w:rPr>
        <w:t xml:space="preserve">   </w:t>
      </w:r>
      <w:r>
        <w:rPr>
          <w:rFonts w:hint="eastAsia" w:ascii="方正小标宋简体" w:hAnsi="方正小标宋简体" w:eastAsia="方正小标宋简体"/>
          <w:sz w:val="32"/>
          <w:szCs w:val="32"/>
          <w:u w:val="single"/>
        </w:rPr>
        <w:t xml:space="preserve">  </w:t>
      </w:r>
    </w:p>
    <w:p w14:paraId="5A80352C">
      <w:pPr>
        <w:ind w:firstLine="1440" w:firstLineChars="450"/>
        <w:rPr>
          <w:rFonts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编制科室：</w:t>
      </w:r>
      <w:r>
        <w:rPr>
          <w:rFonts w:hint="eastAsia" w:ascii="方正小标宋简体" w:hAnsi="方正小标宋简体" w:eastAsia="方正小标宋简体"/>
          <w:sz w:val="32"/>
          <w:szCs w:val="32"/>
          <w:u w:val="single"/>
        </w:rPr>
        <w:t xml:space="preserve">      </w:t>
      </w:r>
      <w:r>
        <w:rPr>
          <w:rFonts w:hint="eastAsia" w:ascii="方正小标宋简体" w:hAnsi="方正小标宋简体" w:eastAsia="方正小标宋简体"/>
          <w:sz w:val="32"/>
          <w:szCs w:val="32"/>
          <w:u w:val="single"/>
          <w:lang w:val="en-US" w:eastAsia="zh-CN"/>
        </w:rPr>
        <w:t xml:space="preserve">  </w:t>
      </w:r>
      <w:r>
        <w:rPr>
          <w:rFonts w:hint="eastAsia" w:ascii="方正小标宋简体" w:hAnsi="方正小标宋简体" w:eastAsia="方正小标宋简体"/>
          <w:b/>
          <w:bCs/>
          <w:sz w:val="32"/>
          <w:szCs w:val="32"/>
          <w:u w:val="single"/>
          <w:lang w:val="en-US" w:eastAsia="zh-CN"/>
        </w:rPr>
        <w:t>总务科</w:t>
      </w:r>
      <w:r>
        <w:rPr>
          <w:rFonts w:hint="eastAsia" w:ascii="方正小标宋简体" w:hAnsi="方正小标宋简体" w:eastAsia="方正小标宋简体"/>
          <w:sz w:val="32"/>
          <w:szCs w:val="32"/>
          <w:u w:val="single"/>
        </w:rPr>
        <w:t xml:space="preserve">   </w:t>
      </w:r>
      <w:r>
        <w:rPr>
          <w:rFonts w:hint="eastAsia" w:ascii="方正小标宋简体" w:hAnsi="方正小标宋简体" w:eastAsia="方正小标宋简体"/>
          <w:sz w:val="32"/>
          <w:szCs w:val="32"/>
          <w:u w:val="single"/>
          <w:lang w:val="en-US" w:eastAsia="zh-CN"/>
        </w:rPr>
        <w:t xml:space="preserve">   </w:t>
      </w:r>
      <w:r>
        <w:rPr>
          <w:rFonts w:hint="eastAsia" w:ascii="方正小标宋简体" w:hAnsi="方正小标宋简体" w:eastAsia="方正小标宋简体"/>
          <w:sz w:val="32"/>
          <w:szCs w:val="32"/>
          <w:u w:val="single"/>
        </w:rPr>
        <w:t xml:space="preserve">    </w:t>
      </w:r>
    </w:p>
    <w:p w14:paraId="0384ADF5">
      <w:pPr>
        <w:ind w:firstLine="1440" w:firstLineChars="450"/>
        <w:rPr>
          <w:rFonts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编制时间：</w:t>
      </w:r>
      <w:r>
        <w:rPr>
          <w:rFonts w:hint="eastAsia" w:ascii="方正小标宋简体" w:hAnsi="方正小标宋简体" w:eastAsia="方正小标宋简体"/>
          <w:sz w:val="32"/>
          <w:szCs w:val="32"/>
          <w:u w:val="single"/>
        </w:rPr>
        <w:t xml:space="preserve">    </w:t>
      </w:r>
      <w:r>
        <w:rPr>
          <w:rFonts w:ascii="方正小标宋简体" w:hAnsi="方正小标宋简体" w:eastAsia="方正小标宋简体"/>
          <w:sz w:val="32"/>
          <w:szCs w:val="32"/>
          <w:u w:val="single"/>
        </w:rPr>
        <w:t>202</w:t>
      </w:r>
      <w:r>
        <w:rPr>
          <w:rFonts w:hint="eastAsia" w:ascii="方正小标宋简体" w:hAnsi="方正小标宋简体" w:eastAsia="方正小标宋简体"/>
          <w:sz w:val="32"/>
          <w:szCs w:val="32"/>
          <w:u w:val="single"/>
        </w:rPr>
        <w:t>6年</w:t>
      </w:r>
      <w:r>
        <w:rPr>
          <w:rFonts w:hint="eastAsia" w:ascii="方正小标宋简体" w:hAnsi="方正小标宋简体" w:eastAsia="方正小标宋简体"/>
          <w:sz w:val="32"/>
          <w:szCs w:val="32"/>
          <w:u w:val="single"/>
          <w:lang w:val="en-US" w:eastAsia="zh-CN"/>
        </w:rPr>
        <w:t>7</w:t>
      </w:r>
      <w:r>
        <w:rPr>
          <w:rFonts w:hint="eastAsia" w:ascii="方正小标宋简体" w:hAnsi="方正小标宋简体" w:eastAsia="方正小标宋简体"/>
          <w:sz w:val="32"/>
          <w:szCs w:val="32"/>
          <w:u w:val="single"/>
        </w:rPr>
        <w:t>月</w:t>
      </w:r>
      <w:r>
        <w:rPr>
          <w:rFonts w:hint="eastAsia" w:ascii="方正小标宋简体" w:hAnsi="方正小标宋简体" w:eastAsia="方正小标宋简体"/>
          <w:sz w:val="32"/>
          <w:szCs w:val="32"/>
          <w:u w:val="single"/>
          <w:lang w:val="en-US" w:eastAsia="zh-CN"/>
        </w:rPr>
        <w:t>7</w:t>
      </w:r>
      <w:r>
        <w:rPr>
          <w:rFonts w:hint="eastAsia" w:ascii="方正小标宋简体" w:hAnsi="方正小标宋简体" w:eastAsia="方正小标宋简体"/>
          <w:sz w:val="32"/>
          <w:szCs w:val="32"/>
          <w:u w:val="single"/>
        </w:rPr>
        <w:t xml:space="preserve">日 </w:t>
      </w:r>
      <w:r>
        <w:rPr>
          <w:rFonts w:hint="eastAsia" w:ascii="方正小标宋简体" w:hAnsi="方正小标宋简体" w:eastAsia="方正小标宋简体"/>
          <w:sz w:val="32"/>
          <w:szCs w:val="32"/>
          <w:u w:val="single"/>
          <w:lang w:val="en-US" w:eastAsia="zh-CN"/>
        </w:rPr>
        <w:t xml:space="preserve"> </w:t>
      </w:r>
      <w:r>
        <w:rPr>
          <w:rFonts w:hint="eastAsia" w:ascii="方正小标宋简体" w:hAnsi="方正小标宋简体" w:eastAsia="方正小标宋简体"/>
          <w:sz w:val="32"/>
          <w:szCs w:val="32"/>
          <w:u w:val="single"/>
        </w:rPr>
        <w:t xml:space="preserve"> </w:t>
      </w:r>
      <w:r>
        <w:rPr>
          <w:rFonts w:hint="eastAsia" w:ascii="方正小标宋简体" w:hAnsi="方正小标宋简体" w:eastAsia="方正小标宋简体"/>
          <w:sz w:val="32"/>
          <w:szCs w:val="32"/>
          <w:u w:val="single"/>
          <w:lang w:val="en-US" w:eastAsia="zh-CN"/>
        </w:rPr>
        <w:t xml:space="preserve"> </w:t>
      </w:r>
      <w:r>
        <w:rPr>
          <w:rFonts w:hint="eastAsia" w:ascii="方正小标宋简体" w:hAnsi="方正小标宋简体" w:eastAsia="方正小标宋简体"/>
          <w:sz w:val="32"/>
          <w:szCs w:val="32"/>
          <w:u w:val="single"/>
        </w:rPr>
        <w:t xml:space="preserve"> </w:t>
      </w:r>
    </w:p>
    <w:p w14:paraId="141242BC">
      <w:pPr>
        <w:ind w:firstLine="880"/>
        <w:rPr>
          <w:rFonts w:ascii="方正小标宋简体" w:hAnsi="方正小标宋简体" w:eastAsia="方正小标宋简体"/>
          <w:sz w:val="44"/>
          <w:szCs w:val="44"/>
        </w:rPr>
      </w:pPr>
    </w:p>
    <w:p w14:paraId="1B96D8A7">
      <w:pPr>
        <w:ind w:firstLine="880"/>
        <w:rPr>
          <w:rFonts w:ascii="方正小标宋简体" w:hAnsi="方正小标宋简体" w:eastAsia="方正小标宋简体"/>
          <w:sz w:val="44"/>
          <w:szCs w:val="44"/>
        </w:rPr>
      </w:pPr>
    </w:p>
    <w:p w14:paraId="0502348C">
      <w:pPr>
        <w:pStyle w:val="14"/>
      </w:pPr>
    </w:p>
    <w:p w14:paraId="7282DC8C">
      <w:pPr>
        <w:pStyle w:val="14"/>
      </w:pPr>
    </w:p>
    <w:p w14:paraId="062E3123">
      <w:pPr>
        <w:pStyle w:val="14"/>
      </w:pPr>
    </w:p>
    <w:p w14:paraId="578E057D">
      <w:pPr>
        <w:pStyle w:val="14"/>
      </w:pPr>
    </w:p>
    <w:p w14:paraId="244608AE">
      <w:pPr>
        <w:pStyle w:val="14"/>
      </w:pPr>
    </w:p>
    <w:p w14:paraId="1B924806">
      <w:pPr>
        <w:pStyle w:val="14"/>
      </w:pPr>
    </w:p>
    <w:p w14:paraId="500E845E">
      <w:pPr>
        <w:pStyle w:val="14"/>
      </w:pPr>
    </w:p>
    <w:p w14:paraId="46A49418">
      <w:pPr>
        <w:pStyle w:val="2"/>
        <w:keepNext w:val="0"/>
        <w:keepLines w:val="0"/>
        <w:widowControl/>
        <w:suppressLineNumbers w:val="0"/>
        <w:shd w:val="clear" w:fill="FFFFFF"/>
        <w:spacing w:before="240" w:beforeAutospacing="0" w:after="240" w:afterAutospacing="0" w:line="420" w:lineRule="atLeast"/>
        <w:ind w:left="0" w:right="0" w:firstLine="0"/>
        <w:rPr>
          <w:rFonts w:hint="eastAsia" w:ascii="仿宋_GB2312" w:hAnsi="仿宋_GB2312" w:eastAsia="仿宋_GB2312" w:cs="仿宋_GB2312"/>
          <w:b/>
          <w:bCs/>
          <w:caps w:val="0"/>
          <w:color w:val="0F1115"/>
          <w:spacing w:val="0"/>
          <w:sz w:val="32"/>
          <w:szCs w:val="32"/>
          <w:shd w:val="clear" w:fill="FFFFFF"/>
        </w:rPr>
      </w:pPr>
    </w:p>
    <w:p w14:paraId="0A2428FD">
      <w:pPr>
        <w:pStyle w:val="2"/>
        <w:keepNext w:val="0"/>
        <w:keepLines w:val="0"/>
        <w:widowControl/>
        <w:suppressLineNumbers w:val="0"/>
        <w:shd w:val="clear" w:fill="FFFFFF"/>
        <w:spacing w:before="240" w:beforeAutospacing="0" w:after="240" w:afterAutospacing="0" w:line="420" w:lineRule="atLeast"/>
        <w:ind w:left="0" w:right="0" w:firstLine="0"/>
        <w:rPr>
          <w:rFonts w:hint="eastAsia" w:ascii="仿宋_GB2312" w:hAnsi="仿宋_GB2312" w:eastAsia="仿宋_GB2312" w:cs="仿宋_GB2312"/>
          <w:b/>
          <w:bCs/>
          <w:caps w:val="0"/>
          <w:color w:val="0F1115"/>
          <w:spacing w:val="0"/>
          <w:sz w:val="32"/>
          <w:szCs w:val="32"/>
          <w:shd w:val="clear" w:fill="FFFFFF"/>
        </w:rPr>
      </w:pPr>
    </w:p>
    <w:p w14:paraId="27080D57">
      <w:pPr>
        <w:pStyle w:val="2"/>
        <w:keepNext w:val="0"/>
        <w:keepLines w:val="0"/>
        <w:widowControl/>
        <w:suppressLineNumbers w:val="0"/>
        <w:shd w:val="clear" w:fill="FFFFFF"/>
        <w:spacing w:before="240" w:beforeAutospacing="0" w:after="240" w:afterAutospacing="0" w:line="420" w:lineRule="atLeast"/>
        <w:ind w:left="0" w:right="0" w:firstLine="0"/>
        <w:rPr>
          <w:rFonts w:hint="eastAsia" w:ascii="仿宋_GB2312" w:hAnsi="仿宋_GB2312" w:eastAsia="仿宋_GB2312" w:cs="仿宋_GB2312"/>
          <w:b/>
          <w:bCs/>
          <w:caps w:val="0"/>
          <w:color w:val="0F1115"/>
          <w:spacing w:val="0"/>
          <w:sz w:val="32"/>
          <w:szCs w:val="32"/>
          <w:shd w:val="clear" w:fill="FFFFFF"/>
        </w:rPr>
      </w:pPr>
    </w:p>
    <w:p w14:paraId="3B2BCDD2">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rPr>
        <w:t>一、项目概况</w:t>
      </w:r>
      <w:r>
        <w:rPr>
          <w:rFonts w:hint="eastAsia" w:ascii="黑体" w:hAnsi="黑体" w:eastAsia="黑体"/>
          <w:sz w:val="32"/>
          <w:szCs w:val="32"/>
          <w:lang w:val="en-US" w:eastAsia="zh-CN"/>
        </w:rPr>
        <w:t>及目的</w:t>
      </w:r>
    </w:p>
    <w:p w14:paraId="0F6154F9">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我院（广西壮族自治区生殖医院）医疗废物处置清运服务项目。根据《中华人民共和国固体废物污染环境防治法》《医疗废物管理条例》《医疗废物集中处置技术规范》《医疗卫生机构医疗废物管理办法》《广西壮族自治区医疗废物管理办法》等法律法规要求，需委托具有相应资质的单位对医疗废物进行规范收集、运输、鉴别、处置及周转箱清洗等服务。服务期三年</w:t>
      </w:r>
      <w:r>
        <w:rPr>
          <w:rFonts w:hint="eastAsia" w:ascii="仿宋_GB2312" w:eastAsia="仿宋_GB2312"/>
          <w:sz w:val="32"/>
          <w:szCs w:val="32"/>
          <w:lang w:eastAsia="zh-CN"/>
        </w:rPr>
        <w:t>。</w:t>
      </w:r>
    </w:p>
    <w:p w14:paraId="73289D82">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cs="Times New Roman"/>
          <w:kern w:val="2"/>
          <w:sz w:val="32"/>
          <w:szCs w:val="32"/>
          <w:lang w:val="en-US" w:eastAsia="zh-CN" w:bidi="ar-SA"/>
          <w14:ligatures w14:val="none"/>
        </w:rPr>
        <w:t>二、</w:t>
      </w:r>
      <w:r>
        <w:rPr>
          <w:rFonts w:hint="eastAsia" w:ascii="黑体" w:hAnsi="黑体" w:eastAsia="黑体"/>
          <w:sz w:val="32"/>
          <w:szCs w:val="32"/>
          <w:lang w:val="en-US" w:eastAsia="zh-CN"/>
        </w:rPr>
        <w:t>采购预算</w:t>
      </w:r>
    </w:p>
    <w:p w14:paraId="25374D66">
      <w:pPr>
        <w:spacing w:line="56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预算金额：人民币（大写）贰拾</w:t>
      </w:r>
      <w:r>
        <w:rPr>
          <w:rFonts w:hint="eastAsia" w:ascii="仿宋_GB2312" w:eastAsia="仿宋_GB2312"/>
          <w:color w:val="auto"/>
          <w:sz w:val="32"/>
          <w:szCs w:val="32"/>
          <w:highlight w:val="none"/>
          <w:lang w:val="en-US" w:eastAsia="zh-CN"/>
        </w:rPr>
        <w:t>壹</w:t>
      </w:r>
      <w:r>
        <w:rPr>
          <w:rFonts w:hint="eastAsia" w:ascii="仿宋_GB2312" w:eastAsia="仿宋_GB2312"/>
          <w:color w:val="auto"/>
          <w:sz w:val="32"/>
          <w:szCs w:val="32"/>
          <w:highlight w:val="none"/>
        </w:rPr>
        <w:t>万</w:t>
      </w:r>
      <w:r>
        <w:rPr>
          <w:rFonts w:hint="eastAsia" w:ascii="仿宋_GB2312" w:eastAsia="仿宋_GB2312"/>
          <w:color w:val="auto"/>
          <w:sz w:val="32"/>
          <w:szCs w:val="32"/>
          <w:highlight w:val="none"/>
          <w:lang w:val="en-US" w:eastAsia="zh-CN"/>
        </w:rPr>
        <w:t>陆仟</w:t>
      </w:r>
      <w:r>
        <w:rPr>
          <w:rFonts w:hint="eastAsia" w:ascii="仿宋_GB2312" w:eastAsia="仿宋_GB2312"/>
          <w:color w:val="auto"/>
          <w:sz w:val="32"/>
          <w:szCs w:val="32"/>
          <w:highlight w:val="none"/>
        </w:rPr>
        <w:t>元</w:t>
      </w:r>
      <w:r>
        <w:rPr>
          <w:rFonts w:hint="eastAsia" w:ascii="仿宋_GB2312" w:eastAsia="仿宋_GB2312"/>
          <w:color w:val="auto"/>
          <w:sz w:val="32"/>
          <w:szCs w:val="32"/>
          <w:highlight w:val="none"/>
          <w:lang w:val="en-US" w:eastAsia="zh-CN"/>
        </w:rPr>
        <w:t>整</w:t>
      </w: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16000.00</w:t>
      </w:r>
      <w:r>
        <w:rPr>
          <w:rFonts w:hint="eastAsia" w:ascii="仿宋_GB2312" w:eastAsia="仿宋_GB2312"/>
          <w:color w:val="auto"/>
          <w:sz w:val="32"/>
          <w:szCs w:val="32"/>
          <w:highlight w:val="none"/>
        </w:rPr>
        <w:t>元）</w:t>
      </w:r>
    </w:p>
    <w:p w14:paraId="3D6F72F4">
      <w:pPr>
        <w:spacing w:line="560" w:lineRule="exact"/>
        <w:ind w:firstLine="640" w:firstLineChars="200"/>
        <w:jc w:val="left"/>
        <w:rPr>
          <w:rFonts w:hint="eastAsia" w:ascii="方正仿宋_GB2312" w:hAnsi="方正仿宋_GB2312" w:eastAsia="方正仿宋_GB2312" w:cs="方正仿宋_GB2312"/>
          <w:b w:val="0"/>
          <w:bCs w:val="0"/>
          <w:i/>
          <w:iCs/>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采购标的需求表</w:t>
      </w:r>
    </w:p>
    <w:p w14:paraId="1D1D1818">
      <w:pPr>
        <w:spacing w:line="560" w:lineRule="exact"/>
        <w:ind w:firstLine="640" w:firstLineChars="200"/>
        <w:jc w:val="left"/>
        <w:rPr>
          <w:rFonts w:hint="eastAsia" w:ascii="方正仿宋_GB2312" w:hAnsi="方正仿宋_GB2312" w:eastAsia="方正仿宋_GB2312" w:cs="方正仿宋_GB2312"/>
          <w:i/>
          <w:iCs/>
          <w:sz w:val="32"/>
          <w:szCs w:val="32"/>
        </w:rPr>
      </w:pPr>
    </w:p>
    <w:tbl>
      <w:tblPr>
        <w:tblStyle w:val="7"/>
        <w:tblW w:w="41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2484"/>
        <w:gridCol w:w="1801"/>
        <w:gridCol w:w="2442"/>
      </w:tblGrid>
      <w:tr w14:paraId="6F6D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459" w:type="pct"/>
            <w:noWrap w:val="0"/>
            <w:vAlign w:val="center"/>
          </w:tcPr>
          <w:p w14:paraId="46A439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序号</w:t>
            </w:r>
          </w:p>
        </w:tc>
        <w:tc>
          <w:tcPr>
            <w:tcW w:w="1676" w:type="pct"/>
            <w:noWrap w:val="0"/>
            <w:vAlign w:val="center"/>
          </w:tcPr>
          <w:p w14:paraId="0A671D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标的名称</w:t>
            </w:r>
          </w:p>
        </w:tc>
        <w:tc>
          <w:tcPr>
            <w:tcW w:w="1215" w:type="pct"/>
            <w:noWrap w:val="0"/>
            <w:vAlign w:val="center"/>
          </w:tcPr>
          <w:p w14:paraId="1D6774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rPr>
              <w:t>数量</w:t>
            </w:r>
            <w:r>
              <w:rPr>
                <w:rFonts w:hint="eastAsia" w:ascii="方正仿宋_GB2312" w:hAnsi="方正仿宋_GB2312" w:eastAsia="方正仿宋_GB2312" w:cs="方正仿宋_GB2312"/>
                <w:b/>
                <w:sz w:val="28"/>
                <w:szCs w:val="28"/>
                <w:lang w:val="en-US" w:eastAsia="zh-CN"/>
              </w:rPr>
              <w:t>及单位</w:t>
            </w:r>
          </w:p>
        </w:tc>
        <w:tc>
          <w:tcPr>
            <w:tcW w:w="1647" w:type="pct"/>
            <w:noWrap w:val="0"/>
            <w:vAlign w:val="center"/>
          </w:tcPr>
          <w:p w14:paraId="384F76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lang w:val="en-US" w:eastAsia="zh-CN"/>
              </w:rPr>
              <w:t>最高限价单</w:t>
            </w:r>
            <w:r>
              <w:rPr>
                <w:rFonts w:hint="eastAsia" w:ascii="方正仿宋_GB2312" w:hAnsi="方正仿宋_GB2312" w:eastAsia="方正仿宋_GB2312" w:cs="方正仿宋_GB2312"/>
                <w:b/>
                <w:sz w:val="28"/>
                <w:szCs w:val="28"/>
              </w:rPr>
              <w:t>价</w:t>
            </w:r>
          </w:p>
        </w:tc>
      </w:tr>
      <w:tr w14:paraId="1572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59" w:type="pct"/>
            <w:noWrap w:val="0"/>
            <w:vAlign w:val="center"/>
          </w:tcPr>
          <w:p w14:paraId="3BC5F1EC">
            <w:pPr>
              <w:adjustRightInd w:val="0"/>
              <w:snapToGrid w:val="0"/>
              <w:spacing w:line="560" w:lineRule="exact"/>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w:t>
            </w:r>
          </w:p>
        </w:tc>
        <w:tc>
          <w:tcPr>
            <w:tcW w:w="1676" w:type="pct"/>
            <w:noWrap w:val="0"/>
            <w:vAlign w:val="center"/>
          </w:tcPr>
          <w:p w14:paraId="65FC6B14">
            <w:pPr>
              <w:adjustRightInd/>
              <w:snapToGrid/>
              <w:spacing w:line="400" w:lineRule="exact"/>
              <w:jc w:val="center"/>
              <w:rPr>
                <w:rFonts w:hint="eastAsia" w:ascii="方正仿宋_GB2312" w:hAnsi="方正仿宋_GB2312" w:eastAsia="方正仿宋_GB2312" w:cs="方正仿宋_GB2312"/>
                <w:i/>
                <w:sz w:val="28"/>
                <w:szCs w:val="28"/>
                <w:u w:val="single"/>
              </w:rPr>
            </w:pPr>
            <w:r>
              <w:rPr>
                <w:rFonts w:hint="eastAsia" w:ascii="方正仿宋_GB2312" w:hAnsi="方正仿宋_GB2312" w:eastAsia="方正仿宋_GB2312" w:cs="方正仿宋_GB2312"/>
                <w:b/>
                <w:sz w:val="28"/>
                <w:szCs w:val="28"/>
                <w:u w:val="none"/>
                <w:lang w:val="en-US" w:eastAsia="zh-CN"/>
              </w:rPr>
              <w:t>医疗废物委托处置服务</w:t>
            </w:r>
          </w:p>
        </w:tc>
        <w:tc>
          <w:tcPr>
            <w:tcW w:w="1215" w:type="pct"/>
            <w:noWrap w:val="0"/>
            <w:vAlign w:val="center"/>
          </w:tcPr>
          <w:p w14:paraId="2995A42E">
            <w:pPr>
              <w:adjustRightInd w:val="0"/>
              <w:snapToGrid w:val="0"/>
              <w:spacing w:line="560" w:lineRule="exact"/>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1项</w:t>
            </w:r>
          </w:p>
        </w:tc>
        <w:tc>
          <w:tcPr>
            <w:tcW w:w="1647" w:type="pct"/>
            <w:noWrap w:val="0"/>
            <w:vAlign w:val="center"/>
          </w:tcPr>
          <w:p w14:paraId="38888D0D">
            <w:pPr>
              <w:adjustRightInd w:val="0"/>
              <w:snapToGrid w:val="0"/>
              <w:spacing w:line="560" w:lineRule="exact"/>
              <w:jc w:val="center"/>
              <w:rPr>
                <w:rFonts w:hint="eastAsia" w:ascii="方正仿宋_GB2312" w:hAnsi="方正仿宋_GB2312" w:eastAsia="方正仿宋_GB2312" w:cs="方正仿宋_GB2312"/>
                <w:sz w:val="28"/>
                <w:szCs w:val="28"/>
              </w:rPr>
            </w:pPr>
            <w:r>
              <w:rPr>
                <w:rFonts w:hint="eastAsia" w:ascii="仿宋_GB2312" w:hAnsi="仿宋_GB2312" w:eastAsia="仿宋_GB2312" w:cs="仿宋_GB2312"/>
                <w:sz w:val="32"/>
                <w:szCs w:val="32"/>
                <w:lang w:val="en-US" w:eastAsia="zh-CN"/>
              </w:rPr>
              <w:t>3.15元/床/天</w:t>
            </w:r>
          </w:p>
        </w:tc>
      </w:tr>
    </w:tbl>
    <w:p w14:paraId="5F8408DC">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color w:val="auto"/>
          <w:sz w:val="32"/>
          <w:szCs w:val="32"/>
          <w:highlight w:val="none"/>
        </w:rPr>
        <w:t>项目要求及技术需求</w:t>
      </w:r>
    </w:p>
    <w:p w14:paraId="7BCAE8D9">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（一）服务地点及处置物：</w:t>
      </w:r>
    </w:p>
    <w:p w14:paraId="5DCFFF1A">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1.广西壮族自治区生殖医院。</w:t>
      </w:r>
    </w:p>
    <w:p w14:paraId="40586F9B">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采购人所产生的医疗废物，由供应商负责装卸、运输、鉴别、处置（或由供应商装卸、运输交由具备处置资质的第三方处置）及周转箱清洗等服务，具体包括:感染性（841-001-01）、损伤性（841-002-01）、病理性（841-003-01）、化学性（841-004-01）、药物性（841-005-01）等。</w:t>
      </w:r>
    </w:p>
    <w:p w14:paraId="202D636A">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（二）服务要求：</w:t>
      </w:r>
    </w:p>
    <w:p w14:paraId="4B8813A3">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1.医疗废物转运车应按医疗废物转运车技术规范配置，为有明显医废标识的专用车辆，符合《医疗废物转运车技术要求》，防止医疗废物丢失、泄漏；处置设施按医疗废物集中处置技术规范建设、运行。</w:t>
      </w:r>
    </w:p>
    <w:p w14:paraId="5F1D0BDA">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应商负责收集、运输、处置采购单位产生的医疗废物，实行有偿上门服务。正常情况下，每两天一次（固定时间点）收运，如无特殊原因不能按时收运，每逾期一天支付500元违约金。遇特殊情况（如疫情、突发公共卫生事件、暂存间积存较多等），采购人可要求增加频次，供应商应予以配合。对特殊高危废物或迎接检查需提前清运时，接到通知后应及时专车清运。</w:t>
      </w:r>
    </w:p>
    <w:p w14:paraId="5F32E640">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收运处置全过程应遵守《医疗废物管理条例》《医疗废物集中处置技术规范》等法规。收集运输后，须将周转箱严格清洗消毒后送还，服务期内周转箱损坏或不足由供应商补充。若发现采购人未使用国家标准专用包装袋，应及时提醒；若采购人将生活垃圾、建筑垃圾等混入医疗废物，供应商按《广西壮族自治区医疗废物管理办法》第九条视为医疗废物处理。</w:t>
      </w:r>
    </w:p>
    <w:p w14:paraId="38CFA6DA">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供应商应具备有效的管理措施和应急处置能力，有效应对泄漏、流失、突发公共卫生事件、设备故障等，保障及时、有序、高效、无害化处置。若因突发事件（包括但不限于第三方阻扰）不能及时清运，应在2小时内电话或书面通知采购人，并在48小时内启动《突发事件应急响应预案》恢复清运。不得以不正当理由拒运，否则因此产生的后果及损失由供应商承担。</w:t>
      </w:r>
    </w:p>
    <w:p w14:paraId="6E065CEA">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5.在运输、处置过程中应确保安全、有序，采取防泄漏、防遗撒等措施。因违章作业造成自身或第三方人员伤亡、财产损失、环境污染等不良后果的，由供应商负全部责任，采购人不承担任何责任。</w:t>
      </w:r>
    </w:p>
    <w:p w14:paraId="4B27517B">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6.供应商须有高温灭菌处置工艺，采用高压蒸汽灭菌法，在密封灭菌器中通入130—190℃蒸汽，使内部产生100—500kPa压强，废物停留30—90分钟，确保病原有机体被充分穿透灭活。经灭菌处置后的医疗废物可作为普通生活垃圾进行卫生填埋。</w:t>
      </w:r>
    </w:p>
    <w:p w14:paraId="4A88124B">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楷体" w:hAnsi="楷体" w:eastAsia="楷体" w:cs="楷体"/>
          <w:sz w:val="32"/>
          <w:szCs w:val="32"/>
          <w:lang w:val="en-US" w:eastAsia="zh-CN"/>
        </w:rPr>
        <w:t>▲</w:t>
      </w:r>
      <w:r>
        <w:rPr>
          <w:rFonts w:hint="eastAsia" w:ascii="黑体" w:hAnsi="黑体" w:eastAsia="黑体"/>
          <w:sz w:val="32"/>
          <w:szCs w:val="32"/>
          <w:lang w:val="en-US" w:eastAsia="zh-CN"/>
        </w:rPr>
        <w:t>五</w:t>
      </w:r>
      <w:r>
        <w:rPr>
          <w:rFonts w:hint="eastAsia" w:ascii="黑体" w:hAnsi="黑体" w:eastAsia="黑体"/>
          <w:sz w:val="32"/>
          <w:szCs w:val="32"/>
        </w:rPr>
        <w:t>、商务要求</w:t>
      </w:r>
    </w:p>
    <w:p w14:paraId="3453F35F">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（一）服务期限</w:t>
      </w:r>
    </w:p>
    <w:p w14:paraId="221CB5FF">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方正仿宋_GB2312" w:cs="仿宋_GB2312"/>
          <w:sz w:val="32"/>
          <w:szCs w:val="32"/>
          <w:lang w:val="en-US" w:eastAsia="zh-CN"/>
        </w:rPr>
      </w:pPr>
      <w:r>
        <w:rPr>
          <w:rFonts w:hint="eastAsia" w:ascii="仿宋_GB2312" w:hAnsi="仿宋_GB2312" w:eastAsia="仿宋_GB2312" w:cs="仿宋_GB2312"/>
          <w:sz w:val="32"/>
          <w:szCs w:val="32"/>
          <w:lang w:val="en-US" w:eastAsia="zh-CN"/>
        </w:rPr>
        <w:t>服务期限：3年。自2027年1月1日起至2029年12月31日止。</w:t>
      </w:r>
    </w:p>
    <w:p w14:paraId="0336E473">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w:t>
      </w:r>
      <w:r>
        <w:rPr>
          <w:rFonts w:hint="eastAsia" w:ascii="楷体" w:hAnsi="楷体" w:eastAsia="楷体" w:cs="楷体"/>
          <w:color w:val="auto"/>
          <w:sz w:val="32"/>
          <w:szCs w:val="32"/>
          <w:highlight w:val="none"/>
        </w:rPr>
        <w:t>服务要求</w:t>
      </w:r>
    </w:p>
    <w:p w14:paraId="6E8202BE">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供应商应按照其响应文件中提供的《应急响应预案》建立应急响应机制。接到采购人关于收运异常、周转箱清洗质量等问题反馈后，须在2小时内响应，24小时内解决。遇应急预案所列紧急情况，须在1小时内启动应急收运程序。</w:t>
      </w:r>
    </w:p>
    <w:p w14:paraId="04C038E2">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2.供应商若因突发事件或不可抗力不能及时清运医疗废物时，应在出现突发事件后马上电话通知采购人。供应商应于突发事件发生后24小</w:t>
      </w:r>
      <w:bookmarkStart w:id="0" w:name="_GoBack"/>
      <w:bookmarkEnd w:id="0"/>
      <w:r>
        <w:rPr>
          <w:rFonts w:hint="eastAsia" w:ascii="仿宋_GB2312" w:hAnsi="仿宋_GB2312" w:eastAsia="仿宋_GB2312" w:cs="仿宋_GB2312"/>
          <w:sz w:val="32"/>
          <w:szCs w:val="32"/>
          <w:lang w:val="en-US" w:eastAsia="zh-CN"/>
        </w:rPr>
        <w:t>时内启动应急响应预案恢复清运采购人的医疗废物。</w:t>
      </w:r>
    </w:p>
    <w:p w14:paraId="48BEDD5B">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3.发生医疗废物泄漏、丢失等突发事件时，供应商应在2小时内到达现场处置，并提供书面应急处理方案且按方案执行。</w:t>
      </w:r>
    </w:p>
    <w:p w14:paraId="26065AE4">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4.供应商需向采购人提供有效的运输、处置资质证明文件复印件。</w:t>
      </w:r>
    </w:p>
    <w:p w14:paraId="66FCFE16">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5.每季度提供一次医疗废物转运车辆GPS轨迹跟踪图（含时间、路线、停留点），确保医疗废物从采购人收运后按规定运送至处置场所。</w:t>
      </w:r>
    </w:p>
    <w:p w14:paraId="1F9E19E9">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（三）付款方式</w:t>
      </w:r>
    </w:p>
    <w:p w14:paraId="291A28F3">
      <w:pPr>
        <w:spacing w:line="360" w:lineRule="auto"/>
        <w:ind w:firstLine="640" w:firstLineChars="200"/>
        <w:jc w:val="left"/>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服务费按每季度支付一次，每季度结束后供应商须提供经采购人确认的该季度服务验收合格材料，并开具合法有效的发票及请款函，采购人于收到完整付款材料后20个工作日内支付该季度服务费，支付方式为银行转账。</w:t>
      </w:r>
      <w:r>
        <w:rPr>
          <w:rFonts w:hint="eastAsia" w:ascii="仿宋_GB2312" w:hAnsi="仿宋_GB2312" w:eastAsia="仿宋_GB2312" w:cs="仿宋_GB2312"/>
          <w:sz w:val="32"/>
          <w:szCs w:val="32"/>
        </w:rPr>
        <w:t>因供应商未按采购人要求办理请款手续或提供票据、材料的，采购人有权暂不支付</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费且不承担逾期付款违约责任。</w:t>
      </w:r>
    </w:p>
    <w:p w14:paraId="6C4B9043">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我院开放床位数为61床，每期应付金额计算公式为：服务费=供应商所报单价*采购人实际开放床位数*服务天数。合同履行期间，床位数如有增减，按每日实际开放床位数逐日累计结算。三年累计支付总金额不超过预算金额。</w:t>
      </w:r>
    </w:p>
    <w:p w14:paraId="74383517">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3.服务期内如遇政府指导价格调整，双方按调整后的价格执行。</w:t>
      </w:r>
    </w:p>
    <w:p w14:paraId="623FC3C9">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（四）报价要求</w:t>
      </w:r>
    </w:p>
    <w:p w14:paraId="0C850A53">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投标报价按单价报价，据实结算。报价包括但不限于人员费用、收集费用、运输费用、处置费用、车辆设备使用费用、周转箱采购费、利润税金等为完成招标文件规定的一切工作所需的全部费用。采购人不再支付合同以外的其他费用，投标人自行考虑并承担投标报价风险。</w:t>
      </w:r>
    </w:p>
    <w:p w14:paraId="521631D5">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2.最高限价单价为：3.15元/床/天。</w:t>
      </w:r>
    </w:p>
    <w:p w14:paraId="3BAA288D">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3.合同履行过程中，采购人的床位数会根据实际使用情况有所增加或减少，最终结算按合同期内实际床位数据实结算。</w:t>
      </w:r>
    </w:p>
    <w:p w14:paraId="0E034436">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（五）其他要求</w:t>
      </w:r>
    </w:p>
    <w:p w14:paraId="474685A5">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1.双方对履行合同过程中获知的对方资料、信息负有保密义务，未经书面同意不得泄露或用于无关事项。</w:t>
      </w:r>
    </w:p>
    <w:p w14:paraId="49239E95">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采购人应按规定对医疗废物进行分类包装（包装物由采购人自理），集中放置在专用周转箱内，存放于医疗废物暂存点，并负责暂存处的日常卫生消毒和管理。如暂存点不便于供应商车辆出入，采购人需将医疗废物运送至双方协商确定的地点。</w:t>
      </w:r>
    </w:p>
    <w:p w14:paraId="77C1778F">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3.供应商应确保收运人员经过专业培训、熟悉医疗废物管理要求，为其配备必要的个人防护用品且建立职业健康监护档案。</w:t>
      </w:r>
    </w:p>
    <w:p w14:paraId="15D2AF69">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4.收运车辆须符合医疗废物运输规定（密闭、防渗漏、悬挂警示标识）。</w:t>
      </w:r>
    </w:p>
    <w:p w14:paraId="60B4CA5E">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5.供应商应配合采购人及生态环境、卫生健康等主管部门的监督检查，按要求提供相关资料和说明。</w:t>
      </w:r>
    </w:p>
    <w:p w14:paraId="70900441">
      <w:pPr>
        <w:pStyle w:val="14"/>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6、医疗废物转移联单的管理：</w:t>
      </w:r>
      <w:r>
        <w:rPr>
          <w:rFonts w:hint="eastAsia" w:ascii="仿宋_GB2312" w:hAnsi="仿宋_GB2312" w:eastAsia="仿宋_GB2312" w:cs="仿宋_GB2312"/>
          <w:sz w:val="32"/>
          <w:szCs w:val="32"/>
          <w:highlight w:val="none"/>
        </w:rPr>
        <w:t>医疗废物转移执行二联单，联单由</w:t>
      </w:r>
      <w:r>
        <w:rPr>
          <w:rFonts w:hint="eastAsia" w:ascii="仿宋_GB2312" w:hAnsi="仿宋_GB2312" w:eastAsia="仿宋_GB2312" w:cs="仿宋_GB2312"/>
          <w:sz w:val="32"/>
          <w:szCs w:val="32"/>
          <w:highlight w:val="none"/>
          <w:lang w:eastAsia="zh-CN"/>
        </w:rPr>
        <w:t>乙方</w:t>
      </w:r>
      <w:r>
        <w:rPr>
          <w:rFonts w:hint="eastAsia" w:ascii="仿宋_GB2312" w:hAnsi="仿宋_GB2312" w:eastAsia="仿宋_GB2312" w:cs="仿宋_GB2312"/>
          <w:sz w:val="32"/>
          <w:szCs w:val="32"/>
          <w:highlight w:val="none"/>
        </w:rPr>
        <w:t>负责提供，双方交接时应按规定填写《危险废物转移联单》（医疗废物专用），医疗废物称重后，经甲乙双方确认后由</w:t>
      </w:r>
      <w:r>
        <w:rPr>
          <w:rFonts w:hint="eastAsia" w:ascii="仿宋_GB2312" w:hAnsi="仿宋_GB2312" w:eastAsia="仿宋_GB2312" w:cs="仿宋_GB2312"/>
          <w:sz w:val="32"/>
          <w:szCs w:val="32"/>
          <w:highlight w:val="none"/>
          <w:lang w:eastAsia="zh-CN"/>
        </w:rPr>
        <w:t>乙方</w:t>
      </w:r>
      <w:r>
        <w:rPr>
          <w:rFonts w:hint="eastAsia" w:ascii="仿宋_GB2312" w:hAnsi="仿宋_GB2312" w:eastAsia="仿宋_GB2312" w:cs="仿宋_GB2312"/>
          <w:sz w:val="32"/>
          <w:szCs w:val="32"/>
          <w:highlight w:val="none"/>
        </w:rPr>
        <w:t>收集人员在联单上填写箱数、重量，每种医疗废物的箱数、重量应填写清楚，由</w:t>
      </w:r>
      <w:r>
        <w:rPr>
          <w:rFonts w:hint="eastAsia" w:ascii="仿宋_GB2312" w:hAnsi="仿宋_GB2312" w:eastAsia="仿宋_GB2312" w:cs="仿宋_GB2312"/>
          <w:sz w:val="32"/>
          <w:szCs w:val="32"/>
          <w:highlight w:val="none"/>
          <w:lang w:eastAsia="zh-CN"/>
        </w:rPr>
        <w:t>甲方</w:t>
      </w:r>
      <w:r>
        <w:rPr>
          <w:rFonts w:hint="eastAsia" w:ascii="仿宋_GB2312" w:hAnsi="仿宋_GB2312" w:eastAsia="仿宋_GB2312" w:cs="仿宋_GB2312"/>
          <w:sz w:val="32"/>
          <w:szCs w:val="32"/>
          <w:highlight w:val="none"/>
        </w:rPr>
        <w:t>确认无误后在医疗卫生机构交接人员栏签字，确认后的联单甲乙双方不得随意篡改，如发现一方有篡改行为将报告当地主管部门，次月月中将甲乙双方盖章的医疗废物转移联单第一联交由</w:t>
      </w:r>
      <w:r>
        <w:rPr>
          <w:rFonts w:hint="eastAsia" w:ascii="仿宋_GB2312" w:hAnsi="仿宋_GB2312" w:eastAsia="仿宋_GB2312" w:cs="仿宋_GB2312"/>
          <w:sz w:val="32"/>
          <w:szCs w:val="32"/>
          <w:highlight w:val="none"/>
          <w:lang w:eastAsia="zh-CN"/>
        </w:rPr>
        <w:t>甲方</w:t>
      </w:r>
      <w:r>
        <w:rPr>
          <w:rFonts w:hint="eastAsia" w:ascii="仿宋_GB2312" w:hAnsi="仿宋_GB2312" w:eastAsia="仿宋_GB2312" w:cs="仿宋_GB2312"/>
          <w:sz w:val="32"/>
          <w:szCs w:val="32"/>
          <w:highlight w:val="none"/>
        </w:rPr>
        <w:t>留存，第二联由</w:t>
      </w:r>
      <w:r>
        <w:rPr>
          <w:rFonts w:hint="eastAsia" w:ascii="仿宋_GB2312" w:hAnsi="仿宋_GB2312" w:eastAsia="仿宋_GB2312" w:cs="仿宋_GB2312"/>
          <w:sz w:val="32"/>
          <w:szCs w:val="32"/>
          <w:highlight w:val="none"/>
          <w:lang w:eastAsia="zh-CN"/>
        </w:rPr>
        <w:t>乙方</w:t>
      </w:r>
      <w:r>
        <w:rPr>
          <w:rFonts w:hint="eastAsia" w:ascii="仿宋_GB2312" w:hAnsi="仿宋_GB2312" w:eastAsia="仿宋_GB2312" w:cs="仿宋_GB2312"/>
          <w:sz w:val="32"/>
          <w:szCs w:val="32"/>
          <w:highlight w:val="none"/>
        </w:rPr>
        <w:t>留存。</w:t>
      </w:r>
    </w:p>
    <w:p w14:paraId="79D12B44">
      <w:pPr>
        <w:numPr>
          <w:ilvl w:val="0"/>
          <w:numId w:val="0"/>
        </w:numPr>
        <w:spacing w:line="560" w:lineRule="exact"/>
        <w:ind w:firstLine="640" w:firstLineChars="200"/>
        <w:jc w:val="left"/>
        <w:rPr>
          <w:rFonts w:hint="eastAsia" w:ascii="楷体" w:hAnsi="楷体" w:eastAsia="楷体" w:cs="楷体"/>
          <w:b w:val="0"/>
          <w:bCs w:val="0"/>
          <w:i w:val="0"/>
          <w:iCs w:val="0"/>
          <w:sz w:val="32"/>
          <w:szCs w:val="32"/>
          <w:lang w:val="en-US" w:eastAsia="zh-CN"/>
        </w:rPr>
      </w:pPr>
      <w:r>
        <w:rPr>
          <w:rFonts w:hint="eastAsia" w:ascii="仿宋_GB2312" w:eastAsia="仿宋_GB2312"/>
          <w:sz w:val="32"/>
          <w:szCs w:val="32"/>
          <w:lang w:val="en-US" w:eastAsia="zh-CN"/>
        </w:rPr>
        <w:t>（六）</w:t>
      </w:r>
      <w:r>
        <w:rPr>
          <w:rFonts w:hint="eastAsia" w:ascii="楷体" w:hAnsi="楷体" w:eastAsia="楷体" w:cs="楷体"/>
          <w:b w:val="0"/>
          <w:bCs w:val="0"/>
          <w:sz w:val="32"/>
          <w:szCs w:val="32"/>
        </w:rPr>
        <w:t>履约保证金</w:t>
      </w:r>
    </w:p>
    <w:p w14:paraId="236715EF">
      <w:pPr>
        <w:adjustRightInd w:val="0"/>
        <w:snapToGrid w:val="0"/>
        <w:spacing w:line="560" w:lineRule="exact"/>
        <w:ind w:firstLine="960" w:firstLineChars="3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本项目不收取履约保证金。</w:t>
      </w:r>
    </w:p>
    <w:p w14:paraId="719029CB">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（七）验收标准</w:t>
      </w:r>
    </w:p>
    <w:p w14:paraId="3BD0AFA2">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eastAsia="zh-CN"/>
        </w:rPr>
        <w:t>1、</w:t>
      </w:r>
      <w:r>
        <w:rPr>
          <w:rFonts w:hint="eastAsia" w:ascii="仿宋_GB2312" w:eastAsia="仿宋_GB2312"/>
          <w:sz w:val="32"/>
          <w:szCs w:val="32"/>
          <w:highlight w:val="none"/>
        </w:rPr>
        <w:t>履约验收标准：按照采购合同规定的技术、服务标准对供应商履约情况进行验收。季度考核结果将作为履约验收的重要依据，累计两次不合格视为验收不通过。</w:t>
      </w:r>
      <w:r>
        <w:rPr>
          <w:rFonts w:hint="eastAsia" w:ascii="仿宋_GB2312" w:eastAsia="仿宋_GB2312"/>
          <w:sz w:val="32"/>
          <w:szCs w:val="32"/>
          <w:highlight w:val="none"/>
          <w:lang w:val="en-US" w:eastAsia="zh-CN"/>
        </w:rPr>
        <w:t>考核表详见附件《医疗废物处置服务季度考核表》</w:t>
      </w:r>
    </w:p>
    <w:p w14:paraId="18D3AAFB">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highlight w:val="none"/>
        </w:rPr>
      </w:pPr>
      <w:r>
        <w:rPr>
          <w:rFonts w:hint="eastAsia" w:ascii="仿宋_GB2312" w:eastAsia="仿宋_GB2312"/>
          <w:sz w:val="32"/>
          <w:szCs w:val="32"/>
          <w:highlight w:val="none"/>
          <w:lang w:val="en-US" w:eastAsia="zh-CN"/>
        </w:rPr>
        <w:t>（八）违约责任</w:t>
      </w:r>
    </w:p>
    <w:p w14:paraId="111B5F3A">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highlight w:val="none"/>
          <w:lang w:val="en-US" w:eastAsia="zh-CN"/>
        </w:rPr>
      </w:pPr>
      <w:r>
        <w:rPr>
          <w:rFonts w:hint="eastAsia" w:ascii="仿宋_GB2312" w:eastAsia="仿宋_GB2312"/>
          <w:sz w:val="32"/>
          <w:szCs w:val="32"/>
          <w:highlight w:val="none"/>
          <w:lang w:val="en-US" w:eastAsia="zh-CN"/>
        </w:rPr>
        <w:t>1.任何一方擅自解除合同，应向另一方支付本合同总服务费用15%的违约金。</w:t>
      </w:r>
      <w:r>
        <w:rPr>
          <w:rFonts w:hint="eastAsia" w:ascii="仿宋_GB2312" w:hAnsi="Times New Roman" w:eastAsia="仿宋_GB2312" w:cs="Times New Roman"/>
          <w:sz w:val="32"/>
          <w:szCs w:val="32"/>
          <w:highlight w:val="none"/>
        </w:rPr>
        <w:t>若造成损失的，违约方应承担相应赔偿责任。</w:t>
      </w:r>
      <w:r>
        <w:rPr>
          <w:rFonts w:hint="eastAsia" w:ascii="仿宋_GB2312" w:eastAsia="仿宋_GB2312" w:cs="Times New Roman"/>
          <w:sz w:val="32"/>
          <w:szCs w:val="32"/>
          <w:highlight w:val="none"/>
          <w:lang w:val="en-US" w:eastAsia="zh-CN"/>
        </w:rPr>
        <w:t xml:space="preserve">    </w:t>
      </w:r>
    </w:p>
    <w:p w14:paraId="6EDDE347">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2.采购人不得在供应商接收的废物中夹带约定范围外的其他危险废物。如有发现，供应商有权拒绝收运，已收运的退还采购人；因此产生的运输装卸费等直接损失及法律责任由采购人承担</w:t>
      </w:r>
      <w:r>
        <w:rPr>
          <w:rFonts w:hint="default" w:ascii="仿宋_GB2312" w:eastAsia="仿宋_GB2312"/>
          <w:sz w:val="32"/>
          <w:szCs w:val="32"/>
          <w:highlight w:val="none"/>
          <w:lang w:val="en-US" w:eastAsia="zh-CN"/>
        </w:rPr>
        <w:t>。</w:t>
      </w:r>
    </w:p>
    <w:p w14:paraId="5D59FA05">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2.若采购人逾期支付服务费，每逾期一日按应付服务费用的1‰支付违约金，逾期超过60日的，供应商可暂停收运。</w:t>
      </w:r>
    </w:p>
    <w:p w14:paraId="10DFA272">
      <w:pPr>
        <w:pStyle w:val="14"/>
        <w:snapToGrid/>
        <w:spacing w:line="560" w:lineRule="exact"/>
        <w:ind w:firstLine="64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val="en-US" w:eastAsia="zh-CN"/>
        </w:rPr>
        <w:t>3.因不可抗力（如政策变更、自然灾害等）导致合同无法履行的，双方互不承担违约责任，</w:t>
      </w:r>
      <w:r>
        <w:rPr>
          <w:rFonts w:hint="eastAsia" w:ascii="仿宋_GB2312" w:hAnsi="Times New Roman" w:eastAsia="仿宋_GB2312" w:cs="Times New Roman"/>
          <w:sz w:val="32"/>
          <w:szCs w:val="32"/>
          <w:highlight w:val="none"/>
        </w:rPr>
        <w:t>并按有关法规政策及时协商处理。</w:t>
      </w:r>
    </w:p>
    <w:p w14:paraId="045570C2">
      <w:pPr>
        <w:shd w:val="clear" w:color="auto" w:fill="auto"/>
        <w:snapToGrid w:val="0"/>
        <w:spacing w:line="360" w:lineRule="auto"/>
        <w:ind w:firstLine="640" w:firstLineChars="200"/>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w:t>
      </w:r>
      <w:r>
        <w:rPr>
          <w:rFonts w:hint="default" w:ascii="仿宋_GB2312" w:eastAsia="仿宋_GB2312"/>
          <w:sz w:val="32"/>
          <w:szCs w:val="32"/>
          <w:highlight w:val="none"/>
          <w:lang w:val="en-US" w:eastAsia="zh-CN"/>
        </w:rPr>
        <w:t>.非因供应商原因，供应商未收运或未及时收运医疗废物的，不承担违约责任。但因不可抗力或政策原因导致无法收运时，供应商须在1小时内通知采购人并告知替代方案或预计恢复时间，未及时通知导致采购人损失的，供应商承担相应赔偿责任。</w:t>
      </w:r>
    </w:p>
    <w:p w14:paraId="1FAD8B16">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5</w:t>
      </w:r>
      <w:r>
        <w:rPr>
          <w:rFonts w:hint="default" w:ascii="仿宋_GB2312" w:eastAsia="仿宋_GB2312"/>
          <w:sz w:val="32"/>
          <w:szCs w:val="32"/>
          <w:highlight w:val="none"/>
          <w:lang w:val="en-US" w:eastAsia="zh-CN"/>
        </w:rPr>
        <w:t>.供应商有下列情形之一的，视为严重违约，采购人有权单方解除合同，并要求供应商支付合同总服务费用15%的违约金，同时赔偿采购人因此遭受的全部损失：</w:t>
      </w:r>
    </w:p>
    <w:p w14:paraId="108EF482">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① 连续3次或累计5次未按约定频率收运（不可抗力除外）；</w:t>
      </w:r>
    </w:p>
    <w:p w14:paraId="643CC6BD">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② 发生医疗废物</w:t>
      </w:r>
      <w:r>
        <w:rPr>
          <w:rFonts w:hint="eastAsia" w:ascii="仿宋_GB2312" w:eastAsia="仿宋_GB2312"/>
          <w:sz w:val="32"/>
          <w:szCs w:val="32"/>
          <w:highlight w:val="none"/>
          <w:lang w:val="en-US" w:eastAsia="zh-CN"/>
        </w:rPr>
        <w:t>泄漏</w:t>
      </w:r>
      <w:r>
        <w:rPr>
          <w:rFonts w:hint="default" w:ascii="仿宋_GB2312" w:eastAsia="仿宋_GB2312"/>
          <w:sz w:val="32"/>
          <w:szCs w:val="32"/>
          <w:highlight w:val="none"/>
          <w:lang w:val="en-US" w:eastAsia="zh-CN"/>
        </w:rPr>
        <w:t>、遗撒等安全事故，造成环境污染或人员伤害；</w:t>
      </w:r>
    </w:p>
    <w:p w14:paraId="63CB83D0">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③ 转包或违法分包本合同项下服务；</w:t>
      </w:r>
    </w:p>
    <w:p w14:paraId="45C30C72">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④ 丧失危险废物经营许可证或该许可证被吊销、撤销；</w:t>
      </w:r>
    </w:p>
    <w:p w14:paraId="7D62C376">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⑤ 在服务中存在弄虚作假（如联单造假、GPS轨迹造假、等）</w:t>
      </w:r>
      <w:r>
        <w:rPr>
          <w:rFonts w:hint="eastAsia" w:ascii="仿宋_GB2312" w:eastAsia="仿宋_GB2312"/>
          <w:sz w:val="32"/>
          <w:szCs w:val="32"/>
          <w:highlight w:val="none"/>
          <w:lang w:val="en-US" w:eastAsia="zh-CN"/>
        </w:rPr>
        <w:t>。</w:t>
      </w:r>
    </w:p>
    <w:p w14:paraId="3E9194AF">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6.</w:t>
      </w:r>
      <w:r>
        <w:rPr>
          <w:rFonts w:hint="default" w:ascii="仿宋_GB2312" w:eastAsia="仿宋_GB2312"/>
          <w:sz w:val="32"/>
          <w:szCs w:val="32"/>
          <w:highlight w:val="none"/>
          <w:lang w:val="en-US" w:eastAsia="zh-CN"/>
        </w:rPr>
        <w:t>供应商对收运的医疗废物负责按相关规定进行处置，严禁违法回收利用医疗废物和买卖医疗废物，如违规处置产生的责任由供应商自行承担。采购人发现后有权向相关部门举报其违法行为，拒绝支付服务费并单方终止采购合同</w:t>
      </w:r>
      <w:r>
        <w:rPr>
          <w:rFonts w:hint="eastAsia" w:ascii="仿宋_GB2312" w:eastAsia="仿宋_GB2312"/>
          <w:sz w:val="32"/>
          <w:szCs w:val="32"/>
          <w:highlight w:val="none"/>
          <w:lang w:val="en-US" w:eastAsia="zh-CN"/>
        </w:rPr>
        <w:t>。</w:t>
      </w:r>
    </w:p>
    <w:p w14:paraId="7603350C">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六、供应商资格条件</w:t>
      </w:r>
    </w:p>
    <w:p w14:paraId="631A670B">
      <w:pPr>
        <w:pStyle w:val="14"/>
        <w:adjustRightInd/>
        <w:snapToGrid/>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满足《中华人民共和国政府采购法》第二十二条规定。</w:t>
      </w:r>
    </w:p>
    <w:p w14:paraId="10CD3B31">
      <w:pPr>
        <w:pStyle w:val="14"/>
        <w:spacing w:line="560" w:lineRule="exact"/>
        <w:ind w:firstLine="640"/>
        <w:rPr>
          <w:rFonts w:hint="eastAsia" w:ascii="仿宋_GB2312" w:hAnsi="Times New Roman" w:eastAsia="仿宋_GB2312" w:cs="Times New Roman"/>
          <w:sz w:val="32"/>
          <w:szCs w:val="32"/>
          <w:highlight w:val="none"/>
          <w:u w:val="none"/>
        </w:rPr>
      </w:pPr>
      <w:r>
        <w:rPr>
          <w:rFonts w:hint="eastAsia" w:ascii="仿宋_GB2312" w:hAnsi="Times New Roman" w:eastAsia="仿宋_GB2312" w:cs="Times New Roman"/>
          <w:sz w:val="32"/>
          <w:szCs w:val="32"/>
          <w:highlight w:val="none"/>
          <w:lang w:val="en-US" w:eastAsia="zh-CN"/>
        </w:rPr>
        <w:t>2、</w:t>
      </w:r>
      <w:r>
        <w:rPr>
          <w:rFonts w:hint="eastAsia" w:ascii="仿宋_GB2312" w:hAnsi="Times New Roman" w:eastAsia="仿宋_GB2312" w:cs="Times New Roman"/>
          <w:sz w:val="32"/>
          <w:szCs w:val="32"/>
          <w:highlight w:val="none"/>
        </w:rPr>
        <w:t>本项目的特定资格要求：</w:t>
      </w:r>
      <w:r>
        <w:rPr>
          <w:rFonts w:hint="eastAsia" w:ascii="仿宋_GB2312" w:hAnsi="Times New Roman" w:eastAsia="仿宋_GB2312" w:cs="Times New Roman"/>
          <w:sz w:val="32"/>
          <w:szCs w:val="32"/>
          <w:highlight w:val="none"/>
          <w:u w:val="none"/>
        </w:rPr>
        <w:t>投标人须具有有效的生态环境部门颁发的《危险废物经营许可证》</w:t>
      </w:r>
      <w:r>
        <w:rPr>
          <w:rFonts w:hint="eastAsia" w:ascii="仿宋_GB2312" w:hAnsi="Times New Roman" w:eastAsia="仿宋_GB2312" w:cs="Times New Roman"/>
          <w:sz w:val="32"/>
          <w:szCs w:val="32"/>
          <w:highlight w:val="none"/>
          <w:u w:val="none"/>
          <w:lang w:val="en-US" w:eastAsia="zh-CN"/>
        </w:rPr>
        <w:t>且</w:t>
      </w:r>
      <w:r>
        <w:rPr>
          <w:rFonts w:hint="eastAsia" w:ascii="仿宋_GB2312" w:hAnsi="Times New Roman" w:eastAsia="仿宋_GB2312" w:cs="Times New Roman"/>
          <w:sz w:val="32"/>
          <w:szCs w:val="32"/>
          <w:highlight w:val="none"/>
          <w:lang w:eastAsia="zh-CN"/>
        </w:rPr>
        <w:t>核准经营废物类别须包含HW01类</w:t>
      </w:r>
      <w:r>
        <w:rPr>
          <w:rFonts w:hint="eastAsia" w:ascii="仿宋_GB2312" w:hAnsi="Times New Roman" w:eastAsia="仿宋_GB2312" w:cs="Times New Roman"/>
          <w:sz w:val="32"/>
          <w:szCs w:val="32"/>
          <w:highlight w:val="none"/>
          <w:u w:val="none"/>
        </w:rPr>
        <w:t>或提供生态环境部门颁发的允许收集处置医疗废物的相关证明文件。</w:t>
      </w:r>
    </w:p>
    <w:p w14:paraId="6435EFC0">
      <w:pPr>
        <w:pStyle w:val="14"/>
        <w:numPr>
          <w:ilvl w:val="0"/>
          <w:numId w:val="0"/>
        </w:numPr>
        <w:adjustRightInd/>
        <w:snapToGrid/>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本项目不接受联合体投标，</w:t>
      </w:r>
      <w:r>
        <w:rPr>
          <w:rFonts w:hint="eastAsia" w:ascii="仿宋_GB2312" w:hAnsi="仿宋_GB2312" w:eastAsia="仿宋_GB2312" w:cs="仿宋_GB2312"/>
          <w:sz w:val="32"/>
          <w:szCs w:val="32"/>
          <w:lang w:val="en-US" w:eastAsia="zh-CN"/>
        </w:rPr>
        <w:t>不允许分包</w:t>
      </w:r>
      <w:r>
        <w:rPr>
          <w:rFonts w:hint="eastAsia" w:ascii="仿宋_GB2312" w:hAnsi="仿宋_GB2312" w:eastAsia="仿宋_GB2312" w:cs="仿宋_GB2312"/>
          <w:sz w:val="32"/>
          <w:szCs w:val="32"/>
          <w:lang w:eastAsia="zh-CN"/>
        </w:rPr>
        <w:t>。</w:t>
      </w:r>
    </w:p>
    <w:p w14:paraId="43218D57">
      <w:pPr>
        <w:pStyle w:val="14"/>
        <w:numPr>
          <w:ilvl w:val="0"/>
          <w:numId w:val="0"/>
        </w:numPr>
        <w:adjustRightInd/>
        <w:snapToGri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2E9E43C9">
      <w:pPr>
        <w:pStyle w:val="14"/>
        <w:numPr>
          <w:ilvl w:val="0"/>
          <w:numId w:val="0"/>
        </w:numPr>
        <w:adjustRightInd/>
        <w:snapToGrid/>
        <w:rPr>
          <w:rFonts w:hint="eastAsia" w:ascii="仿宋_GB2312" w:hAnsi="仿宋_GB2312" w:eastAsia="仿宋_GB2312" w:cs="仿宋_GB2312"/>
          <w:sz w:val="32"/>
          <w:szCs w:val="32"/>
          <w:lang w:val="en-US" w:eastAsia="zh-CN"/>
        </w:rPr>
      </w:pPr>
    </w:p>
    <w:tbl>
      <w:tblPr>
        <w:tblStyle w:val="7"/>
        <w:tblpPr w:leftFromText="180" w:rightFromText="180" w:vertAnchor="text" w:horzAnchor="page" w:tblpX="1679" w:tblpY="575"/>
        <w:tblOverlap w:val="never"/>
        <w:tblW w:w="9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5"/>
        <w:gridCol w:w="1021"/>
        <w:gridCol w:w="5499"/>
        <w:gridCol w:w="598"/>
        <w:gridCol w:w="729"/>
        <w:gridCol w:w="638"/>
      </w:tblGrid>
      <w:tr w14:paraId="01E39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9120" w:type="dxa"/>
            <w:gridSpan w:val="6"/>
            <w:tcBorders>
              <w:top w:val="nil"/>
              <w:left w:val="nil"/>
              <w:bottom w:val="nil"/>
              <w:right w:val="nil"/>
            </w:tcBorders>
            <w:noWrap/>
            <w:vAlign w:val="center"/>
          </w:tcPr>
          <w:p w14:paraId="26C06E5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广西壮族自治区生殖医院</w:t>
            </w:r>
          </w:p>
        </w:tc>
      </w:tr>
      <w:tr w14:paraId="564B9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9120" w:type="dxa"/>
            <w:gridSpan w:val="6"/>
            <w:tcBorders>
              <w:top w:val="nil"/>
              <w:left w:val="nil"/>
              <w:bottom w:val="nil"/>
              <w:right w:val="nil"/>
            </w:tcBorders>
            <w:noWrap/>
            <w:vAlign w:val="center"/>
          </w:tcPr>
          <w:p w14:paraId="6E2CD7B0">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医疗废物处置服务季度考核表</w:t>
            </w:r>
          </w:p>
        </w:tc>
      </w:tr>
      <w:tr w14:paraId="4E2A7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5" w:type="dxa"/>
            <w:tcBorders>
              <w:top w:val="nil"/>
              <w:left w:val="nil"/>
              <w:bottom w:val="nil"/>
              <w:right w:val="nil"/>
            </w:tcBorders>
            <w:noWrap/>
            <w:vAlign w:val="center"/>
          </w:tcPr>
          <w:p w14:paraId="41B55D4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1021" w:type="dxa"/>
            <w:tcBorders>
              <w:top w:val="nil"/>
              <w:left w:val="nil"/>
              <w:bottom w:val="nil"/>
              <w:right w:val="nil"/>
            </w:tcBorders>
            <w:noWrap/>
            <w:vAlign w:val="center"/>
          </w:tcPr>
          <w:p w14:paraId="5B132074">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小标宋简体" w:hAnsi="方正小标宋简体" w:eastAsia="方正小标宋简体" w:cs="方正小标宋简体"/>
                <w:i w:val="0"/>
                <w:iCs w:val="0"/>
                <w:color w:val="000000"/>
                <w:sz w:val="40"/>
                <w:szCs w:val="40"/>
                <w:u w:val="none"/>
              </w:rPr>
            </w:pPr>
          </w:p>
        </w:tc>
        <w:tc>
          <w:tcPr>
            <w:tcW w:w="5499" w:type="dxa"/>
            <w:tcBorders>
              <w:top w:val="nil"/>
              <w:left w:val="nil"/>
              <w:bottom w:val="nil"/>
              <w:right w:val="nil"/>
            </w:tcBorders>
            <w:noWrap/>
            <w:vAlign w:val="center"/>
          </w:tcPr>
          <w:p w14:paraId="4463A769">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小标宋简体" w:hAnsi="方正小标宋简体" w:eastAsia="方正小标宋简体" w:cs="方正小标宋简体"/>
                <w:i w:val="0"/>
                <w:iCs w:val="0"/>
                <w:color w:val="000000"/>
                <w:sz w:val="40"/>
                <w:szCs w:val="40"/>
                <w:u w:val="none"/>
              </w:rPr>
            </w:pPr>
          </w:p>
        </w:tc>
        <w:tc>
          <w:tcPr>
            <w:tcW w:w="598" w:type="dxa"/>
            <w:tcBorders>
              <w:top w:val="nil"/>
              <w:left w:val="nil"/>
              <w:bottom w:val="nil"/>
              <w:right w:val="nil"/>
            </w:tcBorders>
            <w:noWrap/>
            <w:vAlign w:val="center"/>
          </w:tcPr>
          <w:p w14:paraId="5E362E9A">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小标宋简体" w:hAnsi="方正小标宋简体" w:eastAsia="方正小标宋简体" w:cs="方正小标宋简体"/>
                <w:i w:val="0"/>
                <w:iCs w:val="0"/>
                <w:color w:val="000000"/>
                <w:sz w:val="40"/>
                <w:szCs w:val="40"/>
                <w:u w:val="none"/>
              </w:rPr>
            </w:pPr>
          </w:p>
        </w:tc>
        <w:tc>
          <w:tcPr>
            <w:tcW w:w="729" w:type="dxa"/>
            <w:tcBorders>
              <w:top w:val="nil"/>
              <w:left w:val="nil"/>
              <w:bottom w:val="nil"/>
              <w:right w:val="nil"/>
            </w:tcBorders>
            <w:noWrap/>
            <w:vAlign w:val="center"/>
          </w:tcPr>
          <w:p w14:paraId="3D416E81">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小标宋简体" w:hAnsi="方正小标宋简体" w:eastAsia="方正小标宋简体" w:cs="方正小标宋简体"/>
                <w:i w:val="0"/>
                <w:iCs w:val="0"/>
                <w:color w:val="000000"/>
                <w:sz w:val="40"/>
                <w:szCs w:val="40"/>
                <w:u w:val="none"/>
              </w:rPr>
            </w:pPr>
          </w:p>
        </w:tc>
        <w:tc>
          <w:tcPr>
            <w:tcW w:w="638" w:type="dxa"/>
            <w:tcBorders>
              <w:top w:val="nil"/>
              <w:left w:val="nil"/>
              <w:bottom w:val="nil"/>
              <w:right w:val="nil"/>
            </w:tcBorders>
            <w:noWrap/>
            <w:vAlign w:val="center"/>
          </w:tcPr>
          <w:p w14:paraId="176D92F6">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小标宋简体" w:hAnsi="方正小标宋简体" w:eastAsia="方正小标宋简体" w:cs="方正小标宋简体"/>
                <w:i w:val="0"/>
                <w:iCs w:val="0"/>
                <w:color w:val="000000"/>
                <w:sz w:val="40"/>
                <w:szCs w:val="40"/>
                <w:u w:val="none"/>
              </w:rPr>
            </w:pPr>
          </w:p>
        </w:tc>
      </w:tr>
      <w:tr w14:paraId="6D91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20" w:type="dxa"/>
            <w:gridSpan w:val="6"/>
            <w:tcBorders>
              <w:top w:val="nil"/>
              <w:left w:val="nil"/>
              <w:bottom w:val="nil"/>
              <w:right w:val="nil"/>
            </w:tcBorders>
            <w:noWrap/>
            <w:vAlign w:val="center"/>
          </w:tcPr>
          <w:p w14:paraId="629B75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被考核单位：</w:t>
            </w:r>
          </w:p>
        </w:tc>
      </w:tr>
      <w:tr w14:paraId="22EC4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635" w:type="dxa"/>
            <w:tcBorders>
              <w:top w:val="single" w:color="000000" w:sz="4" w:space="0"/>
              <w:left w:val="single" w:color="000000" w:sz="4" w:space="0"/>
              <w:bottom w:val="single" w:color="000000" w:sz="4" w:space="0"/>
              <w:right w:val="single" w:color="000000" w:sz="4" w:space="0"/>
            </w:tcBorders>
            <w:noWrap/>
            <w:vAlign w:val="center"/>
          </w:tcPr>
          <w:p w14:paraId="77E12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021" w:type="dxa"/>
            <w:tcBorders>
              <w:top w:val="single" w:color="000000" w:sz="4" w:space="0"/>
              <w:left w:val="single" w:color="000000" w:sz="4" w:space="0"/>
              <w:bottom w:val="single" w:color="000000" w:sz="4" w:space="0"/>
              <w:right w:val="single" w:color="000000" w:sz="4" w:space="0"/>
            </w:tcBorders>
            <w:noWrap w:val="0"/>
            <w:vAlign w:val="center"/>
          </w:tcPr>
          <w:p w14:paraId="2B077F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考核项目</w:t>
            </w:r>
          </w:p>
        </w:tc>
        <w:tc>
          <w:tcPr>
            <w:tcW w:w="5499" w:type="dxa"/>
            <w:tcBorders>
              <w:top w:val="single" w:color="000000" w:sz="4" w:space="0"/>
              <w:left w:val="single" w:color="000000" w:sz="4" w:space="0"/>
              <w:bottom w:val="single" w:color="000000" w:sz="4" w:space="0"/>
              <w:right w:val="single" w:color="000000" w:sz="4" w:space="0"/>
            </w:tcBorders>
            <w:noWrap w:val="0"/>
            <w:vAlign w:val="center"/>
          </w:tcPr>
          <w:p w14:paraId="05A30B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评价内容</w:t>
            </w:r>
          </w:p>
        </w:tc>
        <w:tc>
          <w:tcPr>
            <w:tcW w:w="598" w:type="dxa"/>
            <w:tcBorders>
              <w:top w:val="single" w:color="000000" w:sz="4" w:space="0"/>
              <w:left w:val="single" w:color="000000" w:sz="4" w:space="0"/>
              <w:bottom w:val="single" w:color="000000" w:sz="4" w:space="0"/>
              <w:right w:val="single" w:color="000000" w:sz="4" w:space="0"/>
            </w:tcBorders>
            <w:noWrap/>
            <w:vAlign w:val="center"/>
          </w:tcPr>
          <w:p w14:paraId="6BB91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分值</w:t>
            </w:r>
          </w:p>
        </w:tc>
        <w:tc>
          <w:tcPr>
            <w:tcW w:w="729" w:type="dxa"/>
            <w:tcBorders>
              <w:top w:val="single" w:color="000000" w:sz="4" w:space="0"/>
              <w:left w:val="single" w:color="000000" w:sz="4" w:space="0"/>
              <w:bottom w:val="single" w:color="000000" w:sz="4" w:space="0"/>
              <w:right w:val="single" w:color="000000" w:sz="4" w:space="0"/>
            </w:tcBorders>
            <w:noWrap/>
            <w:vAlign w:val="center"/>
          </w:tcPr>
          <w:p w14:paraId="5E8E7B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得分</w:t>
            </w: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5BAA50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备注</w:t>
            </w:r>
          </w:p>
        </w:tc>
      </w:tr>
      <w:tr w14:paraId="12BBD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9" w:hRule="atLeast"/>
        </w:trPr>
        <w:tc>
          <w:tcPr>
            <w:tcW w:w="635" w:type="dxa"/>
            <w:tcBorders>
              <w:top w:val="single" w:color="000000" w:sz="4" w:space="0"/>
              <w:left w:val="single" w:color="000000" w:sz="4" w:space="0"/>
              <w:bottom w:val="single" w:color="000000" w:sz="4" w:space="0"/>
              <w:right w:val="single" w:color="000000" w:sz="4" w:space="0"/>
            </w:tcBorders>
            <w:noWrap/>
            <w:vAlign w:val="center"/>
          </w:tcPr>
          <w:p w14:paraId="45DA53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021" w:type="dxa"/>
            <w:tcBorders>
              <w:top w:val="single" w:color="000000" w:sz="4" w:space="0"/>
              <w:left w:val="single" w:color="000000" w:sz="4" w:space="0"/>
              <w:bottom w:val="single" w:color="000000" w:sz="4" w:space="0"/>
              <w:right w:val="single" w:color="000000" w:sz="4" w:space="0"/>
            </w:tcBorders>
            <w:noWrap w:val="0"/>
            <w:vAlign w:val="center"/>
          </w:tcPr>
          <w:p w14:paraId="1EB8BE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收运及时性</w:t>
            </w:r>
          </w:p>
        </w:tc>
        <w:tc>
          <w:tcPr>
            <w:tcW w:w="5499" w:type="dxa"/>
            <w:tcBorders>
              <w:top w:val="single" w:color="000000" w:sz="4" w:space="0"/>
              <w:left w:val="single" w:color="000000" w:sz="4" w:space="0"/>
              <w:bottom w:val="single" w:color="000000" w:sz="4" w:space="0"/>
              <w:right w:val="single" w:color="000000" w:sz="4" w:space="0"/>
            </w:tcBorders>
            <w:noWrap w:val="0"/>
            <w:vAlign w:val="center"/>
          </w:tcPr>
          <w:p w14:paraId="70D7ADB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① 未按约定频率（每两天一次）收运的，每少1次扣2分（不可抗力除外）；</w:t>
            </w:r>
          </w:p>
          <w:p w14:paraId="7173D3C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② 采购人要求增加收运频次，无正当理由拒不配合的，每次扣2分；</w:t>
            </w:r>
          </w:p>
          <w:p w14:paraId="24750E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③ 无故迟到超过4小时的，每次扣1分；</w:t>
            </w:r>
          </w:p>
          <w:p w14:paraId="21AC8E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④ 因未及时收运导致医疗废物积存、暂存间满溢的，每次扣5分。</w:t>
            </w:r>
          </w:p>
        </w:tc>
        <w:tc>
          <w:tcPr>
            <w:tcW w:w="598" w:type="dxa"/>
            <w:tcBorders>
              <w:top w:val="single" w:color="000000" w:sz="4" w:space="0"/>
              <w:left w:val="single" w:color="000000" w:sz="4" w:space="0"/>
              <w:bottom w:val="single" w:color="000000" w:sz="4" w:space="0"/>
              <w:right w:val="single" w:color="000000" w:sz="4" w:space="0"/>
            </w:tcBorders>
            <w:noWrap/>
            <w:vAlign w:val="center"/>
          </w:tcPr>
          <w:p w14:paraId="5DE873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w:t>
            </w:r>
          </w:p>
        </w:tc>
        <w:tc>
          <w:tcPr>
            <w:tcW w:w="729" w:type="dxa"/>
            <w:tcBorders>
              <w:top w:val="single" w:color="000000" w:sz="4" w:space="0"/>
              <w:left w:val="single" w:color="000000" w:sz="4" w:space="0"/>
              <w:bottom w:val="single" w:color="000000" w:sz="4" w:space="0"/>
              <w:right w:val="single" w:color="000000" w:sz="4" w:space="0"/>
            </w:tcBorders>
            <w:noWrap/>
            <w:vAlign w:val="center"/>
          </w:tcPr>
          <w:p w14:paraId="21FE056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12C1FB1C">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698F8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3" w:hRule="atLeast"/>
        </w:trPr>
        <w:tc>
          <w:tcPr>
            <w:tcW w:w="635" w:type="dxa"/>
            <w:tcBorders>
              <w:top w:val="single" w:color="000000" w:sz="4" w:space="0"/>
              <w:left w:val="single" w:color="000000" w:sz="4" w:space="0"/>
              <w:bottom w:val="single" w:color="000000" w:sz="4" w:space="0"/>
              <w:right w:val="single" w:color="000000" w:sz="4" w:space="0"/>
            </w:tcBorders>
            <w:noWrap/>
            <w:vAlign w:val="center"/>
          </w:tcPr>
          <w:p w14:paraId="2CEA85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021" w:type="dxa"/>
            <w:tcBorders>
              <w:top w:val="single" w:color="000000" w:sz="4" w:space="0"/>
              <w:left w:val="single" w:color="000000" w:sz="4" w:space="0"/>
              <w:bottom w:val="single" w:color="000000" w:sz="4" w:space="0"/>
              <w:right w:val="single" w:color="000000" w:sz="4" w:space="0"/>
            </w:tcBorders>
            <w:noWrap w:val="0"/>
            <w:vAlign w:val="center"/>
          </w:tcPr>
          <w:p w14:paraId="416E60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处置规范性</w:t>
            </w:r>
          </w:p>
        </w:tc>
        <w:tc>
          <w:tcPr>
            <w:tcW w:w="5499" w:type="dxa"/>
            <w:tcBorders>
              <w:top w:val="single" w:color="000000" w:sz="4" w:space="0"/>
              <w:left w:val="single" w:color="000000" w:sz="4" w:space="0"/>
              <w:bottom w:val="single" w:color="000000" w:sz="4" w:space="0"/>
              <w:right w:val="single" w:color="000000" w:sz="4" w:space="0"/>
            </w:tcBorders>
            <w:noWrap w:val="0"/>
            <w:vAlign w:val="center"/>
          </w:tcPr>
          <w:p w14:paraId="0D6262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① 收运过程中发生医疗废物散落、泄漏的，每次扣5分；</w:t>
            </w:r>
          </w:p>
          <w:p w14:paraId="7C21EA4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② 运输车辆不符合密闭、防渗漏要求的，每次扣3分；</w:t>
            </w:r>
          </w:p>
          <w:p w14:paraId="473FB18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③ 被生态环境、卫生健康等主管部门通报批评或行政处罚的，该项不得分（即扣15分），且考核直接评定为不合格。</w:t>
            </w:r>
          </w:p>
        </w:tc>
        <w:tc>
          <w:tcPr>
            <w:tcW w:w="598" w:type="dxa"/>
            <w:tcBorders>
              <w:top w:val="single" w:color="000000" w:sz="4" w:space="0"/>
              <w:left w:val="single" w:color="000000" w:sz="4" w:space="0"/>
              <w:bottom w:val="single" w:color="000000" w:sz="4" w:space="0"/>
              <w:right w:val="single" w:color="000000" w:sz="4" w:space="0"/>
            </w:tcBorders>
            <w:noWrap/>
            <w:vAlign w:val="center"/>
          </w:tcPr>
          <w:p w14:paraId="23B70B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729" w:type="dxa"/>
            <w:tcBorders>
              <w:top w:val="single" w:color="000000" w:sz="4" w:space="0"/>
              <w:left w:val="single" w:color="000000" w:sz="4" w:space="0"/>
              <w:bottom w:val="single" w:color="000000" w:sz="4" w:space="0"/>
              <w:right w:val="single" w:color="000000" w:sz="4" w:space="0"/>
            </w:tcBorders>
            <w:noWrap/>
            <w:vAlign w:val="center"/>
          </w:tcPr>
          <w:p w14:paraId="059359A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37F93526">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6E3D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635" w:type="dxa"/>
            <w:tcBorders>
              <w:top w:val="single" w:color="000000" w:sz="4" w:space="0"/>
              <w:left w:val="single" w:color="000000" w:sz="4" w:space="0"/>
              <w:bottom w:val="single" w:color="000000" w:sz="4" w:space="0"/>
              <w:right w:val="single" w:color="000000" w:sz="4" w:space="0"/>
            </w:tcBorders>
            <w:noWrap/>
            <w:vAlign w:val="center"/>
          </w:tcPr>
          <w:p w14:paraId="3025E4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021" w:type="dxa"/>
            <w:tcBorders>
              <w:top w:val="single" w:color="000000" w:sz="4" w:space="0"/>
              <w:left w:val="single" w:color="000000" w:sz="4" w:space="0"/>
              <w:bottom w:val="single" w:color="000000" w:sz="4" w:space="0"/>
              <w:right w:val="single" w:color="000000" w:sz="4" w:space="0"/>
            </w:tcBorders>
            <w:noWrap w:val="0"/>
            <w:vAlign w:val="center"/>
          </w:tcPr>
          <w:p w14:paraId="52112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联单管理</w:t>
            </w:r>
          </w:p>
        </w:tc>
        <w:tc>
          <w:tcPr>
            <w:tcW w:w="5499" w:type="dxa"/>
            <w:tcBorders>
              <w:top w:val="single" w:color="000000" w:sz="4" w:space="0"/>
              <w:left w:val="single" w:color="000000" w:sz="4" w:space="0"/>
              <w:bottom w:val="single" w:color="000000" w:sz="4" w:space="0"/>
              <w:right w:val="single" w:color="000000" w:sz="4" w:space="0"/>
            </w:tcBorders>
            <w:noWrap w:val="0"/>
            <w:vAlign w:val="center"/>
          </w:tcPr>
          <w:p w14:paraId="0FA361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① 《危险废物转移联单》填写不完整、不清晰、有涂改且未加盖公章确认的，每处扣1分；</w:t>
            </w:r>
          </w:p>
          <w:p w14:paraId="5EA29B0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② 未在规定时间内（次月月中前）将上月联单提交采购人的，每次扣2分；</w:t>
            </w:r>
          </w:p>
          <w:p w14:paraId="58B3E6A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③ 联单丢失或内容造假的，该项不得分（即扣15分），且考核直接评定为不合格。</w:t>
            </w:r>
          </w:p>
        </w:tc>
        <w:tc>
          <w:tcPr>
            <w:tcW w:w="598" w:type="dxa"/>
            <w:tcBorders>
              <w:top w:val="single" w:color="000000" w:sz="4" w:space="0"/>
              <w:left w:val="single" w:color="000000" w:sz="4" w:space="0"/>
              <w:bottom w:val="single" w:color="000000" w:sz="4" w:space="0"/>
              <w:right w:val="single" w:color="000000" w:sz="4" w:space="0"/>
            </w:tcBorders>
            <w:noWrap/>
            <w:vAlign w:val="center"/>
          </w:tcPr>
          <w:p w14:paraId="4ED025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729" w:type="dxa"/>
            <w:tcBorders>
              <w:top w:val="single" w:color="000000" w:sz="4" w:space="0"/>
              <w:left w:val="single" w:color="000000" w:sz="4" w:space="0"/>
              <w:bottom w:val="single" w:color="000000" w:sz="4" w:space="0"/>
              <w:right w:val="single" w:color="000000" w:sz="4" w:space="0"/>
            </w:tcBorders>
            <w:noWrap/>
            <w:vAlign w:val="center"/>
          </w:tcPr>
          <w:p w14:paraId="3B81ADF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291D29D6">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3E4A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7C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序号</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829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考核项目</w:t>
            </w:r>
          </w:p>
        </w:tc>
        <w:tc>
          <w:tcPr>
            <w:tcW w:w="54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2120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评价内容</w:t>
            </w:r>
          </w:p>
        </w:tc>
        <w:tc>
          <w:tcPr>
            <w:tcW w:w="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2E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分值</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74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得分</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D8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备注</w:t>
            </w:r>
          </w:p>
        </w:tc>
      </w:tr>
      <w:tr w14:paraId="1861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2" w:hRule="atLeast"/>
        </w:trPr>
        <w:tc>
          <w:tcPr>
            <w:tcW w:w="635" w:type="dxa"/>
            <w:tcBorders>
              <w:top w:val="single" w:color="000000" w:sz="4" w:space="0"/>
              <w:left w:val="single" w:color="000000" w:sz="4" w:space="0"/>
              <w:bottom w:val="single" w:color="000000" w:sz="4" w:space="0"/>
              <w:right w:val="single" w:color="000000" w:sz="4" w:space="0"/>
            </w:tcBorders>
            <w:noWrap/>
            <w:vAlign w:val="center"/>
          </w:tcPr>
          <w:p w14:paraId="723E32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1021" w:type="dxa"/>
            <w:tcBorders>
              <w:top w:val="single" w:color="000000" w:sz="4" w:space="0"/>
              <w:left w:val="single" w:color="000000" w:sz="4" w:space="0"/>
              <w:bottom w:val="single" w:color="000000" w:sz="4" w:space="0"/>
              <w:right w:val="single" w:color="000000" w:sz="4" w:space="0"/>
            </w:tcBorders>
            <w:noWrap w:val="0"/>
            <w:vAlign w:val="center"/>
          </w:tcPr>
          <w:p w14:paraId="607AD8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应急响应能力</w:t>
            </w:r>
          </w:p>
        </w:tc>
        <w:tc>
          <w:tcPr>
            <w:tcW w:w="5499" w:type="dxa"/>
            <w:tcBorders>
              <w:top w:val="single" w:color="000000" w:sz="4" w:space="0"/>
              <w:left w:val="single" w:color="000000" w:sz="4" w:space="0"/>
              <w:bottom w:val="single" w:color="000000" w:sz="4" w:space="0"/>
              <w:right w:val="single" w:color="000000" w:sz="4" w:space="0"/>
            </w:tcBorders>
            <w:noWrap w:val="0"/>
            <w:vAlign w:val="center"/>
          </w:tcPr>
          <w:p w14:paraId="347E49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① 紧急情况下未在1小时内启动应急收运程序，或未及时通知采购人的，每次扣3分；</w:t>
            </w:r>
          </w:p>
          <w:p w14:paraId="6FBB221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② 应急预案执行不力，导致安全事故或舆情事件的，该项不得分（即扣15分），且考核直接评定为不合格。</w:t>
            </w:r>
          </w:p>
        </w:tc>
        <w:tc>
          <w:tcPr>
            <w:tcW w:w="598" w:type="dxa"/>
            <w:tcBorders>
              <w:top w:val="single" w:color="000000" w:sz="4" w:space="0"/>
              <w:left w:val="single" w:color="000000" w:sz="4" w:space="0"/>
              <w:bottom w:val="single" w:color="000000" w:sz="4" w:space="0"/>
              <w:right w:val="single" w:color="000000" w:sz="4" w:space="0"/>
            </w:tcBorders>
            <w:noWrap/>
            <w:vAlign w:val="center"/>
          </w:tcPr>
          <w:p w14:paraId="31F109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729" w:type="dxa"/>
            <w:tcBorders>
              <w:top w:val="single" w:color="000000" w:sz="4" w:space="0"/>
              <w:left w:val="single" w:color="000000" w:sz="4" w:space="0"/>
              <w:bottom w:val="single" w:color="000000" w:sz="4" w:space="0"/>
              <w:right w:val="single" w:color="000000" w:sz="4" w:space="0"/>
            </w:tcBorders>
            <w:noWrap/>
            <w:vAlign w:val="center"/>
          </w:tcPr>
          <w:p w14:paraId="044E15E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4082B13A">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78773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4" w:hRule="atLeast"/>
        </w:trPr>
        <w:tc>
          <w:tcPr>
            <w:tcW w:w="635" w:type="dxa"/>
            <w:tcBorders>
              <w:top w:val="single" w:color="000000" w:sz="4" w:space="0"/>
              <w:left w:val="single" w:color="000000" w:sz="4" w:space="0"/>
              <w:bottom w:val="single" w:color="000000" w:sz="4" w:space="0"/>
              <w:right w:val="single" w:color="000000" w:sz="4" w:space="0"/>
            </w:tcBorders>
            <w:noWrap/>
            <w:vAlign w:val="center"/>
          </w:tcPr>
          <w:p w14:paraId="58E090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1021" w:type="dxa"/>
            <w:tcBorders>
              <w:top w:val="single" w:color="000000" w:sz="4" w:space="0"/>
              <w:left w:val="single" w:color="000000" w:sz="4" w:space="0"/>
              <w:bottom w:val="single" w:color="000000" w:sz="4" w:space="0"/>
              <w:right w:val="single" w:color="000000" w:sz="4" w:space="0"/>
            </w:tcBorders>
            <w:noWrap w:val="0"/>
            <w:vAlign w:val="center"/>
          </w:tcPr>
          <w:p w14:paraId="66017A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周转箱清洗消毒</w:t>
            </w:r>
          </w:p>
        </w:tc>
        <w:tc>
          <w:tcPr>
            <w:tcW w:w="5499" w:type="dxa"/>
            <w:tcBorders>
              <w:top w:val="single" w:color="000000" w:sz="4" w:space="0"/>
              <w:left w:val="single" w:color="000000" w:sz="4" w:space="0"/>
              <w:bottom w:val="single" w:color="000000" w:sz="4" w:space="0"/>
              <w:right w:val="single" w:color="000000" w:sz="4" w:space="0"/>
            </w:tcBorders>
            <w:noWrap w:val="0"/>
            <w:vAlign w:val="center"/>
          </w:tcPr>
          <w:p w14:paraId="464B64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① 周转箱表面有明显污渍、残留物或异味的，每次扣2分；</w:t>
            </w:r>
          </w:p>
          <w:p w14:paraId="2C91E96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② 周转箱破损未及时更换的，每个扣1分；</w:t>
            </w:r>
          </w:p>
          <w:p w14:paraId="16B6F7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③ 连续三次抽查不合格的，加扣5分。</w:t>
            </w:r>
          </w:p>
        </w:tc>
        <w:tc>
          <w:tcPr>
            <w:tcW w:w="598" w:type="dxa"/>
            <w:tcBorders>
              <w:top w:val="single" w:color="000000" w:sz="4" w:space="0"/>
              <w:left w:val="single" w:color="000000" w:sz="4" w:space="0"/>
              <w:bottom w:val="single" w:color="000000" w:sz="4" w:space="0"/>
              <w:right w:val="single" w:color="000000" w:sz="4" w:space="0"/>
            </w:tcBorders>
            <w:noWrap/>
            <w:vAlign w:val="center"/>
          </w:tcPr>
          <w:p w14:paraId="474B32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729" w:type="dxa"/>
            <w:tcBorders>
              <w:top w:val="single" w:color="000000" w:sz="4" w:space="0"/>
              <w:left w:val="single" w:color="000000" w:sz="4" w:space="0"/>
              <w:bottom w:val="single" w:color="000000" w:sz="4" w:space="0"/>
              <w:right w:val="single" w:color="000000" w:sz="4" w:space="0"/>
            </w:tcBorders>
            <w:noWrap/>
            <w:vAlign w:val="center"/>
          </w:tcPr>
          <w:p w14:paraId="6D26E1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654CAFDA">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2EDFB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6" w:hRule="atLeast"/>
        </w:trPr>
        <w:tc>
          <w:tcPr>
            <w:tcW w:w="635" w:type="dxa"/>
            <w:tcBorders>
              <w:top w:val="single" w:color="000000" w:sz="4" w:space="0"/>
              <w:left w:val="single" w:color="000000" w:sz="4" w:space="0"/>
              <w:bottom w:val="single" w:color="000000" w:sz="4" w:space="0"/>
              <w:right w:val="single" w:color="000000" w:sz="4" w:space="0"/>
            </w:tcBorders>
            <w:noWrap/>
            <w:vAlign w:val="center"/>
          </w:tcPr>
          <w:p w14:paraId="5D737D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1021" w:type="dxa"/>
            <w:tcBorders>
              <w:top w:val="single" w:color="000000" w:sz="4" w:space="0"/>
              <w:left w:val="single" w:color="000000" w:sz="4" w:space="0"/>
              <w:bottom w:val="single" w:color="000000" w:sz="4" w:space="0"/>
              <w:right w:val="single" w:color="000000" w:sz="4" w:space="0"/>
            </w:tcBorders>
            <w:noWrap w:val="0"/>
            <w:vAlign w:val="center"/>
          </w:tcPr>
          <w:p w14:paraId="30C61C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投诉处理</w:t>
            </w:r>
          </w:p>
        </w:tc>
        <w:tc>
          <w:tcPr>
            <w:tcW w:w="5499" w:type="dxa"/>
            <w:tcBorders>
              <w:top w:val="single" w:color="000000" w:sz="4" w:space="0"/>
              <w:left w:val="single" w:color="000000" w:sz="4" w:space="0"/>
              <w:bottom w:val="single" w:color="000000" w:sz="4" w:space="0"/>
              <w:right w:val="single" w:color="000000" w:sz="4" w:space="0"/>
            </w:tcBorders>
            <w:noWrap w:val="0"/>
            <w:vAlign w:val="center"/>
          </w:tcPr>
          <w:p w14:paraId="50BC9C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① 对采购人提出的合理要求或整改意见，无正当理由拒不执行或逾期未整改的，每次扣3分；</w:t>
            </w:r>
          </w:p>
          <w:p w14:paraId="3CA5C4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② 就收运异常、清洗质量等问题向供应商反馈后，未在2小时内响应、24小时内解决的，每次扣2分；</w:t>
            </w:r>
          </w:p>
          <w:p w14:paraId="5E7F05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③ 因服务态度或服务质量问题被有效投诉的，每次扣2分。</w:t>
            </w:r>
          </w:p>
        </w:tc>
        <w:tc>
          <w:tcPr>
            <w:tcW w:w="598" w:type="dxa"/>
            <w:tcBorders>
              <w:top w:val="single" w:color="000000" w:sz="4" w:space="0"/>
              <w:left w:val="single" w:color="000000" w:sz="4" w:space="0"/>
              <w:bottom w:val="single" w:color="000000" w:sz="4" w:space="0"/>
              <w:right w:val="single" w:color="000000" w:sz="4" w:space="0"/>
            </w:tcBorders>
            <w:noWrap/>
            <w:vAlign w:val="center"/>
          </w:tcPr>
          <w:p w14:paraId="6B9DB6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729" w:type="dxa"/>
            <w:tcBorders>
              <w:top w:val="single" w:color="000000" w:sz="4" w:space="0"/>
              <w:left w:val="single" w:color="000000" w:sz="4" w:space="0"/>
              <w:bottom w:val="single" w:color="000000" w:sz="4" w:space="0"/>
              <w:right w:val="single" w:color="000000" w:sz="4" w:space="0"/>
            </w:tcBorders>
            <w:noWrap/>
            <w:vAlign w:val="center"/>
          </w:tcPr>
          <w:p w14:paraId="350B76D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263A44F5">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200C1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7753" w:type="dxa"/>
            <w:gridSpan w:val="4"/>
            <w:tcBorders>
              <w:top w:val="single" w:color="000000" w:sz="4" w:space="0"/>
              <w:left w:val="single" w:color="000000" w:sz="4" w:space="0"/>
              <w:bottom w:val="single" w:color="000000" w:sz="4" w:space="0"/>
              <w:right w:val="single" w:color="000000" w:sz="4" w:space="0"/>
            </w:tcBorders>
            <w:noWrap/>
            <w:vAlign w:val="center"/>
          </w:tcPr>
          <w:p w14:paraId="5027FD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总得分</w:t>
            </w:r>
          </w:p>
        </w:tc>
        <w:tc>
          <w:tcPr>
            <w:tcW w:w="729" w:type="dxa"/>
            <w:tcBorders>
              <w:top w:val="single" w:color="000000" w:sz="4" w:space="0"/>
              <w:left w:val="nil"/>
              <w:bottom w:val="single" w:color="000000" w:sz="4" w:space="0"/>
              <w:right w:val="single" w:color="000000" w:sz="4" w:space="0"/>
            </w:tcBorders>
            <w:noWrap/>
            <w:vAlign w:val="center"/>
          </w:tcPr>
          <w:p w14:paraId="3112F1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8"/>
                <w:szCs w:val="28"/>
                <w:u w:val="none"/>
              </w:rPr>
            </w:pPr>
          </w:p>
        </w:tc>
        <w:tc>
          <w:tcPr>
            <w:tcW w:w="638" w:type="dxa"/>
            <w:tcBorders>
              <w:top w:val="single" w:color="000000" w:sz="4" w:space="0"/>
              <w:left w:val="single" w:color="000000" w:sz="4" w:space="0"/>
              <w:bottom w:val="single" w:color="000000" w:sz="4" w:space="0"/>
              <w:right w:val="single" w:color="000000" w:sz="4" w:space="0"/>
            </w:tcBorders>
            <w:noWrap/>
            <w:vAlign w:val="center"/>
          </w:tcPr>
          <w:p w14:paraId="176739E6">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5D3C6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0" w:hRule="atLeast"/>
        </w:trPr>
        <w:tc>
          <w:tcPr>
            <w:tcW w:w="9120" w:type="dxa"/>
            <w:gridSpan w:val="6"/>
            <w:tcBorders>
              <w:top w:val="nil"/>
              <w:left w:val="nil"/>
              <w:bottom w:val="nil"/>
              <w:right w:val="nil"/>
            </w:tcBorders>
            <w:noWrap w:val="0"/>
            <w:vAlign w:val="center"/>
          </w:tcPr>
          <w:p w14:paraId="29844F0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color w:val="000000"/>
                <w:kern w:val="0"/>
                <w:sz w:val="28"/>
                <w:szCs w:val="28"/>
                <w:u w:val="none"/>
                <w:lang w:val="en-US" w:eastAsia="zh-CN" w:bidi="ar"/>
              </w:rPr>
            </w:pPr>
            <w:r>
              <w:rPr>
                <w:rFonts w:hint="eastAsia" w:ascii="宋体" w:hAnsi="宋体" w:eastAsia="宋体" w:cs="宋体"/>
                <w:color w:val="000000"/>
                <w:kern w:val="0"/>
                <w:sz w:val="28"/>
                <w:szCs w:val="28"/>
                <w:u w:val="none"/>
                <w:lang w:val="en-US" w:eastAsia="zh-CN" w:bidi="ar"/>
              </w:rPr>
              <w:t>备注：</w:t>
            </w:r>
          </w:p>
          <w:p w14:paraId="6218A1FE">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color w:val="000000"/>
                <w:kern w:val="0"/>
                <w:sz w:val="28"/>
                <w:szCs w:val="28"/>
                <w:u w:val="none"/>
                <w:lang w:bidi="ar"/>
              </w:rPr>
              <w:t>此表用于我院对供应商服务质量的季度监督考核，以确保医疗废物处理工作的规范性和安全性。每项评分应基于日常监督检查记录据实评定。总分≥90分为合格，＜90分为不合格。考核不合格的，供应商须在收到考核结果后7个工作日内提交书面整改方案并限期整改，整改后仍不合格的，或一个合同年度内累计两次季度考核不合格的，采购人有权提前终止合同。季度考核结果将作为年度验收的重要依据。考核中发现弄虚作假，或被生态环境、卫生健康等主管部门通报批评或行政处罚，或发生医疗废物泄漏、遗撒等安全事故，或存在转包、违法分包，或丧失危险废物经营许可证等情形的，季度考核直接评定为不合格，采购人有权依据合同约定追究供应商违约责任直至提前终止合同。</w:t>
            </w:r>
          </w:p>
        </w:tc>
      </w:tr>
      <w:tr w14:paraId="705F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635" w:type="dxa"/>
            <w:tcBorders>
              <w:top w:val="nil"/>
              <w:left w:val="nil"/>
              <w:bottom w:val="nil"/>
              <w:right w:val="nil"/>
            </w:tcBorders>
            <w:noWrap/>
            <w:vAlign w:val="center"/>
          </w:tcPr>
          <w:p w14:paraId="44BEAE6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1021" w:type="dxa"/>
            <w:tcBorders>
              <w:top w:val="nil"/>
              <w:left w:val="nil"/>
              <w:bottom w:val="nil"/>
              <w:right w:val="nil"/>
            </w:tcBorders>
            <w:noWrap w:val="0"/>
            <w:vAlign w:val="center"/>
          </w:tcPr>
          <w:p w14:paraId="1B948E9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5499" w:type="dxa"/>
            <w:tcBorders>
              <w:top w:val="nil"/>
              <w:left w:val="nil"/>
              <w:bottom w:val="nil"/>
              <w:right w:val="nil"/>
            </w:tcBorders>
            <w:noWrap w:val="0"/>
            <w:vAlign w:val="center"/>
          </w:tcPr>
          <w:p w14:paraId="51A7CB89">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c>
          <w:tcPr>
            <w:tcW w:w="598" w:type="dxa"/>
            <w:tcBorders>
              <w:top w:val="nil"/>
              <w:left w:val="nil"/>
              <w:bottom w:val="nil"/>
              <w:right w:val="nil"/>
            </w:tcBorders>
            <w:noWrap/>
            <w:vAlign w:val="center"/>
          </w:tcPr>
          <w:p w14:paraId="21C74A1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729" w:type="dxa"/>
            <w:tcBorders>
              <w:top w:val="nil"/>
              <w:left w:val="nil"/>
              <w:bottom w:val="nil"/>
              <w:right w:val="nil"/>
            </w:tcBorders>
            <w:noWrap/>
            <w:vAlign w:val="center"/>
          </w:tcPr>
          <w:p w14:paraId="5D4E4C6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8"/>
                <w:szCs w:val="28"/>
                <w:u w:val="none"/>
              </w:rPr>
            </w:pPr>
          </w:p>
        </w:tc>
        <w:tc>
          <w:tcPr>
            <w:tcW w:w="638" w:type="dxa"/>
            <w:tcBorders>
              <w:top w:val="nil"/>
              <w:left w:val="nil"/>
              <w:bottom w:val="nil"/>
              <w:right w:val="nil"/>
            </w:tcBorders>
            <w:noWrap/>
            <w:vAlign w:val="center"/>
          </w:tcPr>
          <w:p w14:paraId="5EDCA338">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8"/>
                <w:szCs w:val="28"/>
                <w:u w:val="none"/>
              </w:rPr>
            </w:pPr>
          </w:p>
        </w:tc>
      </w:tr>
      <w:tr w14:paraId="5F11F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9120" w:type="dxa"/>
            <w:gridSpan w:val="6"/>
            <w:tcBorders>
              <w:top w:val="nil"/>
              <w:left w:val="nil"/>
              <w:bottom w:val="nil"/>
              <w:right w:val="nil"/>
            </w:tcBorders>
            <w:noWrap/>
            <w:vAlign w:val="center"/>
          </w:tcPr>
          <w:p w14:paraId="5860EC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考核人员：                  考核时间：</w:t>
            </w:r>
          </w:p>
        </w:tc>
      </w:tr>
    </w:tbl>
    <w:p w14:paraId="5112F507">
      <w:pPr>
        <w:pStyle w:val="14"/>
        <w:numPr>
          <w:ilvl w:val="0"/>
          <w:numId w:val="0"/>
        </w:numPr>
        <w:adjustRightInd/>
        <w:snapToGrid/>
        <w:rPr>
          <w:rFonts w:hint="default" w:ascii="仿宋_GB2312" w:hAnsi="仿宋_GB2312" w:eastAsia="仿宋_GB2312" w:cs="仿宋_GB2312"/>
          <w:sz w:val="32"/>
          <w:szCs w:val="32"/>
          <w:lang w:val="en-US" w:eastAsia="zh-CN"/>
        </w:rPr>
      </w:pPr>
    </w:p>
    <w:p w14:paraId="15D37DA7">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lang w:val="en-US" w:eastAsia="zh-CN"/>
        </w:rPr>
      </w:pPr>
    </w:p>
    <w:sectPr>
      <w:footerReference r:id="rId3" w:type="default"/>
      <w:pgSz w:w="11906" w:h="16838"/>
      <w:pgMar w:top="1701" w:right="1417" w:bottom="1417"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1ABDE1-B3A5-42C4-A3BF-52FA094A1D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F994CAA-0238-4FF4-B373-479C70FBC65E}"/>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74B915D8-6316-4390-8458-D68A0989E5D2}"/>
  </w:font>
  <w:font w:name="方正小标宋简体">
    <w:panose1 w:val="00000600000000000000"/>
    <w:charset w:val="86"/>
    <w:family w:val="auto"/>
    <w:pitch w:val="default"/>
    <w:sig w:usb0="800002BF" w:usb1="184F6CF8" w:usb2="00000012" w:usb3="00000000" w:csb0="00160001" w:csb1="12030000"/>
    <w:embedRegular r:id="rId4" w:fontKey="{77D426E1-A405-4DFD-8B76-846375C99AB3}"/>
  </w:font>
  <w:font w:name="方正仿宋_GB2312">
    <w:altName w:val="仿宋"/>
    <w:panose1 w:val="02000000000000000000"/>
    <w:charset w:val="86"/>
    <w:family w:val="auto"/>
    <w:pitch w:val="default"/>
    <w:sig w:usb0="00000000" w:usb1="00000000" w:usb2="00000012" w:usb3="00000000" w:csb0="00040001" w:csb1="00000000"/>
    <w:embedRegular r:id="rId5" w:fontKey="{34A35923-FDF8-4E6F-95DF-9C163E89E4AE}"/>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 w:name="KSOFE8859BCF">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644F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C8BA3">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9C8BA3">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B7E60"/>
    <w:rsid w:val="00F3032F"/>
    <w:rsid w:val="01417A67"/>
    <w:rsid w:val="02AD361F"/>
    <w:rsid w:val="0639670C"/>
    <w:rsid w:val="06A81AFB"/>
    <w:rsid w:val="073B3D90"/>
    <w:rsid w:val="07846919"/>
    <w:rsid w:val="08420D37"/>
    <w:rsid w:val="087552AA"/>
    <w:rsid w:val="0A3B59B5"/>
    <w:rsid w:val="0BAA30DE"/>
    <w:rsid w:val="11AF2B9A"/>
    <w:rsid w:val="11C0062D"/>
    <w:rsid w:val="127B4B72"/>
    <w:rsid w:val="16AD19E8"/>
    <w:rsid w:val="19455F67"/>
    <w:rsid w:val="1AF46921"/>
    <w:rsid w:val="1CCD0A09"/>
    <w:rsid w:val="1F9E068D"/>
    <w:rsid w:val="1FEA15B7"/>
    <w:rsid w:val="222D60D3"/>
    <w:rsid w:val="229F4E2E"/>
    <w:rsid w:val="22C8703A"/>
    <w:rsid w:val="243C43AB"/>
    <w:rsid w:val="2472601F"/>
    <w:rsid w:val="255D282B"/>
    <w:rsid w:val="259B45A6"/>
    <w:rsid w:val="259F3AA3"/>
    <w:rsid w:val="271A1EB4"/>
    <w:rsid w:val="2B870C6C"/>
    <w:rsid w:val="2C493B09"/>
    <w:rsid w:val="2CA568CE"/>
    <w:rsid w:val="2CED279F"/>
    <w:rsid w:val="2DB2459B"/>
    <w:rsid w:val="308A258E"/>
    <w:rsid w:val="30DD0CC4"/>
    <w:rsid w:val="33884F17"/>
    <w:rsid w:val="35A03288"/>
    <w:rsid w:val="35C366DA"/>
    <w:rsid w:val="36433598"/>
    <w:rsid w:val="3710594F"/>
    <w:rsid w:val="377A36D6"/>
    <w:rsid w:val="37C51675"/>
    <w:rsid w:val="3A180F8A"/>
    <w:rsid w:val="3EB1389C"/>
    <w:rsid w:val="3F474A08"/>
    <w:rsid w:val="3FE760A8"/>
    <w:rsid w:val="46D05BA6"/>
    <w:rsid w:val="4C754727"/>
    <w:rsid w:val="4FDE088E"/>
    <w:rsid w:val="523D7267"/>
    <w:rsid w:val="529E31C7"/>
    <w:rsid w:val="53223693"/>
    <w:rsid w:val="5323139E"/>
    <w:rsid w:val="535449BE"/>
    <w:rsid w:val="538434F5"/>
    <w:rsid w:val="54365683"/>
    <w:rsid w:val="546F7495"/>
    <w:rsid w:val="55402F1C"/>
    <w:rsid w:val="55C45892"/>
    <w:rsid w:val="56406CA6"/>
    <w:rsid w:val="569A05B6"/>
    <w:rsid w:val="5A957D96"/>
    <w:rsid w:val="5BCF72D8"/>
    <w:rsid w:val="5D7F6ADB"/>
    <w:rsid w:val="5E1A0519"/>
    <w:rsid w:val="60FA6BA5"/>
    <w:rsid w:val="63ED479F"/>
    <w:rsid w:val="64C050DA"/>
    <w:rsid w:val="659B7F24"/>
    <w:rsid w:val="662B7800"/>
    <w:rsid w:val="6B282560"/>
    <w:rsid w:val="6B8750E5"/>
    <w:rsid w:val="6BE741CA"/>
    <w:rsid w:val="6DF901E4"/>
    <w:rsid w:val="7157594D"/>
    <w:rsid w:val="719621AF"/>
    <w:rsid w:val="73085AEE"/>
    <w:rsid w:val="73D019E7"/>
    <w:rsid w:val="74575D27"/>
    <w:rsid w:val="7A7611CC"/>
    <w:rsid w:val="7A95643F"/>
    <w:rsid w:val="7B0C5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styleId="9">
    <w:name w:val="Strong"/>
    <w:basedOn w:val="8"/>
    <w:qFormat/>
    <w:uiPriority w:val="0"/>
    <w:rPr>
      <w:b/>
    </w:rPr>
  </w:style>
  <w:style w:type="paragraph" w:customStyle="1" w:styleId="10">
    <w:name w:val="目录 21"/>
    <w:basedOn w:val="1"/>
    <w:next w:val="1"/>
    <w:qFormat/>
    <w:uiPriority w:val="0"/>
    <w:pPr>
      <w:spacing w:before="100" w:beforeAutospacing="1" w:after="100" w:afterAutospacing="1"/>
      <w:ind w:left="420" w:leftChars="200"/>
    </w:pPr>
  </w:style>
  <w:style w:type="paragraph" w:customStyle="1" w:styleId="11">
    <w:name w:val="BodyText1I"/>
    <w:basedOn w:val="12"/>
    <w:qFormat/>
    <w:uiPriority w:val="0"/>
    <w:pPr>
      <w:widowControl/>
      <w:spacing w:before="156" w:line="360" w:lineRule="auto"/>
      <w:ind w:firstLine="200" w:firstLineChars="200"/>
      <w:textAlignment w:val="baseline"/>
    </w:pPr>
    <w:rPr>
      <w:rFonts w:ascii="仿宋_GB2312" w:hAnsi="Times New Roman" w:eastAsia="仿宋_GB2312"/>
      <w:kern w:val="2"/>
      <w:sz w:val="30"/>
      <w:szCs w:val="30"/>
      <w:lang w:val="en-US" w:eastAsia="zh-CN" w:bidi="ar-SA"/>
    </w:rPr>
  </w:style>
  <w:style w:type="paragraph" w:customStyle="1" w:styleId="12">
    <w:name w:val="BodyText"/>
    <w:basedOn w:val="1"/>
    <w:next w:val="13"/>
    <w:qFormat/>
    <w:uiPriority w:val="0"/>
    <w:pPr>
      <w:widowControl/>
      <w:spacing w:before="156"/>
      <w:ind w:firstLine="200" w:firstLineChars="200"/>
      <w:textAlignment w:val="baseline"/>
    </w:pPr>
    <w:rPr>
      <w:rFonts w:ascii="楷体_GB2312" w:hAnsi="Arial" w:eastAsia="楷体_GB2312"/>
      <w:kern w:val="2"/>
      <w:sz w:val="28"/>
      <w:szCs w:val="28"/>
      <w:lang w:val="en-US" w:eastAsia="zh-CN" w:bidi="ar-SA"/>
    </w:rPr>
  </w:style>
  <w:style w:type="paragraph" w:customStyle="1" w:styleId="13">
    <w:name w:val="180"/>
    <w:basedOn w:val="1"/>
    <w:next w:val="1"/>
    <w:qFormat/>
    <w:uiPriority w:val="0"/>
    <w:pPr>
      <w:spacing w:after="160" w:line="259" w:lineRule="auto"/>
      <w:jc w:val="both"/>
      <w:textAlignment w:val="baseline"/>
    </w:pPr>
    <w:rPr>
      <w:rFonts w:ascii="Calibri" w:hAnsi="Calibri" w:eastAsia="宋体"/>
      <w:i/>
      <w:iCs/>
      <w:color w:val="000000"/>
      <w:kern w:val="2"/>
      <w:sz w:val="21"/>
      <w:szCs w:val="24"/>
      <w:lang w:val="en-US" w:eastAsia="zh-CN" w:bidi="ar-SA"/>
    </w:rPr>
  </w:style>
  <w:style w:type="paragraph" w:styleId="14">
    <w:name w:val="No Spacing"/>
    <w:qFormat/>
    <w:uiPriority w:val="1"/>
    <w:pPr>
      <w:widowControl w:val="0"/>
      <w:spacing w:line="240" w:lineRule="auto"/>
      <w:ind w:firstLine="0" w:firstLineChars="0"/>
      <w:jc w:val="both"/>
    </w:pPr>
    <w:rPr>
      <w:rFonts w:ascii="Times New Roman" w:hAnsi="Times New Roman" w:eastAsia="宋体" w:cs="Times New Roman"/>
      <w:kern w:val="2"/>
      <w:sz w:val="21"/>
      <w:szCs w:val="24"/>
      <w:lang w:val="en-US" w:eastAsia="zh-CN" w:bidi="ar-SA"/>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4510</Words>
  <Characters>4656</Characters>
  <Lines>0</Lines>
  <Paragraphs>0</Paragraphs>
  <TotalTime>25</TotalTime>
  <ScaleCrop>false</ScaleCrop>
  <LinksUpToDate>false</LinksUpToDate>
  <CharactersWithSpaces>4755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2026-02-25T08:24:00Z</dcterms:created>
  <dc:creator>HP</dc:creator>
  <cp:lastModifiedBy>碎花裙</cp:lastModifiedBy>
  <dcterms:modified xsi:type="dcterms:W3CDTF">2026-07-07T08:00:34Z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eyJoZGlkIjoiYjE5MDJhNTkyNTIxMTQ0NTIzNDRhNWU2Mjc1OTY0YTciLCJ1c2VySWQiOiIyNzE4MTU5MjcifQ==</vt:lpwstr>
  </property>
  <property fmtid="{D5CDD505-2E9C-101B-9397-08002B2CF9AE}" pid="4" name="ICV">
    <vt:lpwstr>22B630DAB7A0452096D969D8AB1B806B_13</vt:lpwstr>
  </property>
</Properties>
</file>