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938AB4">
      <w:pPr>
        <w:jc w:val="center"/>
        <w:rPr>
          <w:rFonts w:hint="eastAsia"/>
          <w:sz w:val="32"/>
          <w:szCs w:val="32"/>
        </w:rPr>
      </w:pPr>
      <w:r>
        <w:rPr>
          <w:rFonts w:hint="eastAsia"/>
          <w:sz w:val="32"/>
          <w:szCs w:val="32"/>
        </w:rPr>
        <w:t>广西生殖医院电脑采购项目需求</w:t>
      </w:r>
    </w:p>
    <w:tbl>
      <w:tblPr>
        <w:tblStyle w:val="6"/>
        <w:tblW w:w="93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880"/>
        <w:gridCol w:w="4073"/>
        <w:gridCol w:w="981"/>
        <w:gridCol w:w="1137"/>
        <w:gridCol w:w="1394"/>
      </w:tblGrid>
      <w:tr w14:paraId="50FA6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9352" w:type="dxa"/>
            <w:gridSpan w:val="6"/>
            <w:tcBorders>
              <w:tl2br w:val="nil"/>
              <w:tr2bl w:val="nil"/>
            </w:tcBorders>
            <w:noWrap w:val="0"/>
            <w:vAlign w:val="center"/>
          </w:tcPr>
          <w:p w14:paraId="0969909B">
            <w:pPr>
              <w:tabs>
                <w:tab w:val="left" w:pos="8820"/>
              </w:tabs>
              <w:ind w:right="1508" w:rightChars="718"/>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w:t>
            </w:r>
            <w:r>
              <w:rPr>
                <w:rFonts w:hint="eastAsia" w:ascii="仿宋" w:hAnsi="仿宋" w:eastAsia="仿宋" w:cs="仿宋"/>
                <w:sz w:val="28"/>
                <w:szCs w:val="28"/>
              </w:rPr>
              <w:t>项目要求及技术需求</w:t>
            </w:r>
          </w:p>
        </w:tc>
      </w:tr>
      <w:tr w14:paraId="61110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887" w:type="dxa"/>
            <w:tcBorders>
              <w:tl2br w:val="nil"/>
              <w:tr2bl w:val="nil"/>
            </w:tcBorders>
            <w:noWrap w:val="0"/>
            <w:vAlign w:val="center"/>
          </w:tcPr>
          <w:p w14:paraId="191FF90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rPr>
              <w:t>商品名称</w:t>
            </w:r>
          </w:p>
        </w:tc>
        <w:tc>
          <w:tcPr>
            <w:tcW w:w="4953" w:type="dxa"/>
            <w:gridSpan w:val="2"/>
            <w:tcBorders>
              <w:tl2br w:val="nil"/>
              <w:tr2bl w:val="nil"/>
            </w:tcBorders>
            <w:noWrap w:val="0"/>
            <w:vAlign w:val="center"/>
          </w:tcPr>
          <w:p w14:paraId="2D70958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2"/>
                <w:sz w:val="28"/>
                <w:szCs w:val="28"/>
                <w:lang w:val="en-US" w:eastAsia="zh-CN" w:bidi="ar-SA"/>
              </w:rPr>
            </w:pPr>
            <w:r>
              <w:rPr>
                <w:rFonts w:hint="eastAsia" w:ascii="仿宋" w:hAnsi="仿宋" w:eastAsia="仿宋" w:cs="仿宋"/>
                <w:sz w:val="28"/>
                <w:szCs w:val="28"/>
              </w:rPr>
              <w:t>参数要求</w:t>
            </w:r>
          </w:p>
        </w:tc>
        <w:tc>
          <w:tcPr>
            <w:tcW w:w="981" w:type="dxa"/>
            <w:tcBorders>
              <w:tl2br w:val="nil"/>
              <w:tr2bl w:val="nil"/>
            </w:tcBorders>
            <w:noWrap w:val="0"/>
            <w:vAlign w:val="center"/>
          </w:tcPr>
          <w:p w14:paraId="3F4C90F4">
            <w:pPr>
              <w:jc w:val="center"/>
              <w:rPr>
                <w:rFonts w:hint="eastAsia" w:ascii="仿宋" w:hAnsi="仿宋" w:eastAsia="仿宋" w:cs="仿宋"/>
                <w:kern w:val="2"/>
                <w:sz w:val="28"/>
                <w:szCs w:val="28"/>
                <w:lang w:val="en-US" w:eastAsia="zh-CN" w:bidi="ar-SA"/>
              </w:rPr>
            </w:pPr>
            <w:r>
              <w:rPr>
                <w:rFonts w:hint="eastAsia" w:ascii="仿宋" w:hAnsi="仿宋" w:eastAsia="仿宋" w:cs="仿宋"/>
                <w:sz w:val="28"/>
                <w:szCs w:val="28"/>
              </w:rPr>
              <w:t>数量</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台</w:t>
            </w:r>
            <w:r>
              <w:rPr>
                <w:rFonts w:hint="eastAsia" w:ascii="仿宋" w:hAnsi="仿宋" w:eastAsia="仿宋" w:cs="仿宋"/>
                <w:sz w:val="28"/>
                <w:szCs w:val="28"/>
                <w:lang w:eastAsia="zh-CN"/>
              </w:rPr>
              <w:t>）</w:t>
            </w:r>
          </w:p>
        </w:tc>
        <w:tc>
          <w:tcPr>
            <w:tcW w:w="1137" w:type="dxa"/>
            <w:tcBorders>
              <w:tl2br w:val="nil"/>
              <w:tr2bl w:val="nil"/>
            </w:tcBorders>
            <w:noWrap w:val="0"/>
            <w:vAlign w:val="center"/>
          </w:tcPr>
          <w:p w14:paraId="406D9C85">
            <w:pPr>
              <w:jc w:val="center"/>
              <w:rPr>
                <w:rFonts w:hint="eastAsia" w:ascii="仿宋" w:hAnsi="仿宋" w:eastAsia="仿宋" w:cs="仿宋"/>
                <w:kern w:val="2"/>
                <w:sz w:val="28"/>
                <w:szCs w:val="28"/>
                <w:lang w:val="en-US" w:eastAsia="zh-CN" w:bidi="ar-SA"/>
              </w:rPr>
            </w:pPr>
            <w:r>
              <w:rPr>
                <w:rFonts w:hint="eastAsia" w:ascii="仿宋" w:hAnsi="仿宋" w:eastAsia="仿宋" w:cs="仿宋"/>
                <w:sz w:val="28"/>
                <w:szCs w:val="28"/>
              </w:rPr>
              <w:t>意向品牌及型号</w:t>
            </w:r>
          </w:p>
        </w:tc>
        <w:tc>
          <w:tcPr>
            <w:tcW w:w="1394" w:type="dxa"/>
            <w:tcBorders>
              <w:tl2br w:val="nil"/>
              <w:tr2bl w:val="nil"/>
            </w:tcBorders>
            <w:noWrap w:val="0"/>
            <w:vAlign w:val="center"/>
          </w:tcPr>
          <w:p w14:paraId="256DAB01">
            <w:pPr>
              <w:pStyle w:val="4"/>
              <w:snapToGrid w:val="0"/>
              <w:spacing w:line="400" w:lineRule="exact"/>
              <w:jc w:val="center"/>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预算单价</w:t>
            </w:r>
          </w:p>
          <w:p w14:paraId="5B9D0B8E">
            <w:pPr>
              <w:jc w:val="center"/>
              <w:rPr>
                <w:rFonts w:hint="eastAsia" w:ascii="仿宋" w:hAnsi="仿宋" w:eastAsia="仿宋" w:cs="仿宋"/>
                <w:sz w:val="28"/>
                <w:szCs w:val="28"/>
                <w:lang w:eastAsia="zh-CN"/>
              </w:rPr>
            </w:pPr>
            <w:r>
              <w:rPr>
                <w:rFonts w:hint="eastAsia" w:ascii="仿宋" w:hAnsi="仿宋" w:eastAsia="仿宋" w:cs="仿宋"/>
                <w:kern w:val="2"/>
                <w:sz w:val="28"/>
                <w:szCs w:val="28"/>
                <w:lang w:val="en-US" w:eastAsia="zh-CN" w:bidi="ar-SA"/>
              </w:rPr>
              <w:t>（元/台）</w:t>
            </w:r>
          </w:p>
        </w:tc>
      </w:tr>
      <w:tr w14:paraId="58711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87" w:type="dxa"/>
            <w:tcBorders>
              <w:tl2br w:val="nil"/>
              <w:tr2bl w:val="nil"/>
            </w:tcBorders>
            <w:noWrap w:val="0"/>
            <w:vAlign w:val="center"/>
          </w:tcPr>
          <w:p w14:paraId="7C38BA8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8"/>
                <w:szCs w:val="28"/>
                <w:lang w:val="en-US"/>
              </w:rPr>
            </w:pPr>
            <w:r>
              <w:rPr>
                <w:rFonts w:hint="eastAsia" w:ascii="仿宋" w:hAnsi="仿宋" w:eastAsia="仿宋" w:cs="仿宋"/>
                <w:sz w:val="28"/>
                <w:szCs w:val="28"/>
                <w:vertAlign w:val="baseline"/>
                <w:lang w:val="en-US" w:eastAsia="zh-CN"/>
              </w:rPr>
              <w:t>高性能宣传设计专业电脑</w:t>
            </w:r>
          </w:p>
        </w:tc>
        <w:tc>
          <w:tcPr>
            <w:tcW w:w="4953" w:type="dxa"/>
            <w:gridSpan w:val="2"/>
            <w:tcBorders>
              <w:tl2br w:val="nil"/>
              <w:tr2bl w:val="nil"/>
            </w:tcBorders>
            <w:noWrap w:val="0"/>
            <w:vAlign w:val="center"/>
          </w:tcPr>
          <w:p w14:paraId="3A382B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sz w:val="28"/>
                <w:szCs w:val="28"/>
              </w:rPr>
            </w:pPr>
            <w:r>
              <w:rPr>
                <w:rFonts w:hint="eastAsia" w:ascii="仿宋" w:hAnsi="仿宋" w:eastAsia="仿宋" w:cs="仿宋"/>
                <w:sz w:val="28"/>
                <w:szCs w:val="28"/>
              </w:rPr>
              <w:t>1．CPU:</w:t>
            </w:r>
            <w:r>
              <w:rPr>
                <w:rFonts w:hint="eastAsia" w:ascii="仿宋" w:hAnsi="仿宋" w:eastAsia="仿宋" w:cs="仿宋"/>
                <w:sz w:val="28"/>
                <w:szCs w:val="28"/>
                <w:lang w:val="en-US" w:eastAsia="zh-CN"/>
              </w:rPr>
              <w:t>intel</w:t>
            </w:r>
            <w:r>
              <w:rPr>
                <w:rFonts w:hint="eastAsia" w:ascii="仿宋" w:hAnsi="仿宋" w:eastAsia="仿宋" w:cs="仿宋"/>
                <w:sz w:val="28"/>
                <w:szCs w:val="28"/>
              </w:rPr>
              <w:t xml:space="preserve"> i7</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14700KF；</w:t>
            </w:r>
          </w:p>
          <w:p w14:paraId="6E1F7D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2．主板:微星 B760M GAMING PLUS </w:t>
            </w:r>
            <w:r>
              <w:rPr>
                <w:rFonts w:hint="eastAsia" w:ascii="仿宋" w:hAnsi="仿宋" w:eastAsia="仿宋" w:cs="仿宋"/>
                <w:sz w:val="28"/>
                <w:szCs w:val="28"/>
                <w:lang w:val="en-US" w:eastAsia="zh-CN"/>
              </w:rPr>
              <w:t>W</w:t>
            </w:r>
            <w:r>
              <w:rPr>
                <w:rFonts w:hint="eastAsia" w:ascii="仿宋" w:hAnsi="仿宋" w:eastAsia="仿宋" w:cs="仿宋"/>
                <w:sz w:val="28"/>
                <w:szCs w:val="28"/>
              </w:rPr>
              <w:t>iFi；</w:t>
            </w:r>
          </w:p>
          <w:p w14:paraId="45AD1A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sz w:val="28"/>
                <w:szCs w:val="28"/>
              </w:rPr>
            </w:pPr>
            <w:r>
              <w:rPr>
                <w:rFonts w:hint="eastAsia" w:ascii="仿宋" w:hAnsi="仿宋" w:eastAsia="仿宋" w:cs="仿宋"/>
                <w:sz w:val="28"/>
                <w:szCs w:val="28"/>
              </w:rPr>
              <w:t>3．显卡:微星 GeForce RTX 5070Ti 16G ；</w:t>
            </w:r>
          </w:p>
          <w:p w14:paraId="63298A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sz w:val="28"/>
                <w:szCs w:val="28"/>
              </w:rPr>
            </w:pPr>
            <w:r>
              <w:rPr>
                <w:rFonts w:hint="eastAsia" w:ascii="仿宋" w:hAnsi="仿宋" w:eastAsia="仿宋" w:cs="仿宋"/>
                <w:sz w:val="28"/>
                <w:szCs w:val="28"/>
              </w:rPr>
              <w:t>4．内存:32GB DDR5 6000MHz；</w:t>
            </w:r>
          </w:p>
          <w:p w14:paraId="7ABDBB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sz w:val="28"/>
                <w:szCs w:val="28"/>
              </w:rPr>
            </w:pPr>
            <w:r>
              <w:rPr>
                <w:rFonts w:hint="eastAsia" w:ascii="仿宋" w:hAnsi="仿宋" w:eastAsia="仿宋" w:cs="仿宋"/>
                <w:sz w:val="28"/>
                <w:szCs w:val="28"/>
              </w:rPr>
              <w:t>5．硬盘:1TB NVMe PCle4.0 SSD+4T HDD；</w:t>
            </w:r>
          </w:p>
          <w:p w14:paraId="295390B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sz w:val="28"/>
                <w:szCs w:val="28"/>
              </w:rPr>
            </w:pPr>
            <w:r>
              <w:rPr>
                <w:rFonts w:hint="eastAsia" w:ascii="仿宋" w:hAnsi="仿宋" w:eastAsia="仿宋" w:cs="仿宋"/>
                <w:sz w:val="28"/>
                <w:szCs w:val="28"/>
              </w:rPr>
              <w:t>6．电源:</w:t>
            </w:r>
            <w:r>
              <w:rPr>
                <w:rFonts w:hint="eastAsia" w:ascii="仿宋" w:hAnsi="仿宋" w:eastAsia="仿宋" w:cs="仿宋"/>
                <w:sz w:val="28"/>
                <w:szCs w:val="28"/>
                <w:lang w:val="en-US" w:eastAsia="zh-CN"/>
              </w:rPr>
              <w:t>额定功率750W</w:t>
            </w:r>
            <w:r>
              <w:rPr>
                <w:rFonts w:hint="eastAsia" w:ascii="仿宋" w:hAnsi="仿宋" w:eastAsia="仿宋" w:cs="仿宋"/>
                <w:sz w:val="28"/>
                <w:szCs w:val="28"/>
              </w:rPr>
              <w:t>；</w:t>
            </w:r>
          </w:p>
          <w:p w14:paraId="6D79CAD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sz w:val="28"/>
                <w:szCs w:val="28"/>
              </w:rPr>
            </w:pPr>
            <w:r>
              <w:rPr>
                <w:rFonts w:hint="eastAsia" w:ascii="仿宋" w:hAnsi="仿宋" w:eastAsia="仿宋" w:cs="仿宋"/>
                <w:sz w:val="28"/>
                <w:szCs w:val="28"/>
              </w:rPr>
              <w:t>7．散热:</w:t>
            </w:r>
            <w:r>
              <w:rPr>
                <w:rFonts w:hint="eastAsia" w:ascii="仿宋" w:hAnsi="仿宋" w:eastAsia="仿宋" w:cs="仿宋"/>
                <w:sz w:val="28"/>
                <w:szCs w:val="28"/>
                <w:lang w:val="en-US" w:eastAsia="zh-CN"/>
              </w:rPr>
              <w:t>水冷散热器</w:t>
            </w:r>
            <w:r>
              <w:rPr>
                <w:rFonts w:hint="eastAsia" w:ascii="仿宋" w:hAnsi="仿宋" w:eastAsia="仿宋" w:cs="仿宋"/>
                <w:sz w:val="28"/>
                <w:szCs w:val="28"/>
              </w:rPr>
              <w:t>；</w:t>
            </w:r>
          </w:p>
          <w:p w14:paraId="40BB4E6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sz w:val="28"/>
                <w:szCs w:val="28"/>
              </w:rPr>
            </w:pPr>
            <w:r>
              <w:rPr>
                <w:rFonts w:hint="eastAsia" w:ascii="仿宋" w:hAnsi="仿宋" w:eastAsia="仿宋" w:cs="仿宋"/>
                <w:sz w:val="28"/>
                <w:szCs w:val="28"/>
              </w:rPr>
              <w:t>8．系统:正版windows系统；</w:t>
            </w:r>
          </w:p>
          <w:p w14:paraId="5BA36C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60" w:leftChars="0" w:hanging="560" w:hangingChars="200"/>
              <w:jc w:val="left"/>
              <w:textAlignment w:val="auto"/>
              <w:rPr>
                <w:rFonts w:hint="eastAsia" w:ascii="仿宋" w:hAnsi="仿宋" w:eastAsia="仿宋" w:cs="仿宋"/>
                <w:sz w:val="28"/>
                <w:szCs w:val="28"/>
              </w:rPr>
            </w:pPr>
            <w:r>
              <w:rPr>
                <w:rFonts w:hint="eastAsia" w:ascii="仿宋" w:hAnsi="仿宋" w:eastAsia="仿宋" w:cs="仿宋"/>
                <w:sz w:val="28"/>
                <w:szCs w:val="28"/>
              </w:rPr>
              <w:t>9．显示器：AOC 27英寸4K 宙斯盾U27G4 ；</w:t>
            </w:r>
          </w:p>
          <w:p w14:paraId="48F87C2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sz w:val="28"/>
                <w:szCs w:val="28"/>
              </w:rPr>
            </w:pPr>
            <w:r>
              <w:rPr>
                <w:rFonts w:hint="eastAsia" w:ascii="仿宋" w:hAnsi="仿宋" w:eastAsia="仿宋" w:cs="仿宋"/>
                <w:sz w:val="28"/>
                <w:szCs w:val="28"/>
              </w:rPr>
              <w:t>10</w:t>
            </w:r>
            <w:r>
              <w:rPr>
                <w:rFonts w:hint="eastAsia" w:ascii="仿宋" w:hAnsi="仿宋" w:eastAsia="仿宋" w:cs="仿宋"/>
                <w:sz w:val="28"/>
                <w:szCs w:val="28"/>
                <w:lang w:val="en-US" w:eastAsia="zh-CN"/>
              </w:rPr>
              <w:t>.</w:t>
            </w:r>
            <w:r>
              <w:rPr>
                <w:rFonts w:hint="eastAsia" w:ascii="仿宋" w:hAnsi="仿宋" w:eastAsia="仿宋" w:cs="仿宋"/>
                <w:sz w:val="28"/>
                <w:szCs w:val="28"/>
              </w:rPr>
              <w:t>鼠标、键盘。</w:t>
            </w:r>
          </w:p>
        </w:tc>
        <w:tc>
          <w:tcPr>
            <w:tcW w:w="981" w:type="dxa"/>
            <w:tcBorders>
              <w:tl2br w:val="nil"/>
              <w:tr2bl w:val="nil"/>
            </w:tcBorders>
            <w:noWrap w:val="0"/>
            <w:vAlign w:val="center"/>
          </w:tcPr>
          <w:p w14:paraId="70E634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w:t>
            </w:r>
          </w:p>
        </w:tc>
        <w:tc>
          <w:tcPr>
            <w:tcW w:w="1137" w:type="dxa"/>
            <w:tcBorders>
              <w:tl2br w:val="nil"/>
              <w:tr2bl w:val="nil"/>
            </w:tcBorders>
            <w:noWrap w:val="0"/>
            <w:vAlign w:val="center"/>
          </w:tcPr>
          <w:p w14:paraId="6EA9157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微星Aegis宙斯盾RS2 </w:t>
            </w:r>
          </w:p>
        </w:tc>
        <w:tc>
          <w:tcPr>
            <w:tcW w:w="1394" w:type="dxa"/>
            <w:tcBorders>
              <w:tl2br w:val="nil"/>
              <w:tr2bl w:val="nil"/>
            </w:tcBorders>
            <w:noWrap w:val="0"/>
            <w:vAlign w:val="center"/>
          </w:tcPr>
          <w:p w14:paraId="166E03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20000</w:t>
            </w:r>
          </w:p>
        </w:tc>
      </w:tr>
      <w:tr w14:paraId="72330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887" w:type="dxa"/>
            <w:tcBorders>
              <w:tl2br w:val="nil"/>
              <w:tr2bl w:val="nil"/>
            </w:tcBorders>
            <w:noWrap w:val="0"/>
            <w:vAlign w:val="center"/>
          </w:tcPr>
          <w:p w14:paraId="341EC7E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检验分析电脑</w:t>
            </w:r>
          </w:p>
        </w:tc>
        <w:tc>
          <w:tcPr>
            <w:tcW w:w="4953" w:type="dxa"/>
            <w:gridSpan w:val="2"/>
            <w:tcBorders>
              <w:tl2br w:val="nil"/>
              <w:tr2bl w:val="nil"/>
            </w:tcBorders>
            <w:noWrap w:val="0"/>
            <w:vAlign w:val="center"/>
          </w:tcPr>
          <w:p w14:paraId="102639EC">
            <w:pPr>
              <w:numPr>
                <w:ilvl w:val="0"/>
                <w:numId w:val="1"/>
              </w:numPr>
              <w:ind w:left="425" w:leftChars="0" w:hanging="425" w:firstLineChars="0"/>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CPU：intel i5 14400F；</w:t>
            </w:r>
          </w:p>
          <w:p w14:paraId="43F0EDB0">
            <w:pPr>
              <w:numPr>
                <w:ilvl w:val="0"/>
                <w:numId w:val="1"/>
              </w:numPr>
              <w:ind w:left="425" w:leftChars="0" w:hanging="425" w:firstLineChars="0"/>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散热：4热管高效风冷塔式散热；</w:t>
            </w:r>
          </w:p>
          <w:p w14:paraId="6EE741B6">
            <w:pPr>
              <w:numPr>
                <w:ilvl w:val="0"/>
                <w:numId w:val="1"/>
              </w:numPr>
              <w:ind w:left="425" w:leftChars="0" w:hanging="425" w:firstLineChars="0"/>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主板：微星 PRO H610M-S DDR4 ；</w:t>
            </w:r>
          </w:p>
          <w:p w14:paraId="0D272893">
            <w:pPr>
              <w:numPr>
                <w:ilvl w:val="0"/>
                <w:numId w:val="1"/>
              </w:numPr>
              <w:ind w:left="425" w:leftChars="0" w:hanging="425" w:firstLineChars="0"/>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显卡：微星 GeForce RTX 3050 6GB ；</w:t>
            </w:r>
          </w:p>
          <w:p w14:paraId="24B28523">
            <w:pPr>
              <w:numPr>
                <w:ilvl w:val="0"/>
                <w:numId w:val="1"/>
              </w:numPr>
              <w:ind w:left="425" w:leftChars="0" w:hanging="425" w:firstLineChars="0"/>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内存：16GB DDR4；</w:t>
            </w:r>
          </w:p>
          <w:p w14:paraId="5DFB023D">
            <w:pPr>
              <w:numPr>
                <w:ilvl w:val="0"/>
                <w:numId w:val="1"/>
              </w:numPr>
              <w:ind w:left="425" w:leftChars="0" w:hanging="425" w:firstLineChars="0"/>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硬盘：1TB NVMe PCle4.0 SSD；</w:t>
            </w:r>
          </w:p>
          <w:p w14:paraId="29803320">
            <w:pPr>
              <w:numPr>
                <w:ilvl w:val="0"/>
                <w:numId w:val="1"/>
              </w:numPr>
              <w:ind w:left="425" w:leftChars="0" w:hanging="425" w:firstLineChars="0"/>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系统:正版windows系统；</w:t>
            </w:r>
          </w:p>
          <w:p w14:paraId="0702E253">
            <w:pPr>
              <w:numPr>
                <w:ilvl w:val="0"/>
                <w:numId w:val="1"/>
              </w:numPr>
              <w:ind w:left="425" w:leftChars="0" w:hanging="425" w:firstLineChars="0"/>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显示器：AOC 27英寸显示器；</w:t>
            </w:r>
          </w:p>
          <w:p w14:paraId="5CA51C48">
            <w:pPr>
              <w:numPr>
                <w:ilvl w:val="0"/>
                <w:numId w:val="1"/>
              </w:numPr>
              <w:ind w:left="425" w:leftChars="0" w:hanging="425" w:firstLineChars="0"/>
              <w:rPr>
                <w:rFonts w:hint="eastAsia" w:ascii="仿宋" w:hAnsi="仿宋" w:eastAsia="仿宋" w:cs="仿宋"/>
                <w:sz w:val="28"/>
                <w:szCs w:val="28"/>
                <w:vertAlign w:val="baseline"/>
                <w:lang w:val="en-US" w:eastAsia="zh-CN"/>
              </w:rPr>
            </w:pPr>
            <w:r>
              <w:rPr>
                <w:rFonts w:hint="eastAsia" w:ascii="仿宋_GB2312" w:hAnsi="仿宋_GB2312" w:eastAsia="仿宋_GB2312" w:cs="仿宋_GB2312"/>
                <w:sz w:val="30"/>
                <w:szCs w:val="30"/>
                <w:vertAlign w:val="baseline"/>
                <w:lang w:val="en-US" w:eastAsia="zh-CN"/>
              </w:rPr>
              <w:t>鼠标、键盘；</w:t>
            </w:r>
          </w:p>
        </w:tc>
        <w:tc>
          <w:tcPr>
            <w:tcW w:w="981" w:type="dxa"/>
            <w:tcBorders>
              <w:tl2br w:val="nil"/>
              <w:tr2bl w:val="nil"/>
            </w:tcBorders>
            <w:noWrap w:val="0"/>
            <w:vAlign w:val="center"/>
          </w:tcPr>
          <w:p w14:paraId="599DB65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w:t>
            </w:r>
          </w:p>
        </w:tc>
        <w:tc>
          <w:tcPr>
            <w:tcW w:w="1137" w:type="dxa"/>
            <w:tcBorders>
              <w:tl2br w:val="nil"/>
              <w:tr2bl w:val="nil"/>
            </w:tcBorders>
            <w:noWrap w:val="0"/>
            <w:vAlign w:val="center"/>
          </w:tcPr>
          <w:p w14:paraId="4BB4CB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微星Creator设计师P70 </w:t>
            </w:r>
          </w:p>
        </w:tc>
        <w:tc>
          <w:tcPr>
            <w:tcW w:w="1394" w:type="dxa"/>
            <w:tcBorders>
              <w:tl2br w:val="nil"/>
              <w:tr2bl w:val="nil"/>
            </w:tcBorders>
            <w:noWrap w:val="0"/>
            <w:vAlign w:val="center"/>
          </w:tcPr>
          <w:p w14:paraId="4267BC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6500</w:t>
            </w:r>
          </w:p>
        </w:tc>
      </w:tr>
      <w:tr w14:paraId="683E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352" w:type="dxa"/>
            <w:gridSpan w:val="6"/>
            <w:tcBorders>
              <w:tl2br w:val="nil"/>
              <w:tr2bl w:val="nil"/>
            </w:tcBorders>
            <w:noWrap w:val="0"/>
            <w:vAlign w:val="center"/>
          </w:tcPr>
          <w:p w14:paraId="1550A3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sz w:val="28"/>
                <w:szCs w:val="28"/>
                <w:lang w:val="en-US" w:eastAsia="zh-CN"/>
              </w:rPr>
            </w:pPr>
            <w:bookmarkStart w:id="0" w:name="_GoBack"/>
            <w:bookmarkEnd w:id="0"/>
            <w:r>
              <w:rPr>
                <w:rFonts w:hint="eastAsia" w:ascii="仿宋" w:hAnsi="仿宋" w:eastAsia="仿宋" w:cs="仿宋"/>
                <w:sz w:val="28"/>
                <w:szCs w:val="28"/>
                <w:lang w:val="en-US" w:eastAsia="zh-CN"/>
              </w:rPr>
              <w:t>（二）、商务要求</w:t>
            </w:r>
          </w:p>
        </w:tc>
      </w:tr>
      <w:tr w14:paraId="0DFE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767" w:type="dxa"/>
            <w:gridSpan w:val="2"/>
            <w:tcBorders>
              <w:tl2br w:val="nil"/>
              <w:tr2bl w:val="nil"/>
            </w:tcBorders>
            <w:noWrap w:val="0"/>
            <w:vAlign w:val="center"/>
          </w:tcPr>
          <w:p w14:paraId="3C459C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报价要求</w:t>
            </w:r>
          </w:p>
        </w:tc>
        <w:tc>
          <w:tcPr>
            <w:tcW w:w="6191" w:type="dxa"/>
            <w:gridSpan w:val="3"/>
            <w:tcBorders>
              <w:tl2br w:val="nil"/>
              <w:tr2bl w:val="nil"/>
            </w:tcBorders>
            <w:noWrap w:val="0"/>
            <w:vAlign w:val="center"/>
          </w:tcPr>
          <w:p w14:paraId="104E62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本项目为总价包干，竞标报价包含货物、服务、货物标准附件、备品备件、专用工具、设备安装辅材、施工辅材、包装、运输、装卸、保险、、税金、验收检测费、合理利润、售后服务、技术培训及其他所有成本费用，以及合同明示或暗示的所有责任、义务和一般风险等一切费用。</w:t>
            </w:r>
          </w:p>
        </w:tc>
        <w:tc>
          <w:tcPr>
            <w:tcW w:w="1394" w:type="dxa"/>
            <w:tcBorders>
              <w:tl2br w:val="nil"/>
              <w:tr2bl w:val="nil"/>
            </w:tcBorders>
            <w:noWrap w:val="0"/>
            <w:vAlign w:val="center"/>
          </w:tcPr>
          <w:p w14:paraId="60B3DD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sz w:val="28"/>
                <w:szCs w:val="28"/>
                <w:lang w:val="en-US" w:eastAsia="zh-CN"/>
              </w:rPr>
            </w:pPr>
          </w:p>
        </w:tc>
      </w:tr>
      <w:tr w14:paraId="46E3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767" w:type="dxa"/>
            <w:gridSpan w:val="2"/>
            <w:tcBorders>
              <w:tl2br w:val="nil"/>
              <w:tr2bl w:val="nil"/>
            </w:tcBorders>
            <w:noWrap w:val="0"/>
            <w:vAlign w:val="center"/>
          </w:tcPr>
          <w:p w14:paraId="1DFC8D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付款方式</w:t>
            </w:r>
          </w:p>
        </w:tc>
        <w:tc>
          <w:tcPr>
            <w:tcW w:w="6191" w:type="dxa"/>
            <w:gridSpan w:val="3"/>
            <w:tcBorders>
              <w:tl2br w:val="nil"/>
              <w:tr2bl w:val="nil"/>
            </w:tcBorders>
            <w:noWrap w:val="0"/>
            <w:vAlign w:val="center"/>
          </w:tcPr>
          <w:p w14:paraId="3015CF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本项目的全部货物经最终验收合格后15个工作日内，采购人凭成交供应商开具的全额发票向成交供应商支付全部合同价款。</w:t>
            </w:r>
          </w:p>
        </w:tc>
        <w:tc>
          <w:tcPr>
            <w:tcW w:w="1394" w:type="dxa"/>
            <w:tcBorders>
              <w:tl2br w:val="nil"/>
              <w:tr2bl w:val="nil"/>
            </w:tcBorders>
            <w:noWrap w:val="0"/>
            <w:vAlign w:val="center"/>
          </w:tcPr>
          <w:p w14:paraId="3C1559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sz w:val="28"/>
                <w:szCs w:val="28"/>
                <w:lang w:val="en-US" w:eastAsia="zh-CN"/>
              </w:rPr>
            </w:pPr>
          </w:p>
        </w:tc>
      </w:tr>
      <w:tr w14:paraId="3B8F4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767" w:type="dxa"/>
            <w:gridSpan w:val="2"/>
            <w:tcBorders>
              <w:tl2br w:val="nil"/>
              <w:tr2bl w:val="nil"/>
            </w:tcBorders>
            <w:noWrap w:val="0"/>
            <w:vAlign w:val="center"/>
          </w:tcPr>
          <w:p w14:paraId="12696A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质量要求</w:t>
            </w:r>
          </w:p>
        </w:tc>
        <w:tc>
          <w:tcPr>
            <w:tcW w:w="6191" w:type="dxa"/>
            <w:gridSpan w:val="3"/>
            <w:tcBorders>
              <w:tl2br w:val="nil"/>
              <w:tr2bl w:val="nil"/>
            </w:tcBorders>
            <w:noWrap w:val="0"/>
            <w:vAlign w:val="center"/>
          </w:tcPr>
          <w:p w14:paraId="0677D57F">
            <w:pPr>
              <w:pStyle w:val="3"/>
              <w:spacing w:line="400" w:lineRule="exact"/>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1．采购货物必须满足采购需求的全部功能，一旦发现与招标参数不符，即使设备已交付使用，采购人有权中止合同，无条件退货，且成交供应商需赔偿采购人的相关损失。</w:t>
            </w:r>
          </w:p>
          <w:p w14:paraId="05738A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sz w:val="28"/>
                <w:szCs w:val="28"/>
                <w:lang w:val="en-US" w:eastAsia="zh-CN"/>
              </w:rPr>
            </w:pPr>
            <w:r>
              <w:rPr>
                <w:rFonts w:hint="eastAsia" w:ascii="仿宋" w:hAnsi="仿宋" w:eastAsia="仿宋" w:cs="仿宋"/>
                <w:kern w:val="2"/>
                <w:sz w:val="28"/>
                <w:szCs w:val="28"/>
                <w:lang w:val="en-US" w:eastAsia="zh-CN" w:bidi="ar-SA"/>
              </w:rPr>
              <w:t>2．为保证设备的可靠性服务，按国家有关产品“三包”规定执行“三包”。</w:t>
            </w:r>
          </w:p>
        </w:tc>
        <w:tc>
          <w:tcPr>
            <w:tcW w:w="1394" w:type="dxa"/>
            <w:tcBorders>
              <w:tl2br w:val="nil"/>
              <w:tr2bl w:val="nil"/>
            </w:tcBorders>
            <w:noWrap w:val="0"/>
            <w:vAlign w:val="center"/>
          </w:tcPr>
          <w:p w14:paraId="674B01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kern w:val="2"/>
                <w:sz w:val="28"/>
                <w:szCs w:val="28"/>
                <w:lang w:val="en-US" w:eastAsia="zh-CN" w:bidi="ar-SA"/>
              </w:rPr>
            </w:pPr>
          </w:p>
        </w:tc>
      </w:tr>
      <w:tr w14:paraId="0E3D2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767" w:type="dxa"/>
            <w:gridSpan w:val="2"/>
            <w:tcBorders>
              <w:tl2br w:val="nil"/>
              <w:tr2bl w:val="nil"/>
            </w:tcBorders>
            <w:noWrap w:val="0"/>
            <w:vAlign w:val="center"/>
          </w:tcPr>
          <w:p w14:paraId="7C1843B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质保期及售后服务要求</w:t>
            </w:r>
          </w:p>
        </w:tc>
        <w:tc>
          <w:tcPr>
            <w:tcW w:w="6191" w:type="dxa"/>
            <w:gridSpan w:val="3"/>
            <w:tcBorders>
              <w:tl2br w:val="nil"/>
              <w:tr2bl w:val="nil"/>
            </w:tcBorders>
            <w:noWrap w:val="0"/>
            <w:vAlign w:val="center"/>
          </w:tcPr>
          <w:p w14:paraId="33FC82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1.质保期为</w:t>
            </w:r>
            <w:r>
              <w:rPr>
                <w:rFonts w:hint="eastAsia" w:ascii="仿宋" w:hAnsi="仿宋" w:eastAsia="仿宋" w:cs="仿宋"/>
                <w:kern w:val="2"/>
                <w:sz w:val="28"/>
                <w:szCs w:val="28"/>
                <w:u w:val="single"/>
                <w:lang w:val="en-US" w:eastAsia="zh-CN" w:bidi="ar-SA"/>
              </w:rPr>
              <w:t>五</w:t>
            </w:r>
            <w:r>
              <w:rPr>
                <w:rFonts w:hint="eastAsia" w:ascii="仿宋" w:hAnsi="仿宋" w:eastAsia="仿宋" w:cs="仿宋"/>
                <w:kern w:val="2"/>
                <w:sz w:val="28"/>
                <w:szCs w:val="28"/>
                <w:lang w:val="en-US" w:eastAsia="zh-CN" w:bidi="ar-SA"/>
              </w:rPr>
              <w:t>年，自通过验收合格之日起至质保期届满且经采购人确认无任何质量问题时止。质保期内，提供免费上门维修服务，免收维修费和配件费，保障正常运行并提供终身技术支持；</w:t>
            </w:r>
          </w:p>
          <w:p w14:paraId="6D543D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2.免费送货上门，免费安装调试合格。</w:t>
            </w:r>
          </w:p>
          <w:p w14:paraId="0675E1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lang w:val="en-US" w:eastAsia="zh-CN"/>
              </w:rPr>
            </w:pPr>
            <w:r>
              <w:rPr>
                <w:rFonts w:hint="eastAsia" w:ascii="仿宋" w:hAnsi="仿宋" w:eastAsia="仿宋" w:cs="仿宋"/>
                <w:kern w:val="2"/>
                <w:sz w:val="28"/>
                <w:szCs w:val="28"/>
                <w:lang w:val="en-US" w:eastAsia="zh-CN" w:bidi="ar-SA"/>
              </w:rPr>
              <w:t>3.提供全年7×24小时服务（电话、远程或现场），接到故障通知后，30分钟内必须响应，24小时内给予修复。</w:t>
            </w:r>
          </w:p>
        </w:tc>
        <w:tc>
          <w:tcPr>
            <w:tcW w:w="1394" w:type="dxa"/>
            <w:tcBorders>
              <w:tl2br w:val="nil"/>
              <w:tr2bl w:val="nil"/>
            </w:tcBorders>
            <w:noWrap w:val="0"/>
            <w:vAlign w:val="center"/>
          </w:tcPr>
          <w:p w14:paraId="2CE042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kern w:val="2"/>
                <w:sz w:val="28"/>
                <w:szCs w:val="28"/>
                <w:lang w:val="en-US" w:eastAsia="zh-CN" w:bidi="ar-SA"/>
              </w:rPr>
            </w:pPr>
          </w:p>
        </w:tc>
      </w:tr>
      <w:tr w14:paraId="2747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767" w:type="dxa"/>
            <w:gridSpan w:val="2"/>
            <w:tcBorders>
              <w:tl2br w:val="nil"/>
              <w:tr2bl w:val="nil"/>
            </w:tcBorders>
            <w:noWrap w:val="0"/>
            <w:vAlign w:val="center"/>
          </w:tcPr>
          <w:p w14:paraId="772552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交货时间及地点</w:t>
            </w:r>
          </w:p>
        </w:tc>
        <w:tc>
          <w:tcPr>
            <w:tcW w:w="6191" w:type="dxa"/>
            <w:gridSpan w:val="3"/>
            <w:tcBorders>
              <w:tl2br w:val="nil"/>
              <w:tr2bl w:val="nil"/>
            </w:tcBorders>
            <w:noWrap w:val="0"/>
            <w:vAlign w:val="center"/>
          </w:tcPr>
          <w:p w14:paraId="74A503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1.供货安装时间：合同签订之日起 15个工作日内，成交供应商须按采购人的要求全部供货调试完毕。如果出现不能按时供货，则视为成交供应商违约，采购人有权终止合同，并追究成交供应商的违约责任，所造成的损失由成交供应商承担。</w:t>
            </w:r>
          </w:p>
          <w:p w14:paraId="4F7CF9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2.交货地点：广西南宁市采购人指定地点。</w:t>
            </w:r>
          </w:p>
          <w:p w14:paraId="6C0E5D5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3.成交供应商提供不符合需求规定的货物，采购人有权拒绝接受。</w:t>
            </w:r>
          </w:p>
          <w:p w14:paraId="42F4A8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4.成交供应商应将所提供货物的装箱清单、用户手册、原厂保修卡、随机资料、工具和备品、配件等一并交付给采购人，如有缺失应及时补齐，否则视为逾期交货。</w:t>
            </w:r>
          </w:p>
        </w:tc>
        <w:tc>
          <w:tcPr>
            <w:tcW w:w="1394" w:type="dxa"/>
            <w:tcBorders>
              <w:tl2br w:val="nil"/>
              <w:tr2bl w:val="nil"/>
            </w:tcBorders>
            <w:noWrap w:val="0"/>
            <w:vAlign w:val="center"/>
          </w:tcPr>
          <w:p w14:paraId="58A135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kern w:val="2"/>
                <w:sz w:val="28"/>
                <w:szCs w:val="28"/>
                <w:lang w:val="en-US" w:eastAsia="zh-CN" w:bidi="ar-SA"/>
              </w:rPr>
            </w:pPr>
          </w:p>
        </w:tc>
      </w:tr>
    </w:tbl>
    <w:p w14:paraId="7882A606">
      <w:pPr>
        <w:jc w:val="center"/>
        <w:rPr>
          <w:rFonts w:hint="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F0F36E"/>
    <w:multiLevelType w:val="singleLevel"/>
    <w:tmpl w:val="21F0F36E"/>
    <w:lvl w:ilvl="0" w:tentative="0">
      <w:start w:val="1"/>
      <w:numFmt w:val="decimal"/>
      <w:suff w:val="nothing"/>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C46F19"/>
    <w:rsid w:val="0EF97178"/>
    <w:rsid w:val="15D97C0F"/>
    <w:rsid w:val="1B5D1079"/>
    <w:rsid w:val="1D593CF3"/>
    <w:rsid w:val="42587746"/>
    <w:rsid w:val="45DF68CB"/>
    <w:rsid w:val="4D145C99"/>
    <w:rsid w:val="64F07602"/>
    <w:rsid w:val="657B1D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index 8"/>
    <w:basedOn w:val="1"/>
    <w:next w:val="1"/>
    <w:unhideWhenUsed/>
    <w:qFormat/>
    <w:uiPriority w:val="0"/>
    <w:pPr>
      <w:widowControl/>
      <w:ind w:left="1400" w:leftChars="1400"/>
    </w:pPr>
    <w:rPr>
      <w:rFonts w:ascii="宋体"/>
      <w:kern w:val="0"/>
      <w:sz w:val="34"/>
      <w:szCs w:val="22"/>
    </w:rPr>
  </w:style>
  <w:style w:type="paragraph" w:styleId="3">
    <w:name w:val="Body Text"/>
    <w:basedOn w:val="1"/>
    <w:unhideWhenUsed/>
    <w:qFormat/>
    <w:uiPriority w:val="99"/>
    <w:pPr>
      <w:spacing w:after="120"/>
    </w:pPr>
  </w:style>
  <w:style w:type="paragraph" w:styleId="4">
    <w:name w:val="Plain Text"/>
    <w:basedOn w:val="1"/>
    <w:next w:val="2"/>
    <w:qFormat/>
    <w:uiPriority w:val="0"/>
    <w:rPr>
      <w:rFonts w:ascii="宋体" w:hAnsi="Courier New" w:cs="Courier New"/>
      <w:szCs w:val="21"/>
    </w:rPr>
  </w:style>
  <w:style w:type="table" w:styleId="6">
    <w:name w:val="Table Grid"/>
    <w:basedOn w:val="5"/>
    <w:qFormat/>
    <w:uiPriority w:val="59"/>
    <w:rPr>
      <w:rFonts w:ascii="Calibri" w:hAnsi="Calibri" w:eastAsia="宋体" w:cs="Times New Roman"/>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1044</Words>
  <Characters>1306</Characters>
  <Lines>0</Lines>
  <Paragraphs>0</Paragraphs>
  <TotalTime>980</TotalTime>
  <ScaleCrop>false</ScaleCrop>
  <LinksUpToDate>false</LinksUpToDate>
  <CharactersWithSpaces>1357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2026-07-01T08:05:00Z</dcterms:created>
  <dc:creator>Administrator</dc:creator>
  <cp:lastModifiedBy>梁璟</cp:lastModifiedBy>
  <dcterms:modified xsi:type="dcterms:W3CDTF">2026-07-21T01:46:39Z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eyJoZGlkIjoiMWNkOGFlZDM1NTkzMTg4MjViOWI4YWFhZWMzYTg5ODMiLCJ1c2VySWQiOiI4NzE5NjYxNDQifQ==</vt:lpwstr>
  </property>
  <property fmtid="{D5CDD505-2E9C-101B-9397-08002B2CF9AE}" pid="4" name="ICV">
    <vt:lpwstr>6048160937104DF9A13088D05AC79994_12</vt:lpwstr>
  </property>
</Properties>
</file>