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86C080">
      <w:pPr>
        <w:spacing w:line="560" w:lineRule="exact"/>
        <w:ind w:firstLine="2200" w:firstLineChars="500"/>
        <w:rPr>
          <w:rFonts w:hint="eastAsia" w:ascii="方正小标宋简体" w:hAnsi="方正小标宋简体" w:eastAsia="方正小标宋简体" w:cs="方正小标宋简体"/>
          <w:sz w:val="44"/>
          <w:szCs w:val="44"/>
        </w:rPr>
      </w:pPr>
    </w:p>
    <w:p w14:paraId="29757CA2">
      <w:pPr>
        <w:spacing w:line="560" w:lineRule="exact"/>
        <w:ind w:firstLine="2200" w:firstLineChars="500"/>
        <w:rPr>
          <w:rFonts w:hint="eastAsia" w:ascii="方正小标宋简体" w:hAnsi="方正小标宋简体" w:eastAsia="方正小标宋简体" w:cs="方正小标宋简体"/>
          <w:sz w:val="44"/>
          <w:szCs w:val="44"/>
        </w:rPr>
      </w:pPr>
    </w:p>
    <w:p w14:paraId="5E27D3AD">
      <w:pPr>
        <w:spacing w:line="560" w:lineRule="exact"/>
        <w:ind w:firstLine="2200" w:firstLineChars="500"/>
        <w:rPr>
          <w:rFonts w:hint="eastAsia" w:ascii="方正小标宋简体" w:hAnsi="方正小标宋简体" w:eastAsia="方正小标宋简体" w:cs="方正小标宋简体"/>
          <w:sz w:val="44"/>
          <w:szCs w:val="44"/>
        </w:rPr>
      </w:pPr>
    </w:p>
    <w:p w14:paraId="0E7F512D">
      <w:pPr>
        <w:spacing w:line="560" w:lineRule="exact"/>
        <w:ind w:firstLine="2200" w:firstLineChars="500"/>
        <w:rPr>
          <w:rFonts w:hint="eastAsia" w:ascii="方正小标宋简体" w:hAnsi="方正小标宋简体" w:eastAsia="方正小标宋简体" w:cs="方正小标宋简体"/>
          <w:sz w:val="44"/>
          <w:szCs w:val="44"/>
        </w:rPr>
      </w:pPr>
    </w:p>
    <w:p w14:paraId="186C242A">
      <w:pPr>
        <w:spacing w:line="560" w:lineRule="exact"/>
        <w:ind w:left="3200" w:leftChars="600" w:hanging="1760" w:hangingChars="400"/>
        <w:rPr>
          <w:rFonts w:hint="eastAsia" w:ascii="方正小标宋简体" w:hAnsi="方正小标宋简体" w:eastAsia="方正小标宋简体" w:cs="方正小标宋简体"/>
          <w:sz w:val="44"/>
          <w:szCs w:val="44"/>
          <w:lang w:val="en-US" w:eastAsia="zh-CN"/>
        </w:rPr>
      </w:pPr>
    </w:p>
    <w:p w14:paraId="5175A8E7">
      <w:pPr>
        <w:spacing w:line="560" w:lineRule="exact"/>
        <w:ind w:left="3200" w:leftChars="600" w:hanging="1760" w:hangingChars="400"/>
        <w:rPr>
          <w:rFonts w:hint="eastAsia" w:ascii="方正小标宋简体" w:hAnsi="方正小标宋简体" w:eastAsia="方正小标宋简体" w:cs="方正小标宋简体"/>
          <w:sz w:val="44"/>
          <w:szCs w:val="44"/>
          <w:lang w:val="en-US" w:eastAsia="zh-CN"/>
        </w:rPr>
      </w:pPr>
    </w:p>
    <w:p w14:paraId="5FD5E053">
      <w:pPr>
        <w:spacing w:line="560" w:lineRule="exact"/>
        <w:ind w:left="3200" w:leftChars="600" w:hanging="1760" w:hangingChars="400"/>
        <w:rPr>
          <w:rFonts w:hint="eastAsia" w:ascii="方正小标宋简体" w:hAnsi="方正小标宋简体" w:eastAsia="方正小标宋简体" w:cs="方正小标宋简体"/>
          <w:sz w:val="44"/>
          <w:szCs w:val="44"/>
          <w:lang w:val="en-US" w:eastAsia="zh-CN"/>
        </w:rPr>
      </w:pPr>
    </w:p>
    <w:p w14:paraId="3F744611">
      <w:pPr>
        <w:spacing w:line="560" w:lineRule="exact"/>
        <w:jc w:val="center"/>
        <w:rPr>
          <w:rFonts w:hint="eastAsia" w:ascii="宋体" w:hAnsi="宋体"/>
          <w:sz w:val="56"/>
          <w:szCs w:val="56"/>
        </w:rPr>
      </w:pPr>
      <w:r>
        <w:rPr>
          <w:rFonts w:hint="eastAsia" w:ascii="方正小标宋简体" w:hAnsi="方正小标宋简体" w:eastAsia="方正小标宋简体" w:cs="方正小标宋简体"/>
          <w:sz w:val="56"/>
          <w:szCs w:val="56"/>
          <w:lang w:val="en-US" w:eastAsia="zh-CN"/>
        </w:rPr>
        <w:t>广西壮族自治区生殖医院</w:t>
      </w:r>
      <w:r>
        <w:rPr>
          <w:rFonts w:hint="eastAsia" w:ascii="方正小标宋简体" w:hAnsi="方正小标宋简体" w:eastAsia="方正小标宋简体" w:cs="方正小标宋简体"/>
          <w:sz w:val="56"/>
          <w:szCs w:val="56"/>
        </w:rPr>
        <w:t>食堂食材配送服务项目需求表</w:t>
      </w:r>
    </w:p>
    <w:p w14:paraId="3DF410D3">
      <w:pPr>
        <w:spacing w:line="560" w:lineRule="exact"/>
        <w:ind w:left="7920"/>
      </w:pPr>
    </w:p>
    <w:p w14:paraId="554EE090">
      <w:pPr>
        <w:pStyle w:val="4"/>
      </w:pPr>
    </w:p>
    <w:p w14:paraId="682B2BDD"/>
    <w:p w14:paraId="10D89782">
      <w:pPr>
        <w:pStyle w:val="4"/>
      </w:pPr>
    </w:p>
    <w:p w14:paraId="083024D1"/>
    <w:p w14:paraId="552A4DC1">
      <w:pPr>
        <w:pStyle w:val="4"/>
      </w:pPr>
    </w:p>
    <w:p w14:paraId="132D4E09">
      <w:pPr>
        <w:rPr>
          <w:rFonts w:hint="eastAsia" w:ascii="宋体" w:hAnsi="宋体" w:eastAsia="宋体" w:cs="宋体"/>
          <w:b/>
          <w:color w:val="000000" w:themeColor="text1"/>
          <w:sz w:val="30"/>
          <w:szCs w:val="30"/>
          <w14:textFill>
            <w14:solidFill>
              <w14:schemeClr w14:val="tx1"/>
            </w14:solidFill>
          </w14:textFill>
        </w:rPr>
      </w:pPr>
    </w:p>
    <w:p w14:paraId="0709246F">
      <w:pPr>
        <w:pStyle w:val="4"/>
        <w:rPr>
          <w:rFonts w:hint="default" w:eastAsia="宋体"/>
          <w:lang w:val="en-US" w:eastAsia="zh-CN"/>
        </w:rPr>
        <w:sectPr>
          <w:footerReference r:id="rId3" w:type="default"/>
          <w:pgSz w:w="11900" w:h="16820"/>
          <w:pgMar w:top="2098" w:right="1474" w:bottom="1984" w:left="1589" w:header="720" w:footer="720" w:gutter="0"/>
          <w:pgNumType w:fmt="numberInDash"/>
          <w:cols w:space="720" w:num="1"/>
          <w:docGrid w:type="lines" w:linePitch="1" w:charSpace="0"/>
        </w:sectPr>
      </w:pPr>
      <w:bookmarkStart w:id="0" w:name="_GoBack"/>
      <w:bookmarkEnd w:id="0"/>
    </w:p>
    <w:p w14:paraId="29ED1D6A">
      <w:pPr>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一、项目概况：</w:t>
      </w:r>
      <w:r>
        <w:rPr>
          <w:rFonts w:hint="eastAsia" w:ascii="仿宋_GB2312" w:hAnsi="仿宋_GB2312" w:eastAsia="仿宋_GB2312" w:cs="仿宋_GB2312"/>
          <w:sz w:val="32"/>
          <w:szCs w:val="32"/>
        </w:rPr>
        <w:t>广西壮族自治区生殖医院食堂食材配送服务项目。</w:t>
      </w:r>
    </w:p>
    <w:p w14:paraId="088E438D">
      <w:pPr>
        <w:spacing w:line="560" w:lineRule="exact"/>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二、采购项目预（概）算：</w:t>
      </w:r>
      <w:r>
        <w:rPr>
          <w:rFonts w:hint="eastAsia" w:ascii="仿宋_GB2312" w:hAnsi="仿宋_GB2312" w:eastAsia="仿宋_GB2312" w:cs="仿宋_GB2312"/>
          <w:sz w:val="32"/>
          <w:szCs w:val="32"/>
        </w:rPr>
        <w:t>220万元/年。</w:t>
      </w:r>
    </w:p>
    <w:p w14:paraId="54C23C1B">
      <w:pPr>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三、采购标的汇总表</w:t>
      </w:r>
    </w:p>
    <w:tbl>
      <w:tblPr>
        <w:tblStyle w:val="10"/>
        <w:tblW w:w="0" w:type="auto"/>
        <w:tblInd w:w="108"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832"/>
        <w:gridCol w:w="842"/>
        <w:gridCol w:w="2550"/>
        <w:gridCol w:w="1485"/>
        <w:gridCol w:w="992"/>
        <w:gridCol w:w="729"/>
        <w:gridCol w:w="975"/>
      </w:tblGrid>
      <w:tr w14:paraId="4D537E2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48" w:hRule="atLeast"/>
        </w:trPr>
        <w:tc>
          <w:tcPr>
            <w:tcW w:w="832" w:type="dxa"/>
            <w:vAlign w:val="center"/>
          </w:tcPr>
          <w:p w14:paraId="3A88C761">
            <w:pPr>
              <w:spacing w:line="40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1"/>
                <w:sz w:val="28"/>
                <w:szCs w:val="28"/>
              </w:rPr>
              <w:t>包号</w:t>
            </w:r>
          </w:p>
        </w:tc>
        <w:tc>
          <w:tcPr>
            <w:tcW w:w="842" w:type="dxa"/>
            <w:vAlign w:val="center"/>
          </w:tcPr>
          <w:p w14:paraId="2C559979">
            <w:pPr>
              <w:spacing w:line="40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1"/>
                <w:sz w:val="28"/>
                <w:szCs w:val="28"/>
              </w:rPr>
              <w:t>序号</w:t>
            </w:r>
          </w:p>
        </w:tc>
        <w:tc>
          <w:tcPr>
            <w:tcW w:w="2550" w:type="dxa"/>
            <w:vAlign w:val="center"/>
          </w:tcPr>
          <w:p w14:paraId="6AED8A80">
            <w:pPr>
              <w:spacing w:line="400" w:lineRule="exact"/>
              <w:jc w:val="center"/>
              <w:rPr>
                <w:rFonts w:hint="eastAsia" w:ascii="仿宋_GB2312" w:hAnsi="仿宋_GB2312" w:eastAsia="仿宋_GB2312" w:cs="仿宋_GB2312"/>
                <w:spacing w:val="1"/>
                <w:sz w:val="28"/>
                <w:szCs w:val="28"/>
              </w:rPr>
            </w:pPr>
            <w:r>
              <w:rPr>
                <w:rFonts w:hint="eastAsia" w:ascii="仿宋_GB2312" w:hAnsi="仿宋_GB2312" w:eastAsia="仿宋_GB2312" w:cs="仿宋_GB2312"/>
                <w:spacing w:val="1"/>
                <w:sz w:val="28"/>
                <w:szCs w:val="28"/>
              </w:rPr>
              <w:t>标的名称</w:t>
            </w:r>
          </w:p>
        </w:tc>
        <w:tc>
          <w:tcPr>
            <w:tcW w:w="1163" w:type="dxa"/>
            <w:vAlign w:val="center"/>
          </w:tcPr>
          <w:p w14:paraId="35E73EA5">
            <w:pPr>
              <w:spacing w:line="400" w:lineRule="exact"/>
              <w:jc w:val="center"/>
              <w:rPr>
                <w:rFonts w:hint="eastAsia" w:ascii="仿宋_GB2312" w:hAnsi="仿宋_GB2312" w:eastAsia="仿宋_GB2312" w:cs="仿宋_GB2312"/>
                <w:spacing w:val="1"/>
                <w:sz w:val="28"/>
                <w:szCs w:val="28"/>
              </w:rPr>
            </w:pPr>
            <w:r>
              <w:rPr>
                <w:rFonts w:hint="eastAsia" w:ascii="仿宋_GB2312" w:hAnsi="仿宋_GB2312" w:eastAsia="仿宋_GB2312" w:cs="仿宋_GB2312"/>
                <w:spacing w:val="1"/>
                <w:sz w:val="28"/>
                <w:szCs w:val="28"/>
              </w:rPr>
              <w:t>品目分类编码</w:t>
            </w:r>
          </w:p>
        </w:tc>
        <w:tc>
          <w:tcPr>
            <w:tcW w:w="992" w:type="dxa"/>
            <w:vAlign w:val="center"/>
          </w:tcPr>
          <w:p w14:paraId="035B1A62">
            <w:pPr>
              <w:spacing w:line="400" w:lineRule="exact"/>
              <w:jc w:val="center"/>
              <w:rPr>
                <w:rFonts w:hint="eastAsia" w:ascii="仿宋_GB2312" w:hAnsi="仿宋_GB2312" w:eastAsia="仿宋_GB2312" w:cs="仿宋_GB2312"/>
                <w:spacing w:val="1"/>
                <w:sz w:val="28"/>
                <w:szCs w:val="28"/>
              </w:rPr>
            </w:pPr>
            <w:r>
              <w:rPr>
                <w:rFonts w:hint="eastAsia" w:ascii="仿宋_GB2312" w:hAnsi="仿宋_GB2312" w:eastAsia="仿宋_GB2312" w:cs="仿宋_GB2312"/>
                <w:spacing w:val="1"/>
                <w:sz w:val="28"/>
                <w:szCs w:val="28"/>
              </w:rPr>
              <w:t>计量单位</w:t>
            </w:r>
          </w:p>
        </w:tc>
        <w:tc>
          <w:tcPr>
            <w:tcW w:w="729" w:type="dxa"/>
            <w:vAlign w:val="center"/>
          </w:tcPr>
          <w:p w14:paraId="590FDE4B">
            <w:pPr>
              <w:spacing w:line="400" w:lineRule="exact"/>
              <w:jc w:val="center"/>
              <w:rPr>
                <w:rFonts w:hint="eastAsia" w:ascii="仿宋_GB2312" w:hAnsi="仿宋_GB2312" w:eastAsia="仿宋_GB2312" w:cs="仿宋_GB2312"/>
                <w:spacing w:val="1"/>
                <w:sz w:val="28"/>
                <w:szCs w:val="28"/>
              </w:rPr>
            </w:pPr>
            <w:r>
              <w:rPr>
                <w:rFonts w:hint="eastAsia" w:ascii="仿宋_GB2312" w:hAnsi="仿宋_GB2312" w:eastAsia="仿宋_GB2312" w:cs="仿宋_GB2312"/>
                <w:spacing w:val="1"/>
                <w:sz w:val="28"/>
                <w:szCs w:val="28"/>
              </w:rPr>
              <w:t>数量</w:t>
            </w:r>
          </w:p>
        </w:tc>
        <w:tc>
          <w:tcPr>
            <w:tcW w:w="975" w:type="dxa"/>
            <w:vAlign w:val="center"/>
          </w:tcPr>
          <w:p w14:paraId="50CFC208">
            <w:pPr>
              <w:spacing w:line="400" w:lineRule="exact"/>
              <w:jc w:val="center"/>
              <w:rPr>
                <w:rFonts w:hint="eastAsia" w:ascii="仿宋_GB2312" w:hAnsi="仿宋_GB2312" w:eastAsia="仿宋_GB2312" w:cs="仿宋_GB2312"/>
                <w:spacing w:val="1"/>
                <w:sz w:val="28"/>
                <w:szCs w:val="28"/>
              </w:rPr>
            </w:pPr>
            <w:r>
              <w:rPr>
                <w:rFonts w:hint="eastAsia" w:ascii="仿宋_GB2312" w:hAnsi="仿宋_GB2312" w:eastAsia="仿宋_GB2312" w:cs="仿宋_GB2312"/>
                <w:spacing w:val="1"/>
                <w:sz w:val="28"/>
                <w:szCs w:val="28"/>
              </w:rPr>
              <w:t>是否进口</w:t>
            </w:r>
          </w:p>
        </w:tc>
      </w:tr>
      <w:tr w14:paraId="1B02BF8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32" w:type="dxa"/>
          </w:tcPr>
          <w:p w14:paraId="171A8DEF">
            <w:pPr>
              <w:spacing w:line="560" w:lineRule="exact"/>
              <w:jc w:val="center"/>
              <w:rPr>
                <w:rFonts w:hint="eastAsia"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rPr>
              <w:t>1</w:t>
            </w:r>
          </w:p>
        </w:tc>
        <w:tc>
          <w:tcPr>
            <w:tcW w:w="842" w:type="dxa"/>
          </w:tcPr>
          <w:p w14:paraId="70C3CA69">
            <w:pPr>
              <w:spacing w:line="560" w:lineRule="exact"/>
              <w:jc w:val="center"/>
              <w:rPr>
                <w:rFonts w:hint="eastAsia"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rPr>
              <w:t>1</w:t>
            </w:r>
          </w:p>
        </w:tc>
        <w:tc>
          <w:tcPr>
            <w:tcW w:w="2550" w:type="dxa"/>
          </w:tcPr>
          <w:p w14:paraId="22390E04">
            <w:pPr>
              <w:spacing w:line="340" w:lineRule="exact"/>
              <w:jc w:val="center"/>
              <w:rPr>
                <w:rFonts w:hint="eastAsia"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rPr>
              <w:t>食堂食材配送服务项目</w:t>
            </w:r>
          </w:p>
        </w:tc>
        <w:tc>
          <w:tcPr>
            <w:tcW w:w="1163" w:type="dxa"/>
          </w:tcPr>
          <w:p w14:paraId="01DB6A47">
            <w:pPr>
              <w:spacing w:line="560" w:lineRule="exact"/>
              <w:jc w:val="center"/>
              <w:rPr>
                <w:rFonts w:hint="default" w:cs="仿宋_GB2312" w:asciiTheme="minorEastAsia" w:hAnsiTheme="minorEastAsia" w:eastAsiaTheme="minorEastAsia"/>
                <w:spacing w:val="1"/>
                <w:sz w:val="28"/>
                <w:szCs w:val="28"/>
                <w:lang w:val="en-US" w:eastAsia="zh-CN"/>
              </w:rPr>
            </w:pPr>
            <w:r>
              <w:rPr>
                <w:rFonts w:hint="eastAsia" w:cs="仿宋_GB2312" w:asciiTheme="minorEastAsia" w:hAnsiTheme="minorEastAsia" w:eastAsiaTheme="minorEastAsia"/>
                <w:spacing w:val="1"/>
                <w:sz w:val="28"/>
                <w:szCs w:val="28"/>
                <w:lang w:val="en-US" w:eastAsia="zh-CN"/>
              </w:rPr>
              <w:t>C99000000</w:t>
            </w:r>
          </w:p>
        </w:tc>
        <w:tc>
          <w:tcPr>
            <w:tcW w:w="992" w:type="dxa"/>
          </w:tcPr>
          <w:p w14:paraId="5988C975">
            <w:pPr>
              <w:spacing w:line="560" w:lineRule="exact"/>
              <w:jc w:val="center"/>
              <w:rPr>
                <w:rFonts w:hint="eastAsia" w:cs="仿宋_GB2312" w:asciiTheme="minorEastAsia" w:hAnsiTheme="minorEastAsia" w:eastAsiaTheme="minorEastAsia"/>
                <w:spacing w:val="1"/>
                <w:sz w:val="28"/>
                <w:szCs w:val="28"/>
              </w:rPr>
            </w:pPr>
            <w:r>
              <w:rPr>
                <w:rFonts w:hint="eastAsia" w:cs="仿宋_GB2312" w:asciiTheme="minorEastAsia" w:hAnsiTheme="minorEastAsia" w:eastAsiaTheme="minorEastAsia"/>
                <w:spacing w:val="1"/>
                <w:sz w:val="28"/>
                <w:szCs w:val="28"/>
              </w:rPr>
              <w:t>项</w:t>
            </w:r>
          </w:p>
        </w:tc>
        <w:tc>
          <w:tcPr>
            <w:tcW w:w="729" w:type="dxa"/>
          </w:tcPr>
          <w:p w14:paraId="6FA57907">
            <w:pPr>
              <w:spacing w:line="560" w:lineRule="exact"/>
              <w:jc w:val="center"/>
              <w:rPr>
                <w:rFonts w:hint="eastAsia" w:cs="仿宋_GB2312" w:asciiTheme="minorEastAsia" w:hAnsiTheme="minorEastAsia" w:eastAsiaTheme="minorEastAsia"/>
                <w:spacing w:val="1"/>
                <w:sz w:val="28"/>
                <w:szCs w:val="28"/>
              </w:rPr>
            </w:pPr>
            <w:r>
              <w:rPr>
                <w:rFonts w:hint="eastAsia" w:cs="仿宋_GB2312" w:asciiTheme="minorEastAsia" w:hAnsiTheme="minorEastAsia" w:eastAsiaTheme="minorEastAsia"/>
                <w:spacing w:val="1"/>
                <w:sz w:val="28"/>
                <w:szCs w:val="28"/>
              </w:rPr>
              <w:t>1</w:t>
            </w:r>
          </w:p>
        </w:tc>
        <w:tc>
          <w:tcPr>
            <w:tcW w:w="975" w:type="dxa"/>
          </w:tcPr>
          <w:p w14:paraId="3A20E520">
            <w:pPr>
              <w:spacing w:line="560" w:lineRule="exact"/>
              <w:jc w:val="center"/>
              <w:rPr>
                <w:rFonts w:hint="eastAsia" w:cs="仿宋_GB2312" w:asciiTheme="minorEastAsia" w:hAnsiTheme="minorEastAsia" w:eastAsiaTheme="minorEastAsia"/>
                <w:spacing w:val="1"/>
                <w:sz w:val="28"/>
                <w:szCs w:val="28"/>
              </w:rPr>
            </w:pPr>
            <w:r>
              <w:rPr>
                <w:rFonts w:hint="eastAsia" w:cs="仿宋_GB2312" w:asciiTheme="minorEastAsia" w:hAnsiTheme="minorEastAsia" w:eastAsiaTheme="minorEastAsia"/>
                <w:spacing w:val="1"/>
                <w:sz w:val="28"/>
                <w:szCs w:val="28"/>
              </w:rPr>
              <w:t>否</w:t>
            </w:r>
          </w:p>
        </w:tc>
      </w:tr>
    </w:tbl>
    <w:p w14:paraId="537ACC7A">
      <w:pPr>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四、技术商务要求</w:t>
      </w:r>
    </w:p>
    <w:p w14:paraId="290338C4">
      <w:pPr>
        <w:wordWrap w:val="0"/>
        <w:spacing w:line="360" w:lineRule="atLeast"/>
        <w:ind w:firstLine="643" w:firstLineChars="200"/>
        <w:rPr>
          <w:rFonts w:ascii="楷体" w:hAnsi="楷体" w:eastAsia="楷体" w:cs="黑体"/>
          <w:sz w:val="32"/>
          <w:szCs w:val="32"/>
        </w:rPr>
      </w:pPr>
      <w:r>
        <w:rPr>
          <w:rFonts w:hint="eastAsia" w:ascii="楷体" w:hAnsi="楷体" w:eastAsia="楷体" w:cs="宋体"/>
          <w:b/>
          <w:sz w:val="32"/>
          <w:szCs w:val="32"/>
        </w:rPr>
        <w:t>（一）</w:t>
      </w:r>
      <w:r>
        <w:rPr>
          <w:rFonts w:hint="eastAsia" w:ascii="楷体" w:hAnsi="楷体" w:eastAsia="楷体" w:cs="黑体"/>
          <w:sz w:val="32"/>
          <w:szCs w:val="32"/>
        </w:rPr>
        <w:t>技术要求</w:t>
      </w:r>
    </w:p>
    <w:tbl>
      <w:tblPr>
        <w:tblStyle w:val="9"/>
        <w:tblW w:w="98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4"/>
        <w:gridCol w:w="1655"/>
        <w:gridCol w:w="708"/>
        <w:gridCol w:w="709"/>
        <w:gridCol w:w="6206"/>
      </w:tblGrid>
      <w:tr w14:paraId="26CC9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84" w:type="dxa"/>
            <w:tcBorders>
              <w:top w:val="single" w:color="auto" w:sz="4" w:space="0"/>
              <w:left w:val="single" w:color="auto" w:sz="4" w:space="0"/>
              <w:bottom w:val="single" w:color="auto" w:sz="4" w:space="0"/>
              <w:right w:val="single" w:color="auto" w:sz="4" w:space="0"/>
            </w:tcBorders>
            <w:vAlign w:val="center"/>
          </w:tcPr>
          <w:p w14:paraId="6346EC9C">
            <w:pPr>
              <w:jc w:val="center"/>
              <w:rPr>
                <w:rFonts w:hint="eastAsia" w:ascii="宋体" w:hAnsi="宋体"/>
                <w:b/>
                <w:szCs w:val="21"/>
              </w:rPr>
            </w:pPr>
          </w:p>
          <w:p w14:paraId="32F01190">
            <w:pPr>
              <w:jc w:val="center"/>
              <w:rPr>
                <w:rFonts w:hint="eastAsia" w:ascii="宋体" w:hAnsi="宋体"/>
                <w:b/>
                <w:szCs w:val="21"/>
              </w:rPr>
            </w:pPr>
            <w:r>
              <w:rPr>
                <w:rFonts w:hint="eastAsia" w:ascii="宋体" w:hAnsi="宋体"/>
                <w:b/>
                <w:szCs w:val="21"/>
              </w:rPr>
              <w:t>项号</w:t>
            </w:r>
          </w:p>
        </w:tc>
        <w:tc>
          <w:tcPr>
            <w:tcW w:w="1655" w:type="dxa"/>
            <w:tcBorders>
              <w:top w:val="single" w:color="auto" w:sz="4" w:space="0"/>
              <w:left w:val="single" w:color="auto" w:sz="4" w:space="0"/>
              <w:bottom w:val="single" w:color="auto" w:sz="4" w:space="0"/>
              <w:right w:val="single" w:color="auto" w:sz="4" w:space="0"/>
            </w:tcBorders>
            <w:vAlign w:val="center"/>
          </w:tcPr>
          <w:p w14:paraId="3EDE8293">
            <w:pPr>
              <w:jc w:val="center"/>
              <w:rPr>
                <w:rFonts w:hint="eastAsia" w:ascii="宋体" w:hAnsi="宋体"/>
                <w:b/>
                <w:szCs w:val="21"/>
              </w:rPr>
            </w:pPr>
            <w:r>
              <w:rPr>
                <w:rFonts w:hint="eastAsia" w:ascii="宋体" w:hAnsi="宋体"/>
                <w:b/>
                <w:szCs w:val="21"/>
              </w:rPr>
              <w:t>服务名称</w:t>
            </w:r>
          </w:p>
        </w:tc>
        <w:tc>
          <w:tcPr>
            <w:tcW w:w="708" w:type="dxa"/>
            <w:tcBorders>
              <w:top w:val="single" w:color="auto" w:sz="4" w:space="0"/>
              <w:left w:val="single" w:color="auto" w:sz="4" w:space="0"/>
              <w:bottom w:val="single" w:color="auto" w:sz="4" w:space="0"/>
              <w:right w:val="single" w:color="auto" w:sz="4" w:space="0"/>
            </w:tcBorders>
            <w:vAlign w:val="center"/>
          </w:tcPr>
          <w:p w14:paraId="79442341">
            <w:pPr>
              <w:jc w:val="center"/>
              <w:rPr>
                <w:rFonts w:hint="eastAsia" w:ascii="宋体" w:hAnsi="宋体"/>
                <w:b/>
                <w:szCs w:val="21"/>
              </w:rPr>
            </w:pPr>
            <w:r>
              <w:rPr>
                <w:rFonts w:ascii="宋体" w:hAnsi="宋体"/>
                <w:b/>
                <w:szCs w:val="21"/>
              </w:rPr>
              <w:t>数量</w:t>
            </w:r>
          </w:p>
        </w:tc>
        <w:tc>
          <w:tcPr>
            <w:tcW w:w="709" w:type="dxa"/>
            <w:tcBorders>
              <w:top w:val="single" w:color="auto" w:sz="4" w:space="0"/>
              <w:left w:val="single" w:color="auto" w:sz="4" w:space="0"/>
              <w:bottom w:val="single" w:color="auto" w:sz="4" w:space="0"/>
              <w:right w:val="single" w:color="auto" w:sz="4" w:space="0"/>
            </w:tcBorders>
            <w:vAlign w:val="center"/>
          </w:tcPr>
          <w:p w14:paraId="46097D5B">
            <w:pPr>
              <w:jc w:val="center"/>
              <w:rPr>
                <w:rFonts w:hint="eastAsia" w:ascii="宋体" w:hAnsi="宋体"/>
                <w:b/>
                <w:szCs w:val="21"/>
              </w:rPr>
            </w:pPr>
            <w:r>
              <w:rPr>
                <w:rFonts w:ascii="宋体" w:hAnsi="宋体"/>
                <w:b/>
                <w:szCs w:val="21"/>
              </w:rPr>
              <w:t>单位</w:t>
            </w:r>
          </w:p>
        </w:tc>
        <w:tc>
          <w:tcPr>
            <w:tcW w:w="6206" w:type="dxa"/>
            <w:tcBorders>
              <w:top w:val="single" w:color="auto" w:sz="4" w:space="0"/>
              <w:left w:val="single" w:color="auto" w:sz="4" w:space="0"/>
              <w:bottom w:val="single" w:color="auto" w:sz="4" w:space="0"/>
              <w:right w:val="single" w:color="auto" w:sz="4" w:space="0"/>
            </w:tcBorders>
            <w:vAlign w:val="center"/>
          </w:tcPr>
          <w:p w14:paraId="751AF8ED">
            <w:pPr>
              <w:jc w:val="center"/>
              <w:rPr>
                <w:rFonts w:hint="eastAsia" w:ascii="宋体" w:hAnsi="宋体"/>
                <w:b/>
                <w:szCs w:val="21"/>
              </w:rPr>
            </w:pPr>
            <w:r>
              <w:rPr>
                <w:rFonts w:hint="eastAsia" w:ascii="宋体" w:hAnsi="宋体"/>
                <w:b/>
                <w:szCs w:val="21"/>
              </w:rPr>
              <w:t>内容和要求</w:t>
            </w:r>
          </w:p>
        </w:tc>
      </w:tr>
      <w:tr w14:paraId="2C42C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84" w:type="dxa"/>
            <w:tcBorders>
              <w:top w:val="single" w:color="auto" w:sz="4" w:space="0"/>
              <w:left w:val="single" w:color="auto" w:sz="4" w:space="0"/>
              <w:bottom w:val="single" w:color="auto" w:sz="4" w:space="0"/>
              <w:right w:val="single" w:color="auto" w:sz="4" w:space="0"/>
            </w:tcBorders>
            <w:vAlign w:val="center"/>
          </w:tcPr>
          <w:p w14:paraId="1224ECB1">
            <w:pPr>
              <w:widowControl w:val="0"/>
              <w:numPr>
                <w:ilvl w:val="0"/>
                <w:numId w:val="1"/>
              </w:numPr>
              <w:jc w:val="center"/>
              <w:rPr>
                <w:rFonts w:hint="eastAsia" w:ascii="宋体" w:hAnsi="宋体"/>
                <w:b/>
                <w:szCs w:val="21"/>
              </w:rPr>
            </w:pPr>
          </w:p>
        </w:tc>
        <w:tc>
          <w:tcPr>
            <w:tcW w:w="1655" w:type="dxa"/>
            <w:tcBorders>
              <w:top w:val="single" w:color="auto" w:sz="4" w:space="0"/>
              <w:left w:val="single" w:color="auto" w:sz="4" w:space="0"/>
              <w:bottom w:val="single" w:color="auto" w:sz="4" w:space="0"/>
              <w:right w:val="single" w:color="auto" w:sz="4" w:space="0"/>
            </w:tcBorders>
            <w:vAlign w:val="center"/>
          </w:tcPr>
          <w:p w14:paraId="2D98FC99">
            <w:pPr>
              <w:jc w:val="center"/>
              <w:rPr>
                <w:rFonts w:hint="eastAsia" w:ascii="宋体" w:hAnsi="宋体"/>
                <w:szCs w:val="21"/>
              </w:rPr>
            </w:pPr>
            <w:r>
              <w:rPr>
                <w:rFonts w:hint="eastAsia" w:ascii="宋体" w:hAnsi="宋体"/>
                <w:szCs w:val="21"/>
              </w:rPr>
              <w:t>食堂食材采购</w:t>
            </w:r>
          </w:p>
        </w:tc>
        <w:tc>
          <w:tcPr>
            <w:tcW w:w="708" w:type="dxa"/>
            <w:tcBorders>
              <w:top w:val="single" w:color="auto" w:sz="4" w:space="0"/>
              <w:left w:val="single" w:color="auto" w:sz="4" w:space="0"/>
              <w:bottom w:val="single" w:color="auto" w:sz="4" w:space="0"/>
              <w:right w:val="single" w:color="auto" w:sz="4" w:space="0"/>
            </w:tcBorders>
            <w:vAlign w:val="center"/>
          </w:tcPr>
          <w:p w14:paraId="611F3932">
            <w:pPr>
              <w:jc w:val="center"/>
              <w:rPr>
                <w:rFonts w:hint="eastAsia" w:ascii="宋体" w:hAnsi="宋体"/>
                <w:szCs w:val="21"/>
              </w:rPr>
            </w:pPr>
            <w:r>
              <w:rPr>
                <w:rFonts w:hint="eastAsia" w:ascii="宋体" w:hAnsi="宋体"/>
                <w:szCs w:val="21"/>
              </w:rPr>
              <w:t>1</w:t>
            </w:r>
          </w:p>
        </w:tc>
        <w:tc>
          <w:tcPr>
            <w:tcW w:w="709" w:type="dxa"/>
            <w:tcBorders>
              <w:top w:val="single" w:color="auto" w:sz="4" w:space="0"/>
              <w:left w:val="single" w:color="auto" w:sz="4" w:space="0"/>
              <w:bottom w:val="single" w:color="auto" w:sz="4" w:space="0"/>
              <w:right w:val="single" w:color="auto" w:sz="4" w:space="0"/>
            </w:tcBorders>
            <w:vAlign w:val="center"/>
          </w:tcPr>
          <w:p w14:paraId="05E2152D">
            <w:pPr>
              <w:jc w:val="center"/>
              <w:rPr>
                <w:rFonts w:hint="eastAsia" w:ascii="宋体" w:hAnsi="宋体"/>
                <w:szCs w:val="21"/>
              </w:rPr>
            </w:pPr>
            <w:r>
              <w:rPr>
                <w:rFonts w:hint="eastAsia" w:ascii="宋体" w:hAnsi="宋体"/>
                <w:szCs w:val="21"/>
              </w:rPr>
              <w:t>项</w:t>
            </w:r>
          </w:p>
        </w:tc>
        <w:tc>
          <w:tcPr>
            <w:tcW w:w="6206" w:type="dxa"/>
            <w:tcBorders>
              <w:top w:val="single" w:color="auto" w:sz="4" w:space="0"/>
              <w:left w:val="single" w:color="auto" w:sz="4" w:space="0"/>
              <w:right w:val="single" w:color="auto" w:sz="4" w:space="0"/>
            </w:tcBorders>
          </w:tcPr>
          <w:p w14:paraId="4D5302F0">
            <w:pPr>
              <w:rPr>
                <w:rFonts w:ascii="Arial" w:hAnsi="Arial" w:cs="Arial" w:eastAsiaTheme="minorEastAsia"/>
                <w:bCs/>
                <w:szCs w:val="21"/>
              </w:rPr>
            </w:pPr>
            <w:r>
              <w:rPr>
                <w:rFonts w:hint="eastAsia" w:ascii="Arial" w:hAnsi="Arial" w:cs="Arial" w:eastAsiaTheme="minorEastAsia"/>
                <w:bCs/>
                <w:szCs w:val="21"/>
              </w:rPr>
              <w:t xml:space="preserve">▲一、鲜肉类（猪肉、牛肉、羊肉等） </w:t>
            </w:r>
          </w:p>
          <w:p w14:paraId="04A495BF">
            <w:pPr>
              <w:spacing w:line="400" w:lineRule="exact"/>
              <w:rPr>
                <w:rFonts w:ascii="Arial" w:hAnsi="Arial" w:cs="Arial" w:eastAsiaTheme="minorEastAsia"/>
                <w:bCs/>
                <w:szCs w:val="21"/>
              </w:rPr>
            </w:pPr>
            <w:r>
              <w:rPr>
                <w:rFonts w:hint="eastAsia" w:ascii="Arial" w:hAnsi="Arial" w:cs="Arial" w:eastAsiaTheme="minorEastAsia"/>
                <w:bCs/>
                <w:szCs w:val="21"/>
              </w:rPr>
              <w:t>基本要求：</w:t>
            </w:r>
            <w:r>
              <w:rPr>
                <w:rFonts w:ascii="Arial" w:hAnsi="Arial" w:cs="Arial" w:eastAsiaTheme="minorEastAsia"/>
                <w:bCs/>
                <w:szCs w:val="21"/>
              </w:rPr>
              <w:t>确保为当天正规屠宰场宰杀的新鲜肉</w:t>
            </w:r>
            <w:r>
              <w:rPr>
                <w:rFonts w:hint="eastAsia" w:ascii="Arial" w:hAnsi="Arial" w:cs="Arial" w:eastAsiaTheme="minorEastAsia"/>
                <w:bCs/>
                <w:szCs w:val="21"/>
              </w:rPr>
              <w:t>，</w:t>
            </w:r>
            <w:r>
              <w:rPr>
                <w:rFonts w:hint="eastAsia" w:ascii="宋体" w:hAnsi="宋体"/>
                <w:szCs w:val="21"/>
              </w:rPr>
              <w:t>所有食材均能追根溯源。</w:t>
            </w:r>
            <w:r>
              <w:rPr>
                <w:rFonts w:ascii="Arial" w:hAnsi="Arial" w:cs="Arial" w:eastAsiaTheme="minorEastAsia"/>
                <w:bCs/>
                <w:szCs w:val="21"/>
              </w:rPr>
              <w:t>每次交货时</w:t>
            </w:r>
            <w:r>
              <w:rPr>
                <w:rFonts w:hint="eastAsia" w:ascii="Arial" w:hAnsi="Arial" w:cs="Arial" w:eastAsiaTheme="minorEastAsia"/>
                <w:bCs/>
                <w:szCs w:val="21"/>
                <w:lang w:val="en-US" w:eastAsia="zh-CN"/>
              </w:rPr>
              <w:t>须</w:t>
            </w:r>
            <w:r>
              <w:rPr>
                <w:rFonts w:ascii="Arial" w:hAnsi="Arial" w:cs="Arial" w:eastAsiaTheme="minorEastAsia"/>
                <w:bCs/>
                <w:szCs w:val="21"/>
              </w:rPr>
              <w:t>提供本批次产品的检</w:t>
            </w:r>
            <w:r>
              <w:rPr>
                <w:rFonts w:hint="eastAsia" w:ascii="Arial" w:hAnsi="Arial" w:cs="Arial" w:eastAsiaTheme="minorEastAsia"/>
                <w:bCs/>
                <w:szCs w:val="21"/>
                <w:lang w:val="en-US" w:eastAsia="zh-CN"/>
              </w:rPr>
              <w:t>疫</w:t>
            </w:r>
            <w:r>
              <w:rPr>
                <w:rFonts w:ascii="Arial" w:hAnsi="Arial" w:cs="Arial" w:eastAsiaTheme="minorEastAsia"/>
                <w:bCs/>
                <w:szCs w:val="21"/>
              </w:rPr>
              <w:t>合格证明。</w:t>
            </w:r>
          </w:p>
          <w:p w14:paraId="39116AB9">
            <w:pPr>
              <w:rPr>
                <w:rFonts w:ascii="Arial" w:hAnsi="Arial" w:cs="Arial" w:eastAsiaTheme="minorEastAsia"/>
                <w:bCs/>
                <w:szCs w:val="21"/>
              </w:rPr>
            </w:pPr>
            <w:r>
              <w:rPr>
                <w:rFonts w:hint="eastAsia" w:ascii="Arial" w:hAnsi="Arial" w:cs="Arial" w:eastAsiaTheme="minorEastAsia"/>
                <w:bCs/>
                <w:szCs w:val="21"/>
              </w:rPr>
              <w:t>产品须表皮洁净、膘厚适中、色泽鲜亮、纹理清晰、肉质紧密细腻、无异味、无毛、按压无水迹等。</w:t>
            </w:r>
          </w:p>
          <w:p w14:paraId="6C3806BB">
            <w:pPr>
              <w:spacing w:line="400" w:lineRule="exact"/>
              <w:rPr>
                <w:rFonts w:ascii="Arial" w:hAnsi="Arial" w:cs="Arial" w:eastAsiaTheme="minorEastAsia"/>
                <w:bCs/>
                <w:szCs w:val="21"/>
              </w:rPr>
            </w:pPr>
            <w:r>
              <w:rPr>
                <w:rFonts w:ascii="Arial" w:hAnsi="Arial" w:cs="Arial" w:eastAsiaTheme="minorEastAsia"/>
                <w:bCs/>
                <w:szCs w:val="21"/>
              </w:rPr>
              <w:t>肝、腰、肚、肠、舌、肺：体积完整、无淤血、无破损、弹性好、无异味、无黑斑、表皮无特殊异常。</w:t>
            </w:r>
          </w:p>
          <w:p w14:paraId="3C6737BC">
            <w:pPr>
              <w:rPr>
                <w:rFonts w:ascii="Arial" w:hAnsi="Arial" w:cs="Arial" w:eastAsiaTheme="minorEastAsia"/>
                <w:bCs/>
                <w:szCs w:val="21"/>
              </w:rPr>
            </w:pPr>
            <w:r>
              <w:rPr>
                <w:rFonts w:hint="eastAsia" w:ascii="Arial" w:hAnsi="Arial" w:cs="Arial" w:eastAsiaTheme="minorEastAsia"/>
                <w:bCs/>
                <w:szCs w:val="21"/>
              </w:rPr>
              <w:t xml:space="preserve">▲二、家禽类 </w:t>
            </w:r>
          </w:p>
          <w:p w14:paraId="5ED1EE41">
            <w:pPr>
              <w:rPr>
                <w:rFonts w:ascii="Arial" w:hAnsi="Arial" w:cs="Arial" w:eastAsiaTheme="minorEastAsia"/>
                <w:bCs/>
                <w:szCs w:val="21"/>
              </w:rPr>
            </w:pPr>
            <w:r>
              <w:rPr>
                <w:rFonts w:hint="eastAsia" w:ascii="Arial" w:hAnsi="Arial" w:cs="Arial" w:eastAsiaTheme="minorEastAsia"/>
                <w:bCs/>
                <w:szCs w:val="21"/>
              </w:rPr>
              <w:t>基本要求：新鲜的家禽肉肌肉色泽呈淡黄红色，肌肉有弹性且结实，无腥臭味、不黏滑、皮肤光滑。</w:t>
            </w:r>
            <w:r>
              <w:rPr>
                <w:rFonts w:ascii="Arial" w:hAnsi="Arial" w:cs="Arial"/>
                <w:bCs/>
                <w:szCs w:val="21"/>
              </w:rPr>
              <w:t>鲜鸡鸭鹅及其副产品必须具有动物检疫证明（供货时必须提供）</w:t>
            </w:r>
            <w:r>
              <w:rPr>
                <w:rFonts w:hint="eastAsia" w:ascii="Arial" w:hAnsi="Arial" w:cs="Arial"/>
                <w:bCs/>
                <w:szCs w:val="21"/>
              </w:rPr>
              <w:t>。</w:t>
            </w:r>
            <w:r>
              <w:rPr>
                <w:rFonts w:hint="eastAsia" w:ascii="Arial" w:hAnsi="Arial" w:cs="Arial" w:eastAsiaTheme="minorEastAsia"/>
                <w:bCs/>
                <w:szCs w:val="21"/>
              </w:rPr>
              <w:t xml:space="preserve">骨髓色泽呈鲜红色，变灰、变绿为品质不佳。凡出现肉淤血、骨折、露骨、脱皮等现象拒收货。 </w:t>
            </w:r>
          </w:p>
          <w:p w14:paraId="36AE0DFA">
            <w:pPr>
              <w:rPr>
                <w:rFonts w:ascii="Arial" w:hAnsi="Arial" w:cs="Arial" w:eastAsiaTheme="minorEastAsia"/>
                <w:bCs/>
                <w:szCs w:val="21"/>
              </w:rPr>
            </w:pPr>
            <w:r>
              <w:rPr>
                <w:rFonts w:hint="eastAsia" w:ascii="Arial" w:hAnsi="Arial" w:cs="Arial" w:eastAsiaTheme="minorEastAsia"/>
                <w:bCs/>
                <w:szCs w:val="21"/>
              </w:rPr>
              <w:t xml:space="preserve">▲三、河鲜类 </w:t>
            </w:r>
          </w:p>
          <w:p w14:paraId="4E5B0BE8">
            <w:pPr>
              <w:rPr>
                <w:rFonts w:ascii="Arial" w:hAnsi="Arial" w:cs="Arial" w:eastAsiaTheme="minorEastAsia"/>
                <w:bCs/>
                <w:szCs w:val="21"/>
              </w:rPr>
            </w:pPr>
            <w:r>
              <w:rPr>
                <w:rFonts w:hint="eastAsia" w:ascii="Arial" w:hAnsi="Arial" w:cs="Arial" w:eastAsiaTheme="minorEastAsia"/>
                <w:bCs/>
                <w:szCs w:val="21"/>
              </w:rPr>
              <w:t xml:space="preserve">（1）鱼类：体表有光泽，鳞片完整、不易脱落，黏液无混浊，肌肉组织致密、有弹性；鳃丝清晰，色鲜红或暗红，无异臭味；眼球饱满，角膜透明。体表—鳞片完整无损、表面无异物、无皮下出血现象及红色鱼鳞。 </w:t>
            </w:r>
          </w:p>
          <w:p w14:paraId="15E4A631">
            <w:pPr>
              <w:rPr>
                <w:rFonts w:ascii="Arial" w:hAnsi="Arial" w:cs="Arial" w:eastAsiaTheme="minorEastAsia"/>
                <w:bCs/>
                <w:szCs w:val="21"/>
              </w:rPr>
            </w:pPr>
            <w:r>
              <w:rPr>
                <w:rFonts w:hint="eastAsia" w:ascii="Arial" w:hAnsi="Arial" w:cs="Arial" w:eastAsiaTheme="minorEastAsia"/>
                <w:bCs/>
                <w:szCs w:val="21"/>
              </w:rPr>
              <w:t xml:space="preserve">（2）虾类：感官鉴别：个大均匀、活蹦乱跳（或能活动）、无黑头。成活率要达98%以上。 </w:t>
            </w:r>
          </w:p>
          <w:p w14:paraId="7FC85048">
            <w:pPr>
              <w:rPr>
                <w:rFonts w:ascii="Arial" w:hAnsi="Arial" w:cs="Arial" w:eastAsiaTheme="minorEastAsia"/>
                <w:bCs/>
                <w:szCs w:val="21"/>
              </w:rPr>
            </w:pPr>
            <w:r>
              <w:rPr>
                <w:rFonts w:hint="eastAsia" w:ascii="Arial" w:hAnsi="Arial" w:cs="Arial" w:eastAsiaTheme="minorEastAsia"/>
                <w:bCs/>
                <w:szCs w:val="21"/>
              </w:rPr>
              <w:t xml:space="preserve">（3）蟹类：体肥、甲壳色泽正常，腹部洁白，雌蟹有膏时，头胸甲棘尖，反面透黄色，螯及蟹脚有力，单体重0.25-0.35kg。 </w:t>
            </w:r>
          </w:p>
          <w:p w14:paraId="42BCD9FC">
            <w:pPr>
              <w:rPr>
                <w:rFonts w:ascii="Arial" w:hAnsi="Arial" w:cs="Arial" w:eastAsiaTheme="minorEastAsia"/>
                <w:bCs/>
                <w:szCs w:val="21"/>
              </w:rPr>
            </w:pPr>
            <w:r>
              <w:rPr>
                <w:rFonts w:hint="eastAsia" w:ascii="Arial" w:hAnsi="Arial" w:cs="Arial" w:eastAsiaTheme="minorEastAsia"/>
                <w:bCs/>
                <w:szCs w:val="21"/>
              </w:rPr>
              <w:t xml:space="preserve">贝类：外壳具固有色泽、平时微张口、受惊闭合，斧足与触管伸缩灵活。 </w:t>
            </w:r>
          </w:p>
          <w:p w14:paraId="62036DE3">
            <w:pPr>
              <w:rPr>
                <w:rFonts w:ascii="Arial" w:hAnsi="Arial" w:cs="Arial" w:eastAsiaTheme="minorEastAsia"/>
                <w:bCs/>
                <w:szCs w:val="21"/>
              </w:rPr>
            </w:pPr>
            <w:r>
              <w:rPr>
                <w:rFonts w:hint="eastAsia" w:ascii="Arial" w:hAnsi="Arial" w:cs="Arial" w:eastAsiaTheme="minorEastAsia"/>
                <w:bCs/>
                <w:szCs w:val="21"/>
              </w:rPr>
              <w:t xml:space="preserve">（4）盐渍海产类：主要产品为海蜇、海带类，而海蜇又分为海蜇头（蜇身口腕部加工的成品）和海蜇皮（上身全部加工的成品）。 </w:t>
            </w:r>
          </w:p>
          <w:p w14:paraId="389B9966">
            <w:pPr>
              <w:rPr>
                <w:rFonts w:ascii="Arial" w:hAnsi="Arial" w:cs="Arial" w:eastAsiaTheme="minorEastAsia"/>
                <w:bCs/>
                <w:szCs w:val="21"/>
              </w:rPr>
            </w:pPr>
            <w:r>
              <w:rPr>
                <w:rFonts w:hint="eastAsia" w:ascii="Arial" w:hAnsi="Arial" w:cs="Arial" w:eastAsiaTheme="minorEastAsia"/>
                <w:bCs/>
                <w:szCs w:val="21"/>
              </w:rPr>
              <w:t xml:space="preserve">感官鉴别：质地—坚实而韧性，手指甲掐之可破、脆嫩；气味—轻腥气、盐味；色泽—有光泽；清洁度—无污物和泥浆。 </w:t>
            </w:r>
          </w:p>
          <w:p w14:paraId="4458A22A">
            <w:pPr>
              <w:rPr>
                <w:rFonts w:ascii="Arial" w:hAnsi="Arial" w:cs="Arial" w:eastAsiaTheme="minorEastAsia"/>
                <w:bCs/>
                <w:szCs w:val="21"/>
              </w:rPr>
            </w:pPr>
            <w:r>
              <w:rPr>
                <w:rFonts w:hint="eastAsia" w:ascii="Arial" w:hAnsi="Arial" w:cs="Arial" w:eastAsiaTheme="minorEastAsia"/>
                <w:bCs/>
                <w:szCs w:val="21"/>
              </w:rPr>
              <w:t xml:space="preserve">▲四、冰鲜鱼类 </w:t>
            </w:r>
          </w:p>
          <w:p w14:paraId="1752035F">
            <w:pPr>
              <w:rPr>
                <w:rFonts w:ascii="Arial" w:hAnsi="Arial" w:cs="Arial" w:eastAsiaTheme="minorEastAsia"/>
                <w:bCs/>
                <w:szCs w:val="21"/>
              </w:rPr>
            </w:pPr>
            <w:r>
              <w:rPr>
                <w:rFonts w:ascii="Arial" w:hAnsi="Arial" w:cs="Arial"/>
                <w:szCs w:val="21"/>
                <w:lang w:bidi="ar"/>
              </w:rPr>
              <w:t>鱼鳃盖紧闭，用手抠时感觉很紧，鳃的色泽鲜艳，鳃上无黏液，呈透明状，无异味；</w:t>
            </w:r>
            <w:r>
              <w:rPr>
                <w:rFonts w:hint="eastAsia" w:ascii="Arial" w:hAnsi="Arial" w:cs="Arial" w:eastAsiaTheme="minorEastAsia"/>
                <w:bCs/>
                <w:szCs w:val="21"/>
              </w:rPr>
              <w:t xml:space="preserve">眼睛—饱满明亮、 清晰且完整、瞳孔黑、角膜清澈；体外粘液—透明或水白；肉质—坚实且富有弹性，轻按下鱼肉后，手指的凹陷处可马上恢复；气味—温和的海水味或鲜海藻味，无氯味腐臭味；体表鱼鳞完整、无破损。（鱿鱼：手感结实， 肉身质厚。带鱼：规格为中带或大带。金丝鱼：单体重0.15—0.2kg。）  </w:t>
            </w:r>
          </w:p>
          <w:p w14:paraId="40580C62">
            <w:pPr>
              <w:rPr>
                <w:rFonts w:ascii="Arial" w:hAnsi="Arial" w:cs="Arial" w:eastAsiaTheme="minorEastAsia"/>
                <w:bCs/>
                <w:szCs w:val="21"/>
              </w:rPr>
            </w:pPr>
            <w:r>
              <w:rPr>
                <w:rFonts w:hint="eastAsia" w:ascii="Arial" w:hAnsi="Arial" w:cs="Arial" w:eastAsiaTheme="minorEastAsia"/>
                <w:bCs/>
                <w:szCs w:val="21"/>
              </w:rPr>
              <w:t xml:space="preserve">▲五、冰鲜家禽类（鸡翅、鸡尖） </w:t>
            </w:r>
          </w:p>
          <w:p w14:paraId="0CDFE046">
            <w:pPr>
              <w:rPr>
                <w:rFonts w:ascii="Arial" w:hAnsi="Arial" w:cs="Arial" w:eastAsiaTheme="minorEastAsia"/>
                <w:bCs/>
                <w:szCs w:val="21"/>
              </w:rPr>
            </w:pPr>
            <w:r>
              <w:rPr>
                <w:rFonts w:hint="eastAsia" w:ascii="Arial" w:hAnsi="Arial" w:cs="Arial" w:eastAsiaTheme="minorEastAsia"/>
                <w:bCs/>
                <w:szCs w:val="21"/>
              </w:rPr>
              <w:t xml:space="preserve">原料包装要有SC许可编码。进口原料的外包装要有中文标识。无淤血、色泽光亮、无毛。鸡翅单体重0.1-0.15kg。 </w:t>
            </w:r>
          </w:p>
          <w:p w14:paraId="03AB9AA6">
            <w:pPr>
              <w:rPr>
                <w:rFonts w:ascii="Arial" w:hAnsi="Arial" w:cs="Arial" w:eastAsiaTheme="minorEastAsia"/>
                <w:bCs/>
                <w:szCs w:val="21"/>
              </w:rPr>
            </w:pPr>
            <w:r>
              <w:rPr>
                <w:rFonts w:hint="eastAsia" w:ascii="Arial" w:hAnsi="Arial" w:cs="Arial" w:eastAsiaTheme="minorEastAsia"/>
                <w:bCs/>
                <w:szCs w:val="21"/>
              </w:rPr>
              <w:t xml:space="preserve">▲六、蔬菜类 </w:t>
            </w:r>
          </w:p>
          <w:p w14:paraId="69589523">
            <w:pPr>
              <w:spacing w:line="400" w:lineRule="exact"/>
              <w:rPr>
                <w:rFonts w:ascii="Arial" w:hAnsi="Arial" w:cs="Arial" w:eastAsiaTheme="minorEastAsia"/>
                <w:bCs/>
                <w:szCs w:val="21"/>
              </w:rPr>
            </w:pPr>
            <w:r>
              <w:rPr>
                <w:rFonts w:hint="eastAsia" w:ascii="Arial" w:hAnsi="Arial" w:cs="Arial" w:eastAsiaTheme="minorEastAsia"/>
                <w:bCs/>
                <w:szCs w:val="21"/>
              </w:rPr>
              <w:t>蔬菜类必须保证无黄叶、枯死叶、无虫、无杂质，须24小时内采摘供应，原菜须保证菜面干净、无明显泥土、无破损、大小基本统一、不得过熟或欠熟;净菜须保证菜面完全干净、无泥土、按统一标准加工、码数整齐、无须二次处理，可以直接清淘进行熟加工。</w:t>
            </w:r>
            <w:r>
              <w:rPr>
                <w:rFonts w:ascii="Arial" w:hAnsi="Arial" w:cs="Arial"/>
                <w:bCs/>
                <w:szCs w:val="21"/>
              </w:rPr>
              <w:t>并按相关规定配送前采样送检，提供具有农药、杀虫剂等残留检测合格的报告。</w:t>
            </w:r>
            <w:r>
              <w:rPr>
                <w:rFonts w:ascii="Arial" w:hAnsi="Arial" w:cs="Arial" w:eastAsiaTheme="minorEastAsia"/>
                <w:bCs/>
                <w:szCs w:val="21"/>
              </w:rPr>
              <w:t>农药残留符合GB2763-2016《食品安全国家标准农残最大残留限量》（或最新标准）要求。</w:t>
            </w:r>
          </w:p>
          <w:p w14:paraId="065E60D2">
            <w:pPr>
              <w:rPr>
                <w:rFonts w:ascii="Arial" w:hAnsi="Arial" w:cs="Arial" w:eastAsiaTheme="minorEastAsia"/>
                <w:bCs/>
                <w:szCs w:val="21"/>
              </w:rPr>
            </w:pPr>
            <w:r>
              <w:rPr>
                <w:rFonts w:hint="eastAsia" w:ascii="Arial" w:hAnsi="Arial" w:cs="Arial" w:eastAsiaTheme="minorEastAsia"/>
                <w:bCs/>
                <w:szCs w:val="21"/>
              </w:rPr>
              <w:t xml:space="preserve">（1）根茎类：茎部不老化，个体均匀，外表圆滑，未发芽、变色。 </w:t>
            </w:r>
          </w:p>
          <w:p w14:paraId="6DB50A7D">
            <w:pPr>
              <w:rPr>
                <w:rFonts w:ascii="Arial" w:hAnsi="Arial" w:cs="Arial" w:eastAsiaTheme="minorEastAsia"/>
                <w:bCs/>
                <w:szCs w:val="21"/>
              </w:rPr>
            </w:pPr>
            <w:r>
              <w:rPr>
                <w:rFonts w:hint="eastAsia" w:ascii="Arial" w:hAnsi="Arial" w:cs="Arial" w:eastAsiaTheme="minorEastAsia"/>
                <w:bCs/>
                <w:szCs w:val="21"/>
              </w:rPr>
              <w:t xml:space="preserve">1.1莲藕：无泥、无伤、无水印。用刀切开后腹部无泥、无异味。 </w:t>
            </w:r>
          </w:p>
          <w:p w14:paraId="55605213">
            <w:pPr>
              <w:rPr>
                <w:rFonts w:ascii="Arial" w:hAnsi="Arial" w:cs="Arial" w:eastAsiaTheme="minorEastAsia"/>
                <w:bCs/>
                <w:szCs w:val="21"/>
              </w:rPr>
            </w:pPr>
            <w:r>
              <w:rPr>
                <w:rFonts w:hint="eastAsia" w:ascii="Arial" w:hAnsi="Arial" w:cs="Arial" w:eastAsiaTheme="minorEastAsia"/>
                <w:bCs/>
                <w:szCs w:val="21"/>
              </w:rPr>
              <w:t xml:space="preserve">1.2莴笋：留叶不超过四层，表皮无腐烂，体直。 </w:t>
            </w:r>
          </w:p>
          <w:p w14:paraId="6B3975B2">
            <w:pPr>
              <w:rPr>
                <w:rFonts w:ascii="Arial" w:hAnsi="Arial" w:cs="Arial" w:eastAsiaTheme="minorEastAsia"/>
                <w:bCs/>
                <w:szCs w:val="21"/>
              </w:rPr>
            </w:pPr>
            <w:r>
              <w:rPr>
                <w:rFonts w:hint="eastAsia" w:ascii="Arial" w:hAnsi="Arial" w:cs="Arial" w:eastAsiaTheme="minorEastAsia"/>
                <w:bCs/>
                <w:szCs w:val="21"/>
              </w:rPr>
              <w:t xml:space="preserve">1.3洋葱：无老皮层，手指压有结实感。 </w:t>
            </w:r>
          </w:p>
          <w:p w14:paraId="166522DB">
            <w:pPr>
              <w:rPr>
                <w:rFonts w:ascii="Arial" w:hAnsi="Arial" w:cs="Arial" w:eastAsiaTheme="minorEastAsia"/>
                <w:bCs/>
                <w:szCs w:val="21"/>
              </w:rPr>
            </w:pPr>
            <w:r>
              <w:rPr>
                <w:rFonts w:hint="eastAsia" w:ascii="Arial" w:hAnsi="Arial" w:cs="Arial" w:eastAsiaTheme="minorEastAsia"/>
                <w:bCs/>
                <w:szCs w:val="21"/>
              </w:rPr>
              <w:t xml:space="preserve">1.4白萝卜：个体均匀，无黑心、空心；单体重0.4kg以上。 </w:t>
            </w:r>
          </w:p>
          <w:p w14:paraId="40F6E255">
            <w:pPr>
              <w:rPr>
                <w:rFonts w:ascii="Arial" w:hAnsi="Arial" w:cs="Arial" w:eastAsiaTheme="minorEastAsia"/>
                <w:bCs/>
                <w:szCs w:val="21"/>
              </w:rPr>
            </w:pPr>
            <w:r>
              <w:rPr>
                <w:rFonts w:hint="eastAsia" w:ascii="Arial" w:hAnsi="Arial" w:cs="Arial" w:eastAsiaTheme="minorEastAsia"/>
                <w:bCs/>
                <w:szCs w:val="21"/>
              </w:rPr>
              <w:t xml:space="preserve">1.5 芋头：表皮无凹凸、无泥块、泥浆；切开后肉质密实，无虫害， 无腐败；单体重0.75-1.5kg。 </w:t>
            </w:r>
          </w:p>
          <w:p w14:paraId="5A55A840">
            <w:pPr>
              <w:rPr>
                <w:rFonts w:ascii="Arial" w:hAnsi="Arial" w:cs="Arial" w:eastAsiaTheme="minorEastAsia"/>
                <w:bCs/>
                <w:szCs w:val="21"/>
              </w:rPr>
            </w:pPr>
            <w:r>
              <w:rPr>
                <w:rFonts w:hint="eastAsia" w:ascii="Arial" w:hAnsi="Arial" w:cs="Arial" w:eastAsiaTheme="minorEastAsia"/>
                <w:bCs/>
                <w:szCs w:val="21"/>
              </w:rPr>
              <w:t xml:space="preserve">1.6 土豆：单体重0.25-0.4kg。 </w:t>
            </w:r>
          </w:p>
          <w:p w14:paraId="23248322">
            <w:pPr>
              <w:rPr>
                <w:rFonts w:ascii="Arial" w:hAnsi="Arial" w:cs="Arial" w:eastAsiaTheme="minorEastAsia"/>
                <w:bCs/>
                <w:szCs w:val="21"/>
              </w:rPr>
            </w:pPr>
            <w:r>
              <w:rPr>
                <w:rFonts w:hint="eastAsia" w:ascii="Arial" w:hAnsi="Arial" w:cs="Arial" w:eastAsiaTheme="minorEastAsia"/>
                <w:bCs/>
                <w:szCs w:val="21"/>
              </w:rPr>
              <w:t xml:space="preserve">1.7竹笋：体型为圆锥状，颜色为白色为佳，单棵重4kg以上。 </w:t>
            </w:r>
          </w:p>
          <w:p w14:paraId="4AC767B3">
            <w:pPr>
              <w:rPr>
                <w:rFonts w:ascii="Arial" w:hAnsi="Arial" w:cs="Arial" w:eastAsiaTheme="minorEastAsia"/>
                <w:bCs/>
                <w:szCs w:val="21"/>
              </w:rPr>
            </w:pPr>
            <w:r>
              <w:rPr>
                <w:rFonts w:hint="eastAsia" w:ascii="Arial" w:hAnsi="Arial" w:cs="Arial" w:eastAsiaTheme="minorEastAsia"/>
                <w:bCs/>
                <w:szCs w:val="21"/>
              </w:rPr>
              <w:t xml:space="preserve">1.8西芹：体型大为佳，单棵重1kg以上。 </w:t>
            </w:r>
          </w:p>
          <w:p w14:paraId="5EE20848">
            <w:pPr>
              <w:rPr>
                <w:rFonts w:ascii="Arial" w:hAnsi="Arial" w:cs="Arial" w:eastAsiaTheme="minorEastAsia"/>
                <w:bCs/>
                <w:szCs w:val="21"/>
              </w:rPr>
            </w:pPr>
            <w:r>
              <w:rPr>
                <w:rFonts w:hint="eastAsia" w:ascii="Arial" w:hAnsi="Arial" w:cs="Arial" w:eastAsiaTheme="minorEastAsia"/>
                <w:bCs/>
                <w:szCs w:val="21"/>
              </w:rPr>
              <w:t>（2）叶菜类：色泽鲜亮，切口不变色，叶片挺而不干枯、不发黄； 质地脆嫩、坚挺。球形叶菜坚实、无老邦。</w:t>
            </w:r>
          </w:p>
          <w:p w14:paraId="20648C39">
            <w:pPr>
              <w:rPr>
                <w:rFonts w:ascii="Arial" w:hAnsi="Arial" w:cs="Arial" w:eastAsiaTheme="minorEastAsia"/>
                <w:bCs/>
                <w:szCs w:val="21"/>
              </w:rPr>
            </w:pPr>
            <w:r>
              <w:rPr>
                <w:rFonts w:hint="eastAsia" w:ascii="Arial" w:hAnsi="Arial" w:cs="Arial" w:eastAsiaTheme="minorEastAsia"/>
                <w:bCs/>
                <w:szCs w:val="21"/>
              </w:rPr>
              <w:t>（3）瓜果类：允许果形有轻微缺点，但不得变形、过熟。</w:t>
            </w:r>
            <w:r>
              <w:rPr>
                <w:rFonts w:ascii="Arial" w:hAnsi="Arial" w:cs="Arial"/>
                <w:bCs/>
                <w:szCs w:val="21"/>
              </w:rPr>
              <w:t>无斑点、疤点、断裂、畸形、软化、变质等现象。</w:t>
            </w:r>
          </w:p>
          <w:p w14:paraId="4C6426EC">
            <w:pPr>
              <w:rPr>
                <w:rFonts w:ascii="Arial" w:hAnsi="Arial" w:cs="Arial" w:eastAsiaTheme="minorEastAsia"/>
                <w:bCs/>
                <w:szCs w:val="21"/>
              </w:rPr>
            </w:pPr>
            <w:r>
              <w:rPr>
                <w:rFonts w:hint="eastAsia" w:ascii="Arial" w:hAnsi="Arial" w:cs="Arial" w:eastAsiaTheme="minorEastAsia"/>
                <w:bCs/>
                <w:szCs w:val="21"/>
              </w:rPr>
              <w:t xml:space="preserve">3.1青瓜：体型略直，无异型，表皮无擦伤。 </w:t>
            </w:r>
          </w:p>
          <w:p w14:paraId="3935F8C3">
            <w:pPr>
              <w:rPr>
                <w:rFonts w:ascii="Arial" w:hAnsi="Arial" w:cs="Arial" w:eastAsiaTheme="minorEastAsia"/>
                <w:bCs/>
                <w:szCs w:val="21"/>
              </w:rPr>
            </w:pPr>
            <w:r>
              <w:rPr>
                <w:rFonts w:hint="eastAsia" w:ascii="Arial" w:hAnsi="Arial" w:cs="Arial" w:eastAsiaTheme="minorEastAsia"/>
                <w:bCs/>
                <w:szCs w:val="21"/>
              </w:rPr>
              <w:t xml:space="preserve">3.2节瓜：表皮无擦伤，个体均匀，无空心，手掂有重量感。 </w:t>
            </w:r>
          </w:p>
          <w:p w14:paraId="66952030">
            <w:pPr>
              <w:rPr>
                <w:rFonts w:ascii="Arial" w:hAnsi="Arial" w:cs="Arial" w:eastAsiaTheme="minorEastAsia"/>
                <w:bCs/>
                <w:szCs w:val="21"/>
              </w:rPr>
            </w:pPr>
            <w:r>
              <w:rPr>
                <w:rFonts w:hint="eastAsia" w:ascii="Arial" w:hAnsi="Arial" w:cs="Arial" w:eastAsiaTheme="minorEastAsia"/>
                <w:bCs/>
                <w:szCs w:val="21"/>
              </w:rPr>
              <w:t xml:space="preserve">（4）菇菌类：外形饱满，个体均匀，无异味，不发霉、变黑。 </w:t>
            </w:r>
          </w:p>
          <w:p w14:paraId="0200B8FE">
            <w:pPr>
              <w:rPr>
                <w:rFonts w:ascii="Arial" w:hAnsi="Arial" w:cs="Arial" w:eastAsiaTheme="minorEastAsia"/>
                <w:bCs/>
                <w:szCs w:val="21"/>
              </w:rPr>
            </w:pPr>
            <w:r>
              <w:rPr>
                <w:rFonts w:hint="eastAsia" w:ascii="Arial" w:hAnsi="Arial" w:cs="Arial" w:eastAsiaTheme="minorEastAsia"/>
                <w:bCs/>
                <w:szCs w:val="21"/>
              </w:rPr>
              <w:t xml:space="preserve">▲七、腌制品类：按国家标准，亚硝酸盐不能超标。 </w:t>
            </w:r>
          </w:p>
          <w:p w14:paraId="70C59CCC">
            <w:pPr>
              <w:rPr>
                <w:rFonts w:ascii="Arial" w:hAnsi="Arial" w:cs="Arial" w:eastAsiaTheme="minorEastAsia"/>
                <w:bCs/>
                <w:szCs w:val="21"/>
              </w:rPr>
            </w:pPr>
            <w:r>
              <w:rPr>
                <w:rFonts w:hint="eastAsia" w:ascii="Arial" w:hAnsi="Arial" w:cs="Arial" w:eastAsiaTheme="minorEastAsia"/>
                <w:bCs/>
                <w:szCs w:val="21"/>
              </w:rPr>
              <w:t xml:space="preserve">（1）酸菜：菜帮微白透明，菜叶稍微有些黄，具有浓郁酸香味，有弹性。 </w:t>
            </w:r>
          </w:p>
          <w:p w14:paraId="681D249D">
            <w:pPr>
              <w:rPr>
                <w:rFonts w:ascii="Arial" w:hAnsi="Arial" w:cs="Arial" w:eastAsiaTheme="minorEastAsia"/>
                <w:bCs/>
                <w:szCs w:val="21"/>
              </w:rPr>
            </w:pPr>
            <w:r>
              <w:rPr>
                <w:rFonts w:hint="eastAsia" w:ascii="Arial" w:hAnsi="Arial" w:cs="Arial" w:eastAsiaTheme="minorEastAsia"/>
                <w:bCs/>
                <w:szCs w:val="21"/>
              </w:rPr>
              <w:t xml:space="preserve">（2）酸豆角：选用色泽好，大小一致，无虫子咬过的新鲜嫩豆角制作。 </w:t>
            </w:r>
          </w:p>
          <w:p w14:paraId="4112782C">
            <w:pPr>
              <w:rPr>
                <w:rFonts w:ascii="Arial" w:hAnsi="Arial" w:cs="Arial" w:eastAsiaTheme="minorEastAsia"/>
                <w:bCs/>
                <w:szCs w:val="21"/>
              </w:rPr>
            </w:pPr>
            <w:r>
              <w:rPr>
                <w:rFonts w:hint="eastAsia" w:ascii="Arial" w:hAnsi="Arial" w:cs="Arial" w:eastAsiaTheme="minorEastAsia"/>
                <w:bCs/>
                <w:szCs w:val="21"/>
              </w:rPr>
              <w:t xml:space="preserve">（3）榨菜丝：外表呈青色或淡黄色，表面附有辣椒粉涂染的红色， 有光泽，菜体脆爽，气味浓郁鲜香。 </w:t>
            </w:r>
          </w:p>
          <w:p w14:paraId="7C99015A">
            <w:pPr>
              <w:rPr>
                <w:rFonts w:ascii="Arial" w:hAnsi="Arial" w:cs="Arial" w:eastAsiaTheme="minorEastAsia"/>
                <w:bCs/>
                <w:szCs w:val="21"/>
              </w:rPr>
            </w:pPr>
            <w:r>
              <w:rPr>
                <w:rFonts w:hint="eastAsia" w:ascii="Arial" w:hAnsi="Arial" w:cs="Arial" w:eastAsiaTheme="minorEastAsia"/>
                <w:bCs/>
                <w:szCs w:val="21"/>
              </w:rPr>
              <w:t xml:space="preserve">（4）萝卜干：色泽金黄，皮嫩肉脆，甘香味美。 </w:t>
            </w:r>
          </w:p>
          <w:p w14:paraId="14D5E3F1">
            <w:pPr>
              <w:rPr>
                <w:rFonts w:ascii="Arial" w:hAnsi="Arial" w:cs="Arial" w:eastAsiaTheme="minorEastAsia"/>
                <w:bCs/>
                <w:szCs w:val="21"/>
              </w:rPr>
            </w:pPr>
            <w:r>
              <w:rPr>
                <w:rFonts w:hint="eastAsia" w:ascii="Arial" w:hAnsi="Arial" w:cs="Arial" w:eastAsiaTheme="minorEastAsia"/>
                <w:bCs/>
                <w:szCs w:val="21"/>
              </w:rPr>
              <w:t xml:space="preserve">▲八、豆制品类 </w:t>
            </w:r>
          </w:p>
          <w:p w14:paraId="6C964CF8">
            <w:pPr>
              <w:rPr>
                <w:rFonts w:ascii="Arial" w:hAnsi="Arial" w:cs="Arial" w:eastAsiaTheme="minorEastAsia"/>
                <w:bCs/>
                <w:szCs w:val="21"/>
              </w:rPr>
            </w:pPr>
            <w:r>
              <w:rPr>
                <w:rFonts w:hint="eastAsia" w:ascii="Arial" w:hAnsi="Arial" w:cs="Arial" w:eastAsiaTheme="minorEastAsia"/>
                <w:bCs/>
                <w:szCs w:val="21"/>
              </w:rPr>
              <w:t>产品符合国家食品安全要求，证照齐全，新鲜，无异味，无腐烂；须保证食材干净、不含非食品用化学物质、按统一标准加工、无须二次处理可以直接清洗后进行熟加工。</w:t>
            </w:r>
          </w:p>
          <w:p w14:paraId="5D13BDAE">
            <w:pPr>
              <w:rPr>
                <w:rFonts w:ascii="Arial" w:hAnsi="Arial" w:cs="Arial" w:eastAsiaTheme="minorEastAsia"/>
                <w:bCs/>
                <w:szCs w:val="21"/>
              </w:rPr>
            </w:pPr>
            <w:r>
              <w:rPr>
                <w:rFonts w:hint="eastAsia" w:ascii="Arial" w:hAnsi="Arial" w:cs="Arial" w:eastAsiaTheme="minorEastAsia"/>
                <w:bCs/>
                <w:szCs w:val="21"/>
              </w:rPr>
              <w:t xml:space="preserve">▲九、调理半成品类 </w:t>
            </w:r>
          </w:p>
          <w:p w14:paraId="59609227">
            <w:pPr>
              <w:rPr>
                <w:rFonts w:ascii="Arial" w:hAnsi="Arial" w:cs="Arial" w:eastAsiaTheme="minorEastAsia"/>
                <w:bCs/>
                <w:szCs w:val="21"/>
              </w:rPr>
            </w:pPr>
            <w:r>
              <w:rPr>
                <w:rFonts w:hint="eastAsia" w:ascii="Arial" w:hAnsi="Arial" w:cs="Arial" w:eastAsiaTheme="minorEastAsia"/>
                <w:bCs/>
                <w:szCs w:val="21"/>
              </w:rPr>
              <w:t xml:space="preserve">品质要求：符合国家及行业相关标准，提供相应证件及相关质量检验报告。产品外包装上明确标注产品名称、规格、生产日期、保质期、生产厂家、生产地点等，具有 SC 许可编码，符合《食品安全法》基本要求。 </w:t>
            </w:r>
          </w:p>
          <w:p w14:paraId="68D3C91E">
            <w:pPr>
              <w:rPr>
                <w:rFonts w:ascii="Arial" w:hAnsi="Arial" w:cs="Arial" w:eastAsiaTheme="minorEastAsia"/>
                <w:bCs/>
                <w:szCs w:val="21"/>
              </w:rPr>
            </w:pPr>
            <w:r>
              <w:rPr>
                <w:rFonts w:hint="eastAsia" w:ascii="Arial" w:hAnsi="Arial" w:cs="Arial" w:eastAsiaTheme="minorEastAsia"/>
                <w:bCs/>
                <w:szCs w:val="21"/>
              </w:rPr>
              <w:t xml:space="preserve">▲十、冻品类 </w:t>
            </w:r>
          </w:p>
          <w:p w14:paraId="1FD773C5">
            <w:pPr>
              <w:rPr>
                <w:rFonts w:ascii="Arial" w:hAnsi="Arial" w:cs="Arial" w:eastAsiaTheme="minorEastAsia"/>
                <w:bCs/>
                <w:szCs w:val="21"/>
              </w:rPr>
            </w:pPr>
            <w:r>
              <w:rPr>
                <w:rFonts w:hint="eastAsia" w:ascii="Arial" w:hAnsi="Arial" w:cs="Arial" w:eastAsiaTheme="minorEastAsia"/>
                <w:bCs/>
                <w:szCs w:val="21"/>
              </w:rPr>
              <w:t xml:space="preserve">（1）冷冻产品的供应商须具备有固定专用的冷冻场地及设备。 </w:t>
            </w:r>
          </w:p>
          <w:p w14:paraId="27810750">
            <w:pPr>
              <w:rPr>
                <w:rFonts w:ascii="Arial" w:hAnsi="Arial" w:cs="Arial" w:eastAsiaTheme="minorEastAsia"/>
                <w:bCs/>
                <w:szCs w:val="21"/>
              </w:rPr>
            </w:pPr>
            <w:r>
              <w:rPr>
                <w:rFonts w:hint="eastAsia" w:ascii="Arial" w:hAnsi="Arial" w:cs="Arial" w:eastAsiaTheme="minorEastAsia"/>
                <w:bCs/>
                <w:szCs w:val="21"/>
              </w:rPr>
              <w:t xml:space="preserve">（2）供应的每一批冷冻产品必须出具产品检疫检验合格报告和保质期限证明。 </w:t>
            </w:r>
          </w:p>
          <w:p w14:paraId="1C024B20">
            <w:pPr>
              <w:rPr>
                <w:rFonts w:ascii="Arial" w:hAnsi="Arial" w:cs="Arial" w:eastAsiaTheme="minorEastAsia"/>
                <w:bCs/>
                <w:szCs w:val="21"/>
              </w:rPr>
            </w:pPr>
            <w:r>
              <w:rPr>
                <w:rFonts w:hint="eastAsia" w:ascii="Arial" w:hAnsi="Arial" w:cs="Arial" w:eastAsiaTheme="minorEastAsia"/>
                <w:bCs/>
                <w:szCs w:val="21"/>
              </w:rPr>
              <w:t xml:space="preserve">（3）保证产品质量，供应保质期内的产品，不得供应过期变质、来历不明和存在质量问题的产品。 </w:t>
            </w:r>
          </w:p>
          <w:p w14:paraId="1F08D3E8">
            <w:pPr>
              <w:rPr>
                <w:rFonts w:ascii="Arial" w:hAnsi="Arial" w:cs="Arial" w:eastAsiaTheme="minorEastAsia"/>
                <w:bCs/>
                <w:szCs w:val="21"/>
              </w:rPr>
            </w:pPr>
            <w:r>
              <w:rPr>
                <w:rFonts w:hint="eastAsia" w:ascii="Arial" w:hAnsi="Arial" w:cs="Arial" w:eastAsiaTheme="minorEastAsia"/>
                <w:bCs/>
                <w:szCs w:val="21"/>
              </w:rPr>
              <w:t xml:space="preserve">▲十一、水果类 </w:t>
            </w:r>
          </w:p>
          <w:p w14:paraId="30B6377C">
            <w:pPr>
              <w:rPr>
                <w:rFonts w:ascii="Arial" w:hAnsi="Arial" w:cs="Arial" w:eastAsiaTheme="minorEastAsia"/>
                <w:bCs/>
                <w:szCs w:val="21"/>
              </w:rPr>
            </w:pPr>
            <w:r>
              <w:rPr>
                <w:rFonts w:hint="eastAsia" w:ascii="Arial" w:hAnsi="Arial" w:cs="Arial" w:eastAsiaTheme="minorEastAsia"/>
                <w:bCs/>
                <w:szCs w:val="21"/>
              </w:rPr>
              <w:t>水果色泽鲜艳、果肉香甜，成熟度适中，无裂果及空洞现象，表皮平滑无污斑，脆嫩多汁，无青皮、果身结实、异味、无明显机械伤、腐烂等现象。且产品须有《无农药残留检测报告》。</w:t>
            </w:r>
          </w:p>
          <w:p w14:paraId="597B5F78">
            <w:pPr>
              <w:rPr>
                <w:rFonts w:ascii="Arial" w:hAnsi="Arial" w:cs="Arial" w:eastAsiaTheme="minorEastAsia"/>
                <w:bCs/>
                <w:szCs w:val="21"/>
              </w:rPr>
            </w:pPr>
            <w:r>
              <w:rPr>
                <w:rFonts w:hint="eastAsia" w:ascii="Arial" w:hAnsi="Arial" w:cs="Arial" w:eastAsiaTheme="minorEastAsia"/>
                <w:bCs/>
                <w:szCs w:val="21"/>
              </w:rPr>
              <w:t xml:space="preserve">（1）柑橘类：果实结实、有弹性，手掂有重量感，果形完整、果肉酸甜清香，有色泽、无疤痕、不萎缩、不变色、不挤压变形，柚类无褐斑、黑点；单果重100-150克。 </w:t>
            </w:r>
          </w:p>
          <w:p w14:paraId="6D0A6D1C">
            <w:pPr>
              <w:rPr>
                <w:rFonts w:ascii="Arial" w:hAnsi="Arial" w:cs="Arial" w:eastAsiaTheme="minorEastAsia"/>
                <w:bCs/>
                <w:szCs w:val="21"/>
              </w:rPr>
            </w:pPr>
            <w:r>
              <w:rPr>
                <w:rFonts w:hint="eastAsia" w:ascii="Arial" w:hAnsi="Arial" w:cs="Arial" w:eastAsiaTheme="minorEastAsia"/>
                <w:bCs/>
                <w:szCs w:val="21"/>
              </w:rPr>
              <w:t>（2）橘子：果实扁圆，果皮松软易剥、色泽浅黄、金黄至金红色；果肉酸甜清香，单果重100-150克。</w:t>
            </w:r>
          </w:p>
          <w:p w14:paraId="4408C84D">
            <w:pPr>
              <w:rPr>
                <w:rFonts w:ascii="Arial" w:hAnsi="Arial" w:cs="Arial" w:eastAsiaTheme="minorEastAsia"/>
                <w:bCs/>
                <w:szCs w:val="21"/>
              </w:rPr>
            </w:pPr>
            <w:r>
              <w:rPr>
                <w:rFonts w:hint="eastAsia" w:ascii="Arial" w:hAnsi="Arial" w:cs="Arial" w:eastAsiaTheme="minorEastAsia"/>
                <w:bCs/>
                <w:szCs w:val="21"/>
              </w:rPr>
              <w:t>（3）金橘：果实小呈椭圆，果皮细薄，果肉多汁，香气浓郁。</w:t>
            </w:r>
          </w:p>
          <w:p w14:paraId="1FF91900">
            <w:pPr>
              <w:rPr>
                <w:rFonts w:ascii="Arial" w:hAnsi="Arial" w:cs="Arial" w:eastAsiaTheme="minorEastAsia"/>
                <w:bCs/>
                <w:szCs w:val="21"/>
              </w:rPr>
            </w:pPr>
            <w:r>
              <w:rPr>
                <w:rFonts w:hint="eastAsia" w:ascii="Arial" w:hAnsi="Arial" w:cs="Arial" w:eastAsiaTheme="minorEastAsia"/>
                <w:bCs/>
                <w:szCs w:val="21"/>
              </w:rPr>
              <w:t xml:space="preserve">（4）苹果类（ 蛇果、青苹果、红富士、黄金帅等）：结实多汁、有光泽，表面光滑，无压伤、疤痕，不干皱、腐烂；单果重 175-200 克。 </w:t>
            </w:r>
          </w:p>
          <w:p w14:paraId="3240E579">
            <w:pPr>
              <w:rPr>
                <w:rFonts w:ascii="Arial" w:hAnsi="Arial" w:cs="Arial" w:eastAsiaTheme="minorEastAsia"/>
                <w:bCs/>
                <w:szCs w:val="21"/>
              </w:rPr>
            </w:pPr>
            <w:r>
              <w:rPr>
                <w:rFonts w:hint="eastAsia" w:ascii="Arial" w:hAnsi="Arial" w:cs="Arial" w:eastAsiaTheme="minorEastAsia"/>
                <w:bCs/>
                <w:szCs w:val="21"/>
              </w:rPr>
              <w:t xml:space="preserve">（5）梨类（鸭梨、啤梨、水晶梨、雪梨、贡梨、香梨等）：结实、甜而多汁，个体均匀、不变色、不干皱，无压伤；单果重175-200 克。 </w:t>
            </w:r>
          </w:p>
          <w:p w14:paraId="7EB02FF1">
            <w:pPr>
              <w:rPr>
                <w:rFonts w:ascii="Arial" w:hAnsi="Arial" w:cs="Arial" w:eastAsiaTheme="minorEastAsia"/>
                <w:bCs/>
                <w:szCs w:val="21"/>
              </w:rPr>
            </w:pPr>
            <w:r>
              <w:rPr>
                <w:rFonts w:hint="eastAsia" w:ascii="Arial" w:hAnsi="Arial" w:cs="Arial" w:eastAsiaTheme="minorEastAsia"/>
                <w:bCs/>
                <w:szCs w:val="21"/>
              </w:rPr>
              <w:t xml:space="preserve">（6）水蜜桃：果皮粉红带绒毛，不过熟略硬，果肉香甜爽滑多汁。单体重 175-200 克。 </w:t>
            </w:r>
          </w:p>
          <w:p w14:paraId="482C1A59">
            <w:pPr>
              <w:rPr>
                <w:rFonts w:ascii="Arial" w:hAnsi="Arial" w:cs="Arial" w:eastAsiaTheme="minorEastAsia"/>
                <w:bCs/>
                <w:szCs w:val="21"/>
              </w:rPr>
            </w:pPr>
            <w:r>
              <w:rPr>
                <w:rFonts w:hint="eastAsia" w:ascii="Arial" w:hAnsi="Arial" w:cs="Arial" w:eastAsiaTheme="minorEastAsia"/>
                <w:bCs/>
                <w:szCs w:val="21"/>
              </w:rPr>
              <w:t>（7）浆果类（提子、葡萄、奇异果、猕猴桃、草莓）：果实结实饱满，多汁甘甜， 大小均匀，无压伤，无失水干缩，无过熟。</w:t>
            </w:r>
          </w:p>
          <w:p w14:paraId="5EFBB474">
            <w:pPr>
              <w:rPr>
                <w:rFonts w:ascii="Arial" w:hAnsi="Arial" w:cs="Arial" w:eastAsiaTheme="minorEastAsia"/>
                <w:bCs/>
                <w:szCs w:val="21"/>
              </w:rPr>
            </w:pPr>
            <w:r>
              <w:rPr>
                <w:rFonts w:hint="eastAsia" w:ascii="Arial" w:hAnsi="Arial" w:cs="Arial" w:eastAsiaTheme="minorEastAsia"/>
                <w:bCs/>
                <w:szCs w:val="21"/>
              </w:rPr>
              <w:t xml:space="preserve">（8）瓜类（哈密瓜、香瓜、木瓜、西瓜等）：果形完整，结实、无开裂、无压伤。 </w:t>
            </w:r>
          </w:p>
          <w:p w14:paraId="7946A419">
            <w:pPr>
              <w:rPr>
                <w:rFonts w:ascii="Arial" w:hAnsi="Arial" w:cs="Arial" w:eastAsiaTheme="minorEastAsia"/>
                <w:bCs/>
                <w:szCs w:val="21"/>
              </w:rPr>
            </w:pPr>
            <w:r>
              <w:rPr>
                <w:rFonts w:hint="eastAsia" w:ascii="Arial" w:hAnsi="Arial" w:cs="Arial" w:eastAsiaTheme="minorEastAsia"/>
                <w:bCs/>
                <w:szCs w:val="21"/>
              </w:rPr>
              <w:t>（9）哈密瓜：果皮黄绿、绿白或金黄，厚而粗糙，带有凸起纹路，果形椭圆，果肉甜香多汁、爽滑。</w:t>
            </w:r>
          </w:p>
          <w:p w14:paraId="26124ABF">
            <w:pPr>
              <w:rPr>
                <w:rFonts w:ascii="Arial" w:hAnsi="Arial" w:cs="Arial" w:eastAsiaTheme="minorEastAsia"/>
                <w:bCs/>
                <w:szCs w:val="21"/>
              </w:rPr>
            </w:pPr>
            <w:r>
              <w:rPr>
                <w:rFonts w:hint="eastAsia" w:ascii="Arial" w:hAnsi="Arial" w:cs="Arial" w:eastAsiaTheme="minorEastAsia"/>
                <w:bCs/>
                <w:szCs w:val="21"/>
              </w:rPr>
              <w:t xml:space="preserve">（10）西瓜：果形完整、有光泽，带暗条纹品种花纹要清晰，汁多爽甜，无开裂、发软，疤痕、斑点。 </w:t>
            </w:r>
          </w:p>
          <w:p w14:paraId="26CA3803">
            <w:pPr>
              <w:rPr>
                <w:rFonts w:ascii="Arial" w:hAnsi="Arial" w:cs="Arial" w:eastAsiaTheme="minorEastAsia"/>
                <w:bCs/>
                <w:szCs w:val="21"/>
              </w:rPr>
            </w:pPr>
            <w:r>
              <w:rPr>
                <w:rFonts w:hint="eastAsia" w:ascii="Arial" w:hAnsi="Arial" w:cs="Arial" w:eastAsiaTheme="minorEastAsia"/>
                <w:bCs/>
                <w:szCs w:val="21"/>
              </w:rPr>
              <w:t xml:space="preserve">（11）热带水果类： </w:t>
            </w:r>
          </w:p>
          <w:p w14:paraId="36D38E87">
            <w:pPr>
              <w:rPr>
                <w:rFonts w:ascii="Arial" w:hAnsi="Arial" w:cs="Arial" w:eastAsiaTheme="minorEastAsia"/>
                <w:bCs/>
                <w:szCs w:val="21"/>
              </w:rPr>
            </w:pPr>
            <w:r>
              <w:rPr>
                <w:rFonts w:hint="eastAsia" w:ascii="Arial" w:hAnsi="Arial" w:cs="Arial" w:eastAsiaTheme="minorEastAsia"/>
                <w:bCs/>
                <w:szCs w:val="21"/>
              </w:rPr>
              <w:t>1）火龙果：表皮鲜红，叶片鲜绿，结实而有弹性，果肉白、有黑色种子，口味淡甜。</w:t>
            </w:r>
          </w:p>
          <w:p w14:paraId="6D0F96CC">
            <w:pPr>
              <w:rPr>
                <w:rFonts w:ascii="Arial" w:hAnsi="Arial" w:cs="Arial" w:eastAsiaTheme="minorEastAsia"/>
                <w:bCs/>
                <w:szCs w:val="21"/>
              </w:rPr>
            </w:pPr>
            <w:r>
              <w:rPr>
                <w:rFonts w:hint="eastAsia" w:ascii="Arial" w:hAnsi="Arial" w:cs="Arial" w:eastAsiaTheme="minorEastAsia"/>
                <w:bCs/>
                <w:szCs w:val="21"/>
              </w:rPr>
              <w:t>2）枇杷：果实尖圆、色橙红，结实有弹性，果肉甜香。</w:t>
            </w:r>
          </w:p>
          <w:p w14:paraId="0A191470">
            <w:pPr>
              <w:rPr>
                <w:rFonts w:ascii="Arial" w:hAnsi="Arial" w:cs="Arial" w:eastAsiaTheme="minorEastAsia"/>
                <w:bCs/>
                <w:szCs w:val="21"/>
              </w:rPr>
            </w:pPr>
            <w:r>
              <w:rPr>
                <w:rFonts w:hint="eastAsia" w:ascii="Arial" w:hAnsi="Arial" w:cs="Arial" w:eastAsiaTheme="minorEastAsia"/>
                <w:bCs/>
                <w:szCs w:val="21"/>
              </w:rPr>
              <w:t>3）芒果：果粒大小均匀，果皮光滑细腻，果肉幼滑甜香。</w:t>
            </w:r>
          </w:p>
          <w:p w14:paraId="7F31B7C5">
            <w:pPr>
              <w:rPr>
                <w:rFonts w:ascii="Arial" w:hAnsi="Arial" w:cs="Arial" w:eastAsiaTheme="minorEastAsia"/>
                <w:bCs/>
                <w:szCs w:val="21"/>
              </w:rPr>
            </w:pPr>
            <w:r>
              <w:rPr>
                <w:rFonts w:hint="eastAsia" w:ascii="Arial" w:hAnsi="Arial" w:cs="Arial" w:eastAsiaTheme="minorEastAsia"/>
                <w:bCs/>
                <w:szCs w:val="21"/>
              </w:rPr>
              <w:t>4）香蕉：果实象牙状，未成熟青绿色、成熟后鲜黄色，软糯香甜。无表皮发黑，果柄腐烂，压伤、冻伤。单果重 150-200 克。</w:t>
            </w:r>
          </w:p>
          <w:p w14:paraId="3163EB6A">
            <w:pPr>
              <w:rPr>
                <w:rFonts w:ascii="Arial" w:hAnsi="Arial" w:cs="Arial" w:eastAsiaTheme="minorEastAsia"/>
                <w:bCs/>
                <w:szCs w:val="21"/>
              </w:rPr>
            </w:pPr>
            <w:r>
              <w:rPr>
                <w:rFonts w:hint="eastAsia" w:ascii="Arial" w:hAnsi="Arial" w:cs="Arial" w:eastAsiaTheme="minorEastAsia"/>
                <w:bCs/>
                <w:szCs w:val="21"/>
              </w:rPr>
              <w:t xml:space="preserve">5）龙眼：果实小而圆，果皮浅咖啡色，果肉甜、多汁；无表皮发黑，爆裂、出水。 </w:t>
            </w:r>
          </w:p>
          <w:p w14:paraId="614B1C3F">
            <w:pPr>
              <w:rPr>
                <w:rFonts w:ascii="Arial" w:hAnsi="Arial" w:cs="Arial" w:eastAsiaTheme="minorEastAsia"/>
                <w:bCs/>
                <w:szCs w:val="21"/>
              </w:rPr>
            </w:pPr>
            <w:r>
              <w:rPr>
                <w:rFonts w:hint="eastAsia" w:ascii="Arial" w:hAnsi="Arial" w:cs="Arial" w:eastAsiaTheme="minorEastAsia"/>
                <w:bCs/>
                <w:szCs w:val="21"/>
              </w:rPr>
              <w:t xml:space="preserve">6）荔枝：果实心形，色泽鲜红带绿，口感结实有弹性，香甜美味，脆嫩多汁，无爆裂。 </w:t>
            </w:r>
          </w:p>
          <w:p w14:paraId="19877574">
            <w:pPr>
              <w:rPr>
                <w:rFonts w:ascii="Arial" w:hAnsi="Arial" w:cs="Arial" w:eastAsiaTheme="minorEastAsia"/>
                <w:bCs/>
                <w:szCs w:val="21"/>
              </w:rPr>
            </w:pPr>
            <w:r>
              <w:rPr>
                <w:rFonts w:hint="eastAsia" w:ascii="Arial" w:hAnsi="Arial" w:cs="Arial" w:eastAsiaTheme="minorEastAsia"/>
                <w:bCs/>
                <w:szCs w:val="21"/>
              </w:rPr>
              <w:t xml:space="preserve">7）杨桃：果实呈星形，色浅绿，成熟后金黄色，表皮有光泽，果肉晶莹，口味酸甜。单果重 0.2-0.8kg。 </w:t>
            </w:r>
          </w:p>
          <w:p w14:paraId="7CB1B170">
            <w:pPr>
              <w:rPr>
                <w:rFonts w:ascii="Arial" w:hAnsi="Arial" w:cs="Arial" w:eastAsiaTheme="minorEastAsia"/>
                <w:bCs/>
                <w:szCs w:val="21"/>
              </w:rPr>
            </w:pPr>
            <w:r>
              <w:rPr>
                <w:rFonts w:hint="eastAsia" w:ascii="Arial" w:hAnsi="Arial" w:cs="Arial" w:eastAsiaTheme="minorEastAsia"/>
                <w:bCs/>
                <w:szCs w:val="21"/>
              </w:rPr>
              <w:t xml:space="preserve">8）柠檬（酸柠檬）：表皮光滑，个体均匀；手撕开果后有浆状物呈出。 </w:t>
            </w:r>
          </w:p>
          <w:p w14:paraId="47F10EC5">
            <w:pPr>
              <w:rPr>
                <w:rFonts w:ascii="Arial" w:hAnsi="Arial" w:cs="Arial" w:eastAsiaTheme="minorEastAsia"/>
                <w:bCs/>
                <w:szCs w:val="21"/>
              </w:rPr>
            </w:pPr>
            <w:r>
              <w:rPr>
                <w:rFonts w:hint="eastAsia" w:ascii="Arial" w:hAnsi="Arial" w:cs="Arial" w:eastAsiaTheme="minorEastAsia"/>
                <w:bCs/>
                <w:szCs w:val="21"/>
              </w:rPr>
              <w:t xml:space="preserve">▲十二、鲜湿米粉类 </w:t>
            </w:r>
          </w:p>
          <w:p w14:paraId="05D089CA">
            <w:pPr>
              <w:rPr>
                <w:rFonts w:ascii="Arial" w:hAnsi="Arial" w:cs="Arial" w:eastAsiaTheme="minorEastAsia"/>
                <w:bCs/>
                <w:szCs w:val="21"/>
              </w:rPr>
            </w:pPr>
            <w:r>
              <w:rPr>
                <w:rFonts w:hint="eastAsia" w:ascii="Arial" w:hAnsi="Arial" w:cs="Arial" w:eastAsiaTheme="minorEastAsia"/>
                <w:bCs/>
                <w:szCs w:val="21"/>
              </w:rPr>
              <w:t xml:space="preserve">鲜湿切、圆粉：产品符合国家食品安全要求，证照齐全，具有SC许可编码，新鲜、不添加任何非法添加剂，送货时间及时，随时能补充新鲜产品，米粉加工设备先进，符合现代餐饮需要，生产工艺先进。 </w:t>
            </w:r>
          </w:p>
        </w:tc>
      </w:tr>
      <w:tr w14:paraId="0271B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84" w:type="dxa"/>
            <w:tcBorders>
              <w:top w:val="single" w:color="auto" w:sz="4" w:space="0"/>
              <w:left w:val="single" w:color="auto" w:sz="4" w:space="0"/>
              <w:bottom w:val="single" w:color="auto" w:sz="4" w:space="0"/>
              <w:right w:val="single" w:color="auto" w:sz="4" w:space="0"/>
            </w:tcBorders>
            <w:vAlign w:val="center"/>
          </w:tcPr>
          <w:p w14:paraId="189705CB">
            <w:pPr>
              <w:ind w:left="416"/>
              <w:rPr>
                <w:rFonts w:hint="eastAsia" w:ascii="宋体" w:hAnsi="宋体"/>
                <w:b/>
                <w:szCs w:val="21"/>
              </w:rPr>
            </w:pPr>
          </w:p>
        </w:tc>
        <w:tc>
          <w:tcPr>
            <w:tcW w:w="1655" w:type="dxa"/>
            <w:tcBorders>
              <w:top w:val="single" w:color="auto" w:sz="4" w:space="0"/>
              <w:left w:val="single" w:color="auto" w:sz="4" w:space="0"/>
              <w:bottom w:val="single" w:color="auto" w:sz="4" w:space="0"/>
              <w:right w:val="single" w:color="auto" w:sz="4" w:space="0"/>
            </w:tcBorders>
            <w:vAlign w:val="center"/>
          </w:tcPr>
          <w:p w14:paraId="74C5FDC8">
            <w:pPr>
              <w:jc w:val="center"/>
              <w:rPr>
                <w:rFonts w:hint="eastAsia" w:ascii="宋体" w:hAnsi="宋体"/>
                <w:szCs w:val="21"/>
              </w:rPr>
            </w:pPr>
          </w:p>
        </w:tc>
        <w:tc>
          <w:tcPr>
            <w:tcW w:w="708" w:type="dxa"/>
            <w:tcBorders>
              <w:top w:val="single" w:color="auto" w:sz="4" w:space="0"/>
              <w:left w:val="single" w:color="auto" w:sz="4" w:space="0"/>
              <w:bottom w:val="single" w:color="auto" w:sz="4" w:space="0"/>
              <w:right w:val="single" w:color="auto" w:sz="4" w:space="0"/>
            </w:tcBorders>
            <w:vAlign w:val="center"/>
          </w:tcPr>
          <w:p w14:paraId="6AA5D4F8">
            <w:pPr>
              <w:jc w:val="center"/>
              <w:rPr>
                <w:rFonts w:hint="eastAsia" w:ascii="宋体" w:hAnsi="宋体"/>
                <w:szCs w:val="21"/>
              </w:rPr>
            </w:pPr>
          </w:p>
        </w:tc>
        <w:tc>
          <w:tcPr>
            <w:tcW w:w="709" w:type="dxa"/>
            <w:tcBorders>
              <w:top w:val="single" w:color="auto" w:sz="4" w:space="0"/>
              <w:left w:val="single" w:color="auto" w:sz="4" w:space="0"/>
              <w:bottom w:val="single" w:color="auto" w:sz="4" w:space="0"/>
              <w:right w:val="single" w:color="auto" w:sz="4" w:space="0"/>
            </w:tcBorders>
            <w:vAlign w:val="center"/>
          </w:tcPr>
          <w:p w14:paraId="76E81CE9">
            <w:pPr>
              <w:jc w:val="center"/>
              <w:rPr>
                <w:rFonts w:hint="eastAsia" w:ascii="宋体" w:hAnsi="宋体"/>
                <w:szCs w:val="21"/>
              </w:rPr>
            </w:pPr>
          </w:p>
        </w:tc>
        <w:tc>
          <w:tcPr>
            <w:tcW w:w="6206" w:type="dxa"/>
            <w:tcBorders>
              <w:top w:val="single" w:color="auto" w:sz="4" w:space="0"/>
              <w:left w:val="single" w:color="auto" w:sz="4" w:space="0"/>
              <w:right w:val="single" w:color="auto" w:sz="4" w:space="0"/>
            </w:tcBorders>
          </w:tcPr>
          <w:p w14:paraId="41AA0949">
            <w:pPr>
              <w:rPr>
                <w:rFonts w:hint="eastAsia" w:ascii="宋体" w:hAnsi="宋体"/>
                <w:szCs w:val="21"/>
              </w:rPr>
            </w:pPr>
            <w:r>
              <w:rPr>
                <w:rFonts w:hint="eastAsia" w:ascii="宋体" w:hAnsi="宋体"/>
                <w:szCs w:val="21"/>
              </w:rPr>
              <w:t xml:space="preserve">▲十三、大米 </w:t>
            </w:r>
          </w:p>
          <w:p w14:paraId="33330C10">
            <w:pPr>
              <w:rPr>
                <w:rFonts w:hint="eastAsia" w:ascii="宋体" w:hAnsi="宋体"/>
                <w:szCs w:val="21"/>
              </w:rPr>
            </w:pPr>
            <w:r>
              <w:rPr>
                <w:rFonts w:hint="eastAsia" w:ascii="宋体" w:hAnsi="宋体"/>
                <w:szCs w:val="21"/>
              </w:rPr>
              <w:t xml:space="preserve">1.规格：25kg/袋、5kg/袋、10kg/袋等。 </w:t>
            </w:r>
          </w:p>
          <w:p w14:paraId="486293C9">
            <w:pPr>
              <w:rPr>
                <w:rFonts w:hint="eastAsia" w:ascii="宋体" w:hAnsi="宋体"/>
                <w:szCs w:val="21"/>
              </w:rPr>
            </w:pPr>
            <w:r>
              <w:rPr>
                <w:rFonts w:hint="eastAsia" w:ascii="宋体" w:hAnsi="宋体"/>
                <w:szCs w:val="21"/>
              </w:rPr>
              <w:t xml:space="preserve">2.质量指标：必须符合 GB/T1354 标准，并具有SC许可编码，呈清白色或精白色，具有光泽呈半透明状，大小均匀，颗粒饱满，表面光滑、完整，无虫，不含杂物（如沙石、色素等异物）。此类大米中混有其他类大米的总限度≤5%，不完善粒≤3%，黄米粒≤1%，最大限度杂质≤0.25%，糠粉≤0.15%，矿物质≤0.02%，带壳稗粒≤3 粒/kg，稻谷 粒≤4 粒/kg，碎米总量≤15%，小碎米≤1.0%， 水分≤14.5%。 </w:t>
            </w:r>
          </w:p>
          <w:p w14:paraId="08CC54EC">
            <w:pPr>
              <w:rPr>
                <w:rFonts w:hint="eastAsia" w:ascii="宋体" w:hAnsi="宋体"/>
                <w:szCs w:val="21"/>
              </w:rPr>
            </w:pPr>
            <w:r>
              <w:rPr>
                <w:rFonts w:hint="eastAsia" w:ascii="宋体" w:hAnsi="宋体"/>
                <w:szCs w:val="21"/>
              </w:rPr>
              <w:t xml:space="preserve">3.包装：需在包装容器上标明品牌、生产厂家名称、地址、产品产地、生产日期、保质期等基本信息。包装应符合GB/T17109的规定和卫生要求。标注的净含量应为产品最大允许水分状况下的质量；凡是采用国家标准的大米产品，应按国家标准规定的名称和等级标注。包装大米的标签标识应符合《食品安全国家标准预包装食品标签通则》（GB7718）标准要求。 </w:t>
            </w:r>
          </w:p>
          <w:p w14:paraId="21E29F7A">
            <w:pPr>
              <w:rPr>
                <w:rFonts w:hint="eastAsia" w:ascii="宋体" w:hAnsi="宋体"/>
                <w:szCs w:val="21"/>
              </w:rPr>
            </w:pPr>
            <w:r>
              <w:rPr>
                <w:rFonts w:hint="eastAsia" w:ascii="宋体" w:hAnsi="宋体"/>
                <w:szCs w:val="21"/>
              </w:rPr>
              <w:t>4.保质期：达到国家规定要求，剩余保存期时间不得少于保质期的三分之二。</w:t>
            </w:r>
          </w:p>
          <w:p w14:paraId="0E0CD893">
            <w:pPr>
              <w:rPr>
                <w:rFonts w:hint="eastAsia" w:ascii="宋体" w:hAnsi="宋体"/>
                <w:szCs w:val="21"/>
              </w:rPr>
            </w:pPr>
            <w:r>
              <w:rPr>
                <w:rFonts w:hint="eastAsia" w:ascii="宋体" w:hAnsi="宋体"/>
                <w:szCs w:val="21"/>
              </w:rPr>
              <w:t xml:space="preserve">▲十四、食用油 </w:t>
            </w:r>
          </w:p>
          <w:p w14:paraId="1DDD3D4C">
            <w:pPr>
              <w:rPr>
                <w:rFonts w:hint="eastAsia" w:ascii="宋体" w:hAnsi="宋体"/>
                <w:szCs w:val="21"/>
              </w:rPr>
            </w:pPr>
            <w:r>
              <w:rPr>
                <w:rFonts w:hint="eastAsia" w:ascii="宋体" w:hAnsi="宋体"/>
                <w:szCs w:val="21"/>
              </w:rPr>
              <w:t xml:space="preserve">（一）花生油： </w:t>
            </w:r>
          </w:p>
          <w:p w14:paraId="4B85416F">
            <w:pPr>
              <w:rPr>
                <w:rFonts w:hint="eastAsia" w:ascii="宋体" w:hAnsi="宋体"/>
                <w:szCs w:val="21"/>
              </w:rPr>
            </w:pPr>
            <w:r>
              <w:rPr>
                <w:rFonts w:hint="eastAsia" w:ascii="宋体" w:hAnsi="宋体"/>
                <w:szCs w:val="21"/>
              </w:rPr>
              <w:t xml:space="preserve">必须符合花生油国家标准，具有SC许可编码，非转基因，无异常色泽和气味，新鲜不变质，无污染等,不得掺有其他食用油和非食用油，不得添加任何香精和香料。 </w:t>
            </w:r>
          </w:p>
          <w:p w14:paraId="522C1B56">
            <w:pPr>
              <w:rPr>
                <w:rFonts w:hint="eastAsia" w:ascii="宋体" w:hAnsi="宋体"/>
                <w:szCs w:val="21"/>
              </w:rPr>
            </w:pPr>
            <w:r>
              <w:rPr>
                <w:rFonts w:hint="eastAsia" w:ascii="宋体" w:hAnsi="宋体"/>
                <w:szCs w:val="21"/>
              </w:rPr>
              <w:t xml:space="preserve">1.技术指标： </w:t>
            </w:r>
          </w:p>
          <w:p w14:paraId="01218E2F">
            <w:pPr>
              <w:rPr>
                <w:rFonts w:hint="eastAsia" w:ascii="宋体" w:hAnsi="宋体"/>
                <w:szCs w:val="21"/>
              </w:rPr>
            </w:pPr>
            <w:r>
              <w:rPr>
                <w:rFonts w:hint="eastAsia" w:ascii="宋体" w:hAnsi="宋体"/>
                <w:szCs w:val="21"/>
              </w:rPr>
              <w:t xml:space="preserve">花生油按国家5S压榨一级花生油标准执行；色泽：淡黄色至橙黄色 气味、滋味：具有花生油固有的香味和滋味，无异味；透明度：澄清、透明； 水分及挥发物≤0.10%；不溶性杂质≤0.05%；酸价（KOH）≤1.5mg/g； 过氧化值≤6mmol/kg；溶剂残留量：不得检出； 加热试验（280℃）：无析出物，油色不变。 </w:t>
            </w:r>
          </w:p>
          <w:p w14:paraId="7F584FAD">
            <w:pPr>
              <w:rPr>
                <w:rFonts w:hint="eastAsia" w:ascii="宋体" w:hAnsi="宋体"/>
                <w:szCs w:val="21"/>
              </w:rPr>
            </w:pPr>
            <w:r>
              <w:rPr>
                <w:rFonts w:hint="eastAsia" w:ascii="宋体" w:hAnsi="宋体"/>
                <w:szCs w:val="21"/>
              </w:rPr>
              <w:t xml:space="preserve">2.规格：1.8L/桶、4L/桶、5L/桶、5.436L/桶、10L/桶等。 </w:t>
            </w:r>
          </w:p>
          <w:p w14:paraId="79F59F4C">
            <w:pPr>
              <w:rPr>
                <w:rFonts w:hint="eastAsia" w:ascii="宋体" w:hAnsi="宋体"/>
                <w:szCs w:val="21"/>
              </w:rPr>
            </w:pPr>
            <w:r>
              <w:rPr>
                <w:rFonts w:hint="eastAsia" w:ascii="宋体" w:hAnsi="宋体"/>
                <w:szCs w:val="21"/>
              </w:rPr>
              <w:t xml:space="preserve">3.标志、标签、包装：需在包装容器上标明品牌、生产厂家名称、地址、产品产地、生产日期、保质期等基本信息。标签应符合国家的规定及要求（GB7718、 GB28050），销售包装应符合国家的规定和要求（GB/T17374-2008），包装容器及包 装材料应符合国家有关卫生标准的规定和要求，包装容器必须专用、清洁、干燥和密封，应符合食品卫生安全标准。 </w:t>
            </w:r>
          </w:p>
          <w:p w14:paraId="5EED314D">
            <w:pPr>
              <w:rPr>
                <w:rFonts w:hint="eastAsia" w:ascii="宋体" w:hAnsi="宋体"/>
                <w:szCs w:val="21"/>
              </w:rPr>
            </w:pPr>
            <w:r>
              <w:rPr>
                <w:rFonts w:hint="eastAsia" w:ascii="宋体" w:hAnsi="宋体"/>
                <w:szCs w:val="21"/>
              </w:rPr>
              <w:t xml:space="preserve">4.保质期：达到国家规定要求，剩余保存期时间不得少于保质期的三分之二。 </w:t>
            </w:r>
          </w:p>
          <w:p w14:paraId="4C893934">
            <w:pPr>
              <w:rPr>
                <w:rFonts w:hint="eastAsia" w:ascii="宋体" w:hAnsi="宋体"/>
                <w:szCs w:val="21"/>
              </w:rPr>
            </w:pPr>
            <w:r>
              <w:rPr>
                <w:rFonts w:hint="eastAsia" w:ascii="宋体" w:hAnsi="宋体"/>
                <w:szCs w:val="21"/>
              </w:rPr>
              <w:t xml:space="preserve">5.花生油所采购的主要品种、品牌包括：鲁花、金龙鱼、胡姬花、福临门等同等档次品牌或以上产品。 </w:t>
            </w:r>
          </w:p>
          <w:p w14:paraId="47645EC0">
            <w:pPr>
              <w:rPr>
                <w:rFonts w:hint="eastAsia" w:ascii="宋体" w:hAnsi="宋体"/>
                <w:szCs w:val="21"/>
              </w:rPr>
            </w:pPr>
            <w:r>
              <w:rPr>
                <w:rFonts w:hint="eastAsia" w:ascii="宋体" w:hAnsi="宋体"/>
                <w:szCs w:val="21"/>
              </w:rPr>
              <w:t xml:space="preserve">（二）调和油： </w:t>
            </w:r>
          </w:p>
          <w:p w14:paraId="7093C3F0">
            <w:pPr>
              <w:rPr>
                <w:rFonts w:hint="eastAsia" w:ascii="宋体" w:hAnsi="宋体"/>
                <w:szCs w:val="21"/>
              </w:rPr>
            </w:pPr>
            <w:r>
              <w:rPr>
                <w:rFonts w:hint="eastAsia" w:ascii="宋体" w:hAnsi="宋体"/>
                <w:szCs w:val="21"/>
              </w:rPr>
              <w:t xml:space="preserve">必须符合食用调和油国家标准（即符合GB2716-2018 标准的要求）。具有 SC 许可编码，具有产品应有的色泽、无异常色泽、无焦臭、酸败及其他异味，新 鲜不变质，无污染、具有产品应有的状态，无正常视力可见的外来异物、溶剂残留量不得检出等。 </w:t>
            </w:r>
          </w:p>
          <w:p w14:paraId="6FD0C65F">
            <w:pPr>
              <w:rPr>
                <w:rFonts w:hint="eastAsia" w:ascii="宋体" w:hAnsi="宋体"/>
                <w:szCs w:val="21"/>
              </w:rPr>
            </w:pPr>
            <w:r>
              <w:rPr>
                <w:rFonts w:hint="eastAsia" w:ascii="宋体" w:hAnsi="宋体"/>
                <w:szCs w:val="21"/>
              </w:rPr>
              <w:t xml:space="preserve">1.技术指标：酸价≤3mg/g，过氧化值≤0.25g/100g。 </w:t>
            </w:r>
          </w:p>
          <w:p w14:paraId="375711D7">
            <w:pPr>
              <w:rPr>
                <w:rFonts w:hint="eastAsia" w:ascii="宋体" w:hAnsi="宋体"/>
                <w:szCs w:val="21"/>
              </w:rPr>
            </w:pPr>
            <w:r>
              <w:rPr>
                <w:rFonts w:hint="eastAsia" w:ascii="宋体" w:hAnsi="宋体"/>
                <w:szCs w:val="21"/>
              </w:rPr>
              <w:t xml:space="preserve">2.规格：5L/桶、10L/桶、22L/箱等。 </w:t>
            </w:r>
          </w:p>
          <w:p w14:paraId="22542B2A">
            <w:pPr>
              <w:rPr>
                <w:rFonts w:hint="eastAsia" w:ascii="宋体" w:hAnsi="宋体"/>
                <w:szCs w:val="21"/>
              </w:rPr>
            </w:pPr>
            <w:r>
              <w:rPr>
                <w:rFonts w:hint="eastAsia" w:ascii="宋体" w:hAnsi="宋体"/>
                <w:szCs w:val="21"/>
              </w:rPr>
              <w:t xml:space="preserve">3.标志、标签、包装：需在包装容器上标明品牌、生产厂家名称、地址、产品产地、生产日期、保质期等基本信息。标签应符合国家的规定及要求（GB7718），销售包装应符合国家的规定和要求（GB/T17374），包装容器及包装材料应符合国家有关卫生标准的规定和要求，包装容器必须专用、清洁、干燥和密封，应符合食品卫生安全标准。 </w:t>
            </w:r>
          </w:p>
          <w:p w14:paraId="1208BDBB">
            <w:pPr>
              <w:rPr>
                <w:rFonts w:hint="eastAsia" w:ascii="宋体" w:hAnsi="宋体"/>
                <w:szCs w:val="21"/>
              </w:rPr>
            </w:pPr>
            <w:r>
              <w:rPr>
                <w:rFonts w:hint="eastAsia" w:ascii="宋体" w:hAnsi="宋体"/>
                <w:szCs w:val="21"/>
              </w:rPr>
              <w:t xml:space="preserve">4.保质期：达到国家规定要求，剩余保存期时间不得少于保质期的三分之二。 </w:t>
            </w:r>
          </w:p>
          <w:p w14:paraId="74636FBE">
            <w:pPr>
              <w:rPr>
                <w:rFonts w:hint="eastAsia" w:ascii="宋体" w:hAnsi="宋体"/>
                <w:szCs w:val="21"/>
              </w:rPr>
            </w:pPr>
            <w:r>
              <w:rPr>
                <w:rFonts w:hint="eastAsia" w:ascii="宋体" w:hAnsi="宋体"/>
                <w:szCs w:val="21"/>
              </w:rPr>
              <w:t>5.食用调和油所采购的主要品种、品牌包括：鲁花、金龙鱼、胡姬花、福临门等</w:t>
            </w:r>
            <w:r>
              <w:rPr>
                <w:rFonts w:hint="eastAsia"/>
              </w:rPr>
              <w:t>同等档次品牌或以上产品</w:t>
            </w:r>
            <w:r>
              <w:rPr>
                <w:rFonts w:hint="eastAsia" w:ascii="宋体" w:hAnsi="宋体"/>
                <w:szCs w:val="21"/>
              </w:rPr>
              <w:t>。</w:t>
            </w:r>
          </w:p>
          <w:p w14:paraId="25C2D0CC">
            <w:pPr>
              <w:rPr>
                <w:rFonts w:hint="eastAsia" w:ascii="宋体" w:hAnsi="宋体"/>
                <w:szCs w:val="21"/>
              </w:rPr>
            </w:pPr>
            <w:r>
              <w:rPr>
                <w:rFonts w:hint="eastAsia" w:ascii="宋体" w:hAnsi="宋体"/>
                <w:szCs w:val="21"/>
              </w:rPr>
              <w:t xml:space="preserve">▲十五、调味品类 </w:t>
            </w:r>
          </w:p>
          <w:p w14:paraId="3DD0F6DB">
            <w:pPr>
              <w:rPr>
                <w:rFonts w:hint="eastAsia" w:ascii="宋体" w:hAnsi="宋体"/>
                <w:szCs w:val="21"/>
              </w:rPr>
            </w:pPr>
            <w:r>
              <w:rPr>
                <w:rFonts w:hint="eastAsia" w:ascii="宋体" w:hAnsi="宋体"/>
                <w:szCs w:val="21"/>
              </w:rPr>
              <w:t xml:space="preserve">1.产品外包装上明确标注产品名称、规格、生产日期、保质期、生产厂家、生产地点等，具有SC许可编码，符合《食品安全法》基本要求。 </w:t>
            </w:r>
          </w:p>
          <w:p w14:paraId="149AF3BF">
            <w:pPr>
              <w:rPr>
                <w:rFonts w:hint="eastAsia" w:ascii="宋体" w:hAnsi="宋体"/>
                <w:szCs w:val="21"/>
              </w:rPr>
            </w:pPr>
            <w:r>
              <w:rPr>
                <w:rFonts w:hint="eastAsia" w:ascii="宋体" w:hAnsi="宋体"/>
                <w:szCs w:val="21"/>
              </w:rPr>
              <w:t xml:space="preserve">2.保质期：达到国家规定要求，剩余保存期时间不得少于保质期的三分之二。 </w:t>
            </w:r>
          </w:p>
          <w:p w14:paraId="1785A51B">
            <w:pPr>
              <w:rPr>
                <w:rFonts w:hint="eastAsia" w:ascii="宋体" w:hAnsi="宋体"/>
                <w:szCs w:val="21"/>
              </w:rPr>
            </w:pPr>
            <w:r>
              <w:rPr>
                <w:rFonts w:hint="eastAsia" w:ascii="宋体" w:hAnsi="宋体"/>
                <w:szCs w:val="21"/>
              </w:rPr>
              <w:t xml:space="preserve">▲十六、面粉烘焙类（面粉、包馅、黄油、酥油等产品） </w:t>
            </w:r>
          </w:p>
          <w:p w14:paraId="7D1BB18E">
            <w:pPr>
              <w:rPr>
                <w:rFonts w:hint="eastAsia" w:ascii="宋体" w:hAnsi="宋体"/>
                <w:szCs w:val="21"/>
              </w:rPr>
            </w:pPr>
            <w:r>
              <w:rPr>
                <w:rFonts w:hint="eastAsia" w:ascii="宋体" w:hAnsi="宋体"/>
                <w:szCs w:val="21"/>
              </w:rPr>
              <w:t xml:space="preserve">必须具有相关部门出具的产品检验合格证明，投标货物生产厂家生产许可证、质量检验报告等相关证件；必须具有 SC 许可编码，定型包装，有明显的标签、生产日期、生产厂家、新鲜烘焙产品不添加防腐剂、不允许超量超范围使用添加剂，保质期不少于90天和产品合格证，产品符合国家标准规定。 </w:t>
            </w:r>
          </w:p>
          <w:p w14:paraId="2A778FFF">
            <w:pPr>
              <w:rPr>
                <w:rFonts w:hint="eastAsia" w:ascii="宋体" w:hAnsi="宋体"/>
                <w:szCs w:val="21"/>
              </w:rPr>
            </w:pPr>
            <w:r>
              <w:rPr>
                <w:rFonts w:hint="eastAsia" w:ascii="宋体" w:hAnsi="宋体"/>
                <w:szCs w:val="21"/>
              </w:rPr>
              <w:t xml:space="preserve">十七、干杂类 </w:t>
            </w:r>
          </w:p>
          <w:p w14:paraId="47DBE368">
            <w:pPr>
              <w:rPr>
                <w:rFonts w:hint="eastAsia" w:ascii="宋体" w:hAnsi="宋体"/>
                <w:szCs w:val="21"/>
              </w:rPr>
            </w:pPr>
            <w:r>
              <w:rPr>
                <w:rFonts w:hint="eastAsia" w:ascii="宋体" w:hAnsi="宋体"/>
                <w:szCs w:val="21"/>
              </w:rPr>
              <w:t xml:space="preserve">主要指香菇、木耳、腐竹、干米粉、花生、黄豆、八宝粥原料等。 </w:t>
            </w:r>
          </w:p>
          <w:p w14:paraId="59AFE858">
            <w:pPr>
              <w:rPr>
                <w:rFonts w:hint="eastAsia" w:ascii="宋体" w:hAnsi="宋体"/>
                <w:szCs w:val="21"/>
              </w:rPr>
            </w:pPr>
            <w:r>
              <w:rPr>
                <w:rFonts w:hint="eastAsia" w:ascii="宋体" w:hAnsi="宋体"/>
                <w:szCs w:val="21"/>
              </w:rPr>
              <w:t xml:space="preserve">（1）干货要求色泽鲜艳、干燥有韧性，无破碎片、虫蛀、霉坏和 </w:t>
            </w:r>
          </w:p>
          <w:p w14:paraId="4C715075">
            <w:pPr>
              <w:rPr>
                <w:rFonts w:hint="eastAsia" w:ascii="宋体" w:hAnsi="宋体"/>
                <w:szCs w:val="21"/>
              </w:rPr>
            </w:pPr>
            <w:r>
              <w:rPr>
                <w:rFonts w:hint="eastAsia" w:ascii="宋体" w:hAnsi="宋体"/>
                <w:szCs w:val="21"/>
              </w:rPr>
              <w:t xml:space="preserve">泥土杂质，具有产品本身应具有的食品外观； </w:t>
            </w:r>
          </w:p>
          <w:p w14:paraId="32288633">
            <w:pPr>
              <w:rPr>
                <w:rFonts w:hint="eastAsia" w:ascii="宋体" w:hAnsi="宋体"/>
                <w:szCs w:val="21"/>
              </w:rPr>
            </w:pPr>
            <w:r>
              <w:rPr>
                <w:rFonts w:hint="eastAsia" w:ascii="宋体" w:hAnsi="宋体"/>
                <w:szCs w:val="21"/>
              </w:rPr>
              <w:t xml:space="preserve">（2）须为正规厂商生产，品质良好，外包装 上必须注明商品名称， 配料表，净含量，生产企业名称，地址，生产日期，保质期，联系电话，生产许可证等内容。 </w:t>
            </w:r>
          </w:p>
          <w:p w14:paraId="57B1295E">
            <w:pPr>
              <w:rPr>
                <w:rFonts w:hint="eastAsia" w:ascii="宋体" w:hAnsi="宋体"/>
                <w:szCs w:val="21"/>
              </w:rPr>
            </w:pPr>
            <w:r>
              <w:rPr>
                <w:rFonts w:hint="eastAsia" w:ascii="宋体" w:hAnsi="宋体"/>
                <w:szCs w:val="21"/>
              </w:rPr>
              <w:t xml:space="preserve">（3）须出具产品检验合格证明和保质期证明，保证产品质量，供应的干杂类食品无泥沙、无杂物，在保质期内无变质。 </w:t>
            </w:r>
          </w:p>
          <w:p w14:paraId="428CE8FE">
            <w:pPr>
              <w:rPr>
                <w:rFonts w:hint="eastAsia" w:ascii="宋体" w:hAnsi="宋体"/>
                <w:szCs w:val="21"/>
              </w:rPr>
            </w:pPr>
            <w:r>
              <w:rPr>
                <w:rFonts w:hint="eastAsia" w:ascii="宋体" w:hAnsi="宋体"/>
                <w:szCs w:val="21"/>
              </w:rPr>
              <w:t xml:space="preserve">十八、蛋类 </w:t>
            </w:r>
          </w:p>
          <w:p w14:paraId="32D33D0E">
            <w:pPr>
              <w:rPr>
                <w:rFonts w:hint="eastAsia" w:ascii="宋体" w:hAnsi="宋体"/>
                <w:szCs w:val="21"/>
              </w:rPr>
            </w:pPr>
            <w:r>
              <w:rPr>
                <w:rFonts w:hint="eastAsia" w:ascii="宋体" w:hAnsi="宋体"/>
                <w:szCs w:val="21"/>
              </w:rPr>
              <w:t xml:space="preserve">（1）鲜蛋：符合国家食品安全要求，正常鲜蛋的蛋壳应清洁完整，无裂纹，灯光透视呈微红色，气室小，看不见蛋黄或略见阴影于中心。打开后蛋黄膜不破裂、凸起、完整并带有 韧性，蛋黄蛋白分明，颜色鲜艳。 </w:t>
            </w:r>
          </w:p>
          <w:p w14:paraId="6CDA0153">
            <w:pPr>
              <w:rPr>
                <w:rFonts w:hint="eastAsia" w:ascii="宋体" w:hAnsi="宋体"/>
                <w:szCs w:val="21"/>
              </w:rPr>
            </w:pPr>
            <w:r>
              <w:rPr>
                <w:rFonts w:hint="eastAsia" w:ascii="宋体" w:hAnsi="宋体"/>
                <w:szCs w:val="21"/>
              </w:rPr>
              <w:t>（2）皮蛋（松花蛋）：蛋壳完整，涂料均匀。手振摇时无响声及活动感，有弹性。剥壳后，蛋白为茶色胶冻状，蛋白表面常有松针状的结晶或花纹似松花，蛋黄分为黑绿、土黄、灰绿、橙黄等彩色层。</w:t>
            </w:r>
          </w:p>
        </w:tc>
      </w:tr>
    </w:tbl>
    <w:p w14:paraId="4BA30804">
      <w:pPr>
        <w:wordWrap w:val="0"/>
        <w:spacing w:line="360" w:lineRule="atLeast"/>
        <w:ind w:firstLine="640" w:firstLineChars="200"/>
        <w:rPr>
          <w:rFonts w:hint="eastAsia" w:ascii="楷体" w:hAnsi="楷体" w:eastAsia="楷体" w:cs="黑体"/>
          <w:sz w:val="32"/>
          <w:szCs w:val="32"/>
        </w:rPr>
      </w:pPr>
    </w:p>
    <w:p w14:paraId="487755D2">
      <w:pPr>
        <w:wordWrap w:val="0"/>
        <w:spacing w:line="360" w:lineRule="atLeast"/>
        <w:ind w:firstLine="643" w:firstLineChars="200"/>
        <w:rPr>
          <w:rFonts w:hint="eastAsia" w:ascii="楷体" w:hAnsi="楷体" w:eastAsia="楷体" w:cs="黑体"/>
          <w:sz w:val="32"/>
          <w:szCs w:val="32"/>
        </w:rPr>
      </w:pPr>
      <w:r>
        <w:rPr>
          <w:rFonts w:hint="eastAsia" w:ascii="楷体" w:hAnsi="楷体" w:eastAsia="楷体" w:cs="宋体"/>
          <w:b/>
          <w:sz w:val="32"/>
          <w:szCs w:val="32"/>
        </w:rPr>
        <w:t>（二）</w:t>
      </w:r>
      <w:r>
        <w:rPr>
          <w:rFonts w:hint="eastAsia" w:ascii="楷体" w:hAnsi="楷体" w:eastAsia="楷体" w:cs="黑体"/>
          <w:sz w:val="32"/>
          <w:szCs w:val="32"/>
        </w:rPr>
        <w:t>商务要求</w:t>
      </w:r>
    </w:p>
    <w:p w14:paraId="2524475C">
      <w:pPr>
        <w:wordWrap w:val="0"/>
        <w:spacing w:line="360" w:lineRule="atLeast"/>
        <w:ind w:firstLine="643" w:firstLineChars="200"/>
        <w:rPr>
          <w:rFonts w:hint="eastAsia" w:ascii="仿宋" w:hAnsi="仿宋" w:eastAsia="仿宋" w:cs="宋体"/>
          <w:b/>
          <w:sz w:val="32"/>
          <w:szCs w:val="32"/>
        </w:rPr>
      </w:pPr>
      <w:r>
        <w:rPr>
          <w:rFonts w:hint="eastAsia" w:ascii="仿宋" w:hAnsi="仿宋" w:eastAsia="仿宋" w:cs="宋体"/>
          <w:b/>
          <w:sz w:val="32"/>
          <w:szCs w:val="32"/>
        </w:rPr>
        <w:t>1、服务期及地点</w:t>
      </w:r>
    </w:p>
    <w:p w14:paraId="7BD267BD">
      <w:pPr>
        <w:ind w:firstLine="640" w:firstLineChars="200"/>
        <w:rPr>
          <w:rFonts w:hint="eastAsia" w:ascii="仿宋" w:hAnsi="仿宋" w:eastAsia="仿宋" w:cs="宋体"/>
          <w:sz w:val="32"/>
          <w:szCs w:val="32"/>
        </w:rPr>
      </w:pPr>
      <w:r>
        <w:rPr>
          <w:rFonts w:hint="eastAsia" w:ascii="仿宋" w:hAnsi="仿宋" w:eastAsia="仿宋" w:cs="宋体"/>
          <w:sz w:val="32"/>
          <w:szCs w:val="32"/>
        </w:rPr>
        <w:t>1.1.服务期：</w:t>
      </w:r>
      <w:r>
        <w:rPr>
          <w:rFonts w:hint="eastAsia" w:ascii="仿宋" w:hAnsi="仿宋" w:eastAsia="仿宋" w:cs="宋体"/>
          <w:sz w:val="32"/>
          <w:szCs w:val="32"/>
          <w:lang w:val="en-US" w:eastAsia="zh-CN"/>
        </w:rPr>
        <w:t>合同签订一</w:t>
      </w:r>
      <w:r>
        <w:rPr>
          <w:rFonts w:hint="eastAsia" w:ascii="仿宋" w:hAnsi="仿宋" w:eastAsia="仿宋" w:cs="宋体"/>
          <w:sz w:val="32"/>
          <w:szCs w:val="32"/>
        </w:rPr>
        <w:t>年</w:t>
      </w:r>
      <w:r>
        <w:rPr>
          <w:rFonts w:hint="eastAsia" w:ascii="仿宋" w:hAnsi="仿宋" w:eastAsia="仿宋" w:cs="宋体"/>
          <w:sz w:val="32"/>
          <w:szCs w:val="32"/>
          <w:lang w:eastAsia="zh-CN"/>
        </w:rPr>
        <w:t>，</w:t>
      </w:r>
      <w:r>
        <w:rPr>
          <w:rFonts w:hint="eastAsia" w:ascii="仿宋" w:hAnsi="仿宋" w:eastAsia="仿宋" w:cs="宋体"/>
          <w:sz w:val="32"/>
          <w:szCs w:val="32"/>
        </w:rPr>
        <w:t>按实际采购金额进行结算，若</w:t>
      </w:r>
      <w:r>
        <w:rPr>
          <w:rFonts w:hint="eastAsia" w:ascii="仿宋" w:hAnsi="仿宋" w:eastAsia="仿宋" w:cs="宋体"/>
          <w:sz w:val="32"/>
          <w:szCs w:val="32"/>
          <w:lang w:val="en-US" w:eastAsia="zh-CN"/>
        </w:rPr>
        <w:t>1</w:t>
      </w:r>
      <w:r>
        <w:rPr>
          <w:rFonts w:ascii="仿宋" w:hAnsi="仿宋" w:eastAsia="仿宋" w:cs="宋体"/>
          <w:sz w:val="32"/>
          <w:szCs w:val="32"/>
        </w:rPr>
        <w:t xml:space="preserve"> </w:t>
      </w:r>
      <w:r>
        <w:rPr>
          <w:rFonts w:hint="eastAsia" w:ascii="仿宋" w:hAnsi="仿宋" w:eastAsia="仿宋" w:cs="宋体"/>
          <w:sz w:val="32"/>
          <w:szCs w:val="32"/>
        </w:rPr>
        <w:t xml:space="preserve">年内食材供应金额达到合同总金额的 </w:t>
      </w:r>
      <w:r>
        <w:rPr>
          <w:rFonts w:ascii="仿宋" w:hAnsi="仿宋" w:eastAsia="仿宋" w:cs="宋体"/>
          <w:sz w:val="32"/>
          <w:szCs w:val="32"/>
        </w:rPr>
        <w:t>100%</w:t>
      </w:r>
      <w:r>
        <w:rPr>
          <w:rFonts w:hint="eastAsia" w:ascii="仿宋" w:hAnsi="仿宋" w:eastAsia="仿宋" w:cs="宋体"/>
          <w:sz w:val="32"/>
          <w:szCs w:val="32"/>
        </w:rPr>
        <w:t>则终止合同。</w:t>
      </w:r>
    </w:p>
    <w:p w14:paraId="51E2BD43">
      <w:pPr>
        <w:wordWrap w:val="0"/>
        <w:spacing w:line="360" w:lineRule="atLeast"/>
        <w:ind w:firstLine="640" w:firstLineChars="200"/>
        <w:rPr>
          <w:rFonts w:hint="eastAsia" w:ascii="仿宋" w:hAnsi="仿宋" w:eastAsia="仿宋" w:cs="宋体"/>
          <w:sz w:val="32"/>
          <w:szCs w:val="32"/>
        </w:rPr>
      </w:pPr>
      <w:r>
        <w:rPr>
          <w:rFonts w:hint="eastAsia" w:ascii="仿宋" w:hAnsi="仿宋" w:eastAsia="仿宋" w:cs="宋体"/>
          <w:sz w:val="32"/>
          <w:szCs w:val="32"/>
        </w:rPr>
        <w:t>1.2.交付地点：每天按甲方的时间要求将货物送至采购方指定地点：南宁市青秀区龙源路3号副楼二楼食堂。</w:t>
      </w:r>
    </w:p>
    <w:p w14:paraId="02839A12">
      <w:pPr>
        <w:spacing w:line="560" w:lineRule="exact"/>
        <w:ind w:left="709"/>
        <w:rPr>
          <w:rFonts w:hint="eastAsia" w:ascii="仿宋" w:hAnsi="仿宋" w:eastAsia="仿宋" w:cs="宋体"/>
          <w:b/>
          <w:sz w:val="32"/>
          <w:szCs w:val="32"/>
        </w:rPr>
      </w:pPr>
      <w:r>
        <w:rPr>
          <w:rFonts w:hint="eastAsia" w:ascii="仿宋" w:hAnsi="仿宋" w:eastAsia="仿宋" w:cs="宋体"/>
          <w:b/>
          <w:sz w:val="32"/>
          <w:szCs w:val="32"/>
        </w:rPr>
        <w:t>2、</w:t>
      </w:r>
      <w:r>
        <w:rPr>
          <w:rFonts w:ascii="仿宋" w:hAnsi="仿宋" w:eastAsia="仿宋" w:cs="宋体"/>
          <w:b/>
          <w:sz w:val="32"/>
          <w:szCs w:val="32"/>
        </w:rPr>
        <w:t>供应商资质要求</w:t>
      </w:r>
    </w:p>
    <w:p w14:paraId="0DBA5924">
      <w:pPr>
        <w:pStyle w:val="5"/>
        <w:spacing w:line="560" w:lineRule="exact"/>
        <w:ind w:firstLine="640" w:firstLineChars="200"/>
        <w:rPr>
          <w:rFonts w:hint="eastAsia" w:ascii="仿宋" w:hAnsi="仿宋" w:eastAsia="仿宋" w:cs="宋体"/>
          <w:kern w:val="0"/>
          <w:sz w:val="32"/>
          <w:szCs w:val="32"/>
        </w:rPr>
      </w:pPr>
      <w:r>
        <w:rPr>
          <w:rFonts w:hint="eastAsia" w:ascii="仿宋" w:hAnsi="仿宋" w:eastAsia="仿宋" w:cs="宋体"/>
          <w:kern w:val="0"/>
          <w:sz w:val="32"/>
          <w:szCs w:val="32"/>
        </w:rPr>
        <w:t>2.1.投标单位满足《中华人民共和国政府采购法》第二十二条规定;</w:t>
      </w:r>
    </w:p>
    <w:p w14:paraId="40FA8130">
      <w:pPr>
        <w:spacing w:line="560" w:lineRule="exact"/>
        <w:ind w:firstLine="640" w:firstLineChars="200"/>
        <w:rPr>
          <w:rFonts w:hint="eastAsia" w:ascii="仿宋" w:hAnsi="仿宋" w:eastAsia="仿宋" w:cs="宋体"/>
          <w:sz w:val="32"/>
          <w:szCs w:val="32"/>
        </w:rPr>
      </w:pPr>
      <w:r>
        <w:rPr>
          <w:rFonts w:hint="eastAsia" w:ascii="仿宋" w:hAnsi="仿宋" w:eastAsia="仿宋" w:cs="宋体"/>
          <w:sz w:val="32"/>
          <w:szCs w:val="32"/>
        </w:rPr>
        <w:t>2.2.本项目的特定资格要求:具有有效的《食品生产许可证》或《食品经营许可证》。</w:t>
      </w:r>
    </w:p>
    <w:p w14:paraId="653AE760">
      <w:pPr>
        <w:pStyle w:val="5"/>
        <w:spacing w:line="560" w:lineRule="exact"/>
        <w:ind w:firstLine="640" w:firstLineChars="200"/>
        <w:rPr>
          <w:rFonts w:hint="eastAsia" w:ascii="仿宋" w:hAnsi="仿宋" w:eastAsia="仿宋" w:cs="宋体"/>
          <w:kern w:val="0"/>
          <w:sz w:val="32"/>
          <w:szCs w:val="32"/>
        </w:rPr>
      </w:pPr>
      <w:r>
        <w:rPr>
          <w:rFonts w:hint="eastAsia" w:ascii="仿宋" w:hAnsi="仿宋" w:eastAsia="仿宋" w:cs="宋体"/>
          <w:kern w:val="0"/>
          <w:sz w:val="32"/>
          <w:szCs w:val="32"/>
        </w:rPr>
        <w:t>2.3.本项目拒绝联合体投标，不允许分包和转包。</w:t>
      </w:r>
    </w:p>
    <w:p w14:paraId="1FCB3F05">
      <w:pPr>
        <w:ind w:firstLine="643" w:firstLineChars="200"/>
        <w:rPr>
          <w:rFonts w:hint="eastAsia" w:ascii="仿宋" w:hAnsi="仿宋" w:eastAsia="仿宋" w:cs="宋体"/>
          <w:b/>
          <w:sz w:val="32"/>
          <w:szCs w:val="32"/>
        </w:rPr>
      </w:pPr>
      <w:r>
        <w:rPr>
          <w:rFonts w:hint="eastAsia" w:ascii="仿宋" w:hAnsi="仿宋" w:eastAsia="仿宋" w:cs="宋体"/>
          <w:b/>
          <w:sz w:val="32"/>
          <w:szCs w:val="32"/>
        </w:rPr>
        <w:t>3、质保期</w:t>
      </w:r>
    </w:p>
    <w:p w14:paraId="533D60EE">
      <w:pPr>
        <w:ind w:firstLine="640" w:firstLineChars="200"/>
        <w:rPr>
          <w:rFonts w:hint="eastAsia" w:ascii="仿宋" w:hAnsi="仿宋" w:eastAsia="仿宋" w:cs="宋体"/>
          <w:sz w:val="32"/>
          <w:szCs w:val="32"/>
        </w:rPr>
      </w:pPr>
      <w:r>
        <w:rPr>
          <w:rFonts w:hint="eastAsia" w:ascii="仿宋" w:hAnsi="仿宋" w:eastAsia="仿宋" w:cs="宋体"/>
          <w:sz w:val="32"/>
          <w:szCs w:val="32"/>
        </w:rPr>
        <w:t>所供产品包装标签符合国家要求，包括食品名称、配料表、净含量、规格、生产者（或）经销者的名称、地址和联系方式、生产日期和保质期、贮存条件、食品生产许可证编号、产品标准代号等内容，具有产品检验合格证及卫生许可证。对有保质期限的商品剩余保存期不少于原有保质期的三分之二。</w:t>
      </w:r>
    </w:p>
    <w:p w14:paraId="74BC7A8D">
      <w:pPr>
        <w:numPr>
          <w:ilvl w:val="0"/>
          <w:numId w:val="2"/>
        </w:numPr>
        <w:wordWrap w:val="0"/>
        <w:spacing w:line="360" w:lineRule="atLeast"/>
        <w:ind w:firstLine="643" w:firstLineChars="200"/>
        <w:rPr>
          <w:rFonts w:hint="eastAsia" w:ascii="仿宋" w:hAnsi="仿宋" w:eastAsia="仿宋" w:cs="宋体"/>
          <w:b/>
          <w:sz w:val="32"/>
          <w:szCs w:val="32"/>
        </w:rPr>
      </w:pPr>
      <w:r>
        <w:rPr>
          <w:rFonts w:hint="eastAsia" w:ascii="仿宋" w:hAnsi="仿宋" w:eastAsia="仿宋" w:cs="宋体"/>
          <w:b/>
          <w:sz w:val="32"/>
          <w:szCs w:val="32"/>
        </w:rPr>
        <w:t>服务要求</w:t>
      </w:r>
    </w:p>
    <w:p w14:paraId="7DB6693B">
      <w:pPr>
        <w:ind w:firstLine="640" w:firstLineChars="200"/>
        <w:rPr>
          <w:rFonts w:hint="eastAsia" w:ascii="仿宋" w:hAnsi="仿宋" w:eastAsia="仿宋" w:cs="宋体"/>
          <w:sz w:val="32"/>
          <w:szCs w:val="32"/>
        </w:rPr>
      </w:pPr>
      <w:r>
        <w:rPr>
          <w:rFonts w:hint="eastAsia" w:ascii="仿宋" w:hAnsi="仿宋" w:eastAsia="仿宋" w:cs="宋体"/>
          <w:sz w:val="32"/>
          <w:szCs w:val="32"/>
        </w:rPr>
        <w:t>4.1.数量要求</w:t>
      </w:r>
    </w:p>
    <w:p w14:paraId="59EFFFEE">
      <w:pPr>
        <w:ind w:firstLine="640" w:firstLineChars="200"/>
        <w:rPr>
          <w:rFonts w:hint="eastAsia" w:ascii="仿宋" w:hAnsi="仿宋" w:eastAsia="仿宋" w:cs="宋体"/>
          <w:sz w:val="32"/>
          <w:szCs w:val="32"/>
        </w:rPr>
      </w:pPr>
      <w:r>
        <w:rPr>
          <w:rFonts w:hint="eastAsia" w:ascii="仿宋" w:hAnsi="仿宋" w:eastAsia="仿宋" w:cs="宋体"/>
          <w:sz w:val="32"/>
          <w:szCs w:val="32"/>
        </w:rPr>
        <w:t>保证配送品种斤两的准确性，以采购人的验收数量为准，中标人每次随货送上一式三份的送货清单</w:t>
      </w:r>
      <w:r>
        <w:rPr>
          <w:rFonts w:hint="eastAsia" w:ascii="仿宋" w:hAnsi="仿宋" w:eastAsia="仿宋" w:cs="宋体"/>
          <w:sz w:val="32"/>
          <w:szCs w:val="32"/>
          <w:lang w:eastAsia="zh-CN"/>
        </w:rPr>
        <w:t>，</w:t>
      </w:r>
      <w:r>
        <w:rPr>
          <w:rFonts w:hint="eastAsia" w:ascii="仿宋" w:hAnsi="仿宋" w:eastAsia="仿宋" w:cs="宋体"/>
          <w:sz w:val="32"/>
          <w:szCs w:val="32"/>
        </w:rPr>
        <w:t>送货清单须加盖供应商单位送货专用章有效（送货清单</w:t>
      </w:r>
      <w:r>
        <w:rPr>
          <w:rFonts w:hint="eastAsia" w:ascii="仿宋" w:hAnsi="仿宋" w:eastAsia="仿宋" w:cs="宋体"/>
          <w:sz w:val="32"/>
          <w:szCs w:val="32"/>
          <w:lang w:val="en-US" w:eastAsia="zh-CN"/>
        </w:rPr>
        <w:t>包</w:t>
      </w:r>
      <w:r>
        <w:rPr>
          <w:rFonts w:hint="eastAsia" w:ascii="仿宋" w:hAnsi="仿宋" w:eastAsia="仿宋" w:cs="宋体"/>
          <w:sz w:val="32"/>
          <w:szCs w:val="32"/>
        </w:rPr>
        <w:t>含食材的种类、数量、单价、总价等相关信息），供双方验货后签字确认，双方各持一份，作为送、收货的凭证。本次招标采购 1 名供应商作为中标供应商，服务期限为 2年，具体采购量以实际成交数量为准，按月核对结算。中标人应负责原材料的供应、包装、运输、搬运、交货以及售后服务等工作。</w:t>
      </w:r>
    </w:p>
    <w:p w14:paraId="673A4545">
      <w:pPr>
        <w:ind w:firstLine="640" w:firstLineChars="200"/>
        <w:rPr>
          <w:rFonts w:hint="eastAsia" w:ascii="仿宋" w:hAnsi="仿宋" w:eastAsia="仿宋" w:cs="宋体"/>
          <w:sz w:val="32"/>
          <w:szCs w:val="32"/>
        </w:rPr>
      </w:pPr>
      <w:r>
        <w:rPr>
          <w:rFonts w:hint="eastAsia" w:ascii="仿宋" w:hAnsi="仿宋" w:eastAsia="仿宋" w:cs="宋体"/>
          <w:sz w:val="32"/>
          <w:szCs w:val="32"/>
        </w:rPr>
        <w:t xml:space="preserve">4.2.责任方面:如因供应商所送货物造成食物中毒等事故，供应商应承担全部法律责任。供应商应严格遵守《食品安全法》等相关规定，所提供的产品是合格安全的产品，一经发现供应以下食品，采购方除全部退货外，有权可取消供应商配送资格，没收全部履约保证金，供应商并承担由此造成的经济责任和法律责任。 </w:t>
      </w:r>
    </w:p>
    <w:p w14:paraId="418052EA">
      <w:pPr>
        <w:ind w:firstLine="640" w:firstLineChars="200"/>
        <w:rPr>
          <w:rFonts w:hint="eastAsia" w:ascii="仿宋" w:hAnsi="仿宋" w:eastAsia="仿宋" w:cs="宋体"/>
          <w:sz w:val="32"/>
          <w:szCs w:val="32"/>
        </w:rPr>
      </w:pPr>
      <w:r>
        <w:rPr>
          <w:rFonts w:hint="eastAsia" w:ascii="仿宋" w:hAnsi="仿宋" w:eastAsia="仿宋" w:cs="宋体"/>
          <w:sz w:val="32"/>
          <w:szCs w:val="32"/>
        </w:rPr>
        <w:t xml:space="preserve">（1）腐败变质、油脂酸败、霉变、生虫、污秽不洁、混有异物或者其他感官性状异常，对人体健康有害的； </w:t>
      </w:r>
    </w:p>
    <w:p w14:paraId="72F9B598">
      <w:pPr>
        <w:ind w:firstLine="640" w:firstLineChars="200"/>
        <w:rPr>
          <w:rFonts w:hint="eastAsia" w:ascii="仿宋" w:hAnsi="仿宋" w:eastAsia="仿宋" w:cs="宋体"/>
          <w:sz w:val="32"/>
          <w:szCs w:val="32"/>
        </w:rPr>
      </w:pPr>
      <w:r>
        <w:rPr>
          <w:rFonts w:hint="eastAsia" w:ascii="仿宋" w:hAnsi="仿宋" w:eastAsia="仿宋" w:cs="宋体"/>
          <w:sz w:val="32"/>
          <w:szCs w:val="32"/>
        </w:rPr>
        <w:t xml:space="preserve">（2）含有毒、有害物质或者被有害物质污染，对人体健康有害的； </w:t>
      </w:r>
    </w:p>
    <w:p w14:paraId="70B87935">
      <w:pPr>
        <w:ind w:firstLine="640" w:firstLineChars="200"/>
        <w:rPr>
          <w:rFonts w:hint="eastAsia" w:ascii="仿宋" w:hAnsi="仿宋" w:eastAsia="仿宋" w:cs="宋体"/>
          <w:sz w:val="32"/>
          <w:szCs w:val="32"/>
        </w:rPr>
      </w:pPr>
      <w:r>
        <w:rPr>
          <w:rFonts w:hint="eastAsia" w:ascii="仿宋" w:hAnsi="仿宋" w:eastAsia="仿宋" w:cs="宋体"/>
          <w:sz w:val="32"/>
          <w:szCs w:val="32"/>
        </w:rPr>
        <w:t xml:space="preserve">（3）含有致病性寄生虫、微生物、农药残留或者微生物含量超过国家限定标准的； </w:t>
      </w:r>
    </w:p>
    <w:p w14:paraId="700EE328">
      <w:pPr>
        <w:ind w:firstLine="640" w:firstLineChars="200"/>
        <w:rPr>
          <w:rFonts w:hint="eastAsia" w:ascii="仿宋" w:hAnsi="仿宋" w:eastAsia="仿宋" w:cs="宋体"/>
          <w:sz w:val="32"/>
          <w:szCs w:val="32"/>
        </w:rPr>
      </w:pPr>
      <w:r>
        <w:rPr>
          <w:rFonts w:hint="eastAsia" w:ascii="仿宋" w:hAnsi="仿宋" w:eastAsia="仿宋" w:cs="宋体"/>
          <w:sz w:val="32"/>
          <w:szCs w:val="32"/>
        </w:rPr>
        <w:t xml:space="preserve">（4）掺假、掺杂、伪造，影响营养、卫生的； </w:t>
      </w:r>
    </w:p>
    <w:p w14:paraId="062D6DF2">
      <w:pPr>
        <w:ind w:firstLine="640" w:firstLineChars="200"/>
        <w:rPr>
          <w:rFonts w:hint="eastAsia" w:ascii="仿宋" w:hAnsi="仿宋" w:eastAsia="仿宋" w:cs="宋体"/>
          <w:sz w:val="32"/>
          <w:szCs w:val="32"/>
        </w:rPr>
      </w:pPr>
      <w:r>
        <w:rPr>
          <w:rFonts w:hint="eastAsia" w:ascii="仿宋" w:hAnsi="仿宋" w:eastAsia="仿宋" w:cs="宋体"/>
          <w:sz w:val="32"/>
          <w:szCs w:val="32"/>
        </w:rPr>
        <w:t xml:space="preserve">（5）用非食品原料加工的，加入非食品用化学物质或者将非食品当作食品的； </w:t>
      </w:r>
    </w:p>
    <w:p w14:paraId="17DF8C7F">
      <w:pPr>
        <w:ind w:firstLine="640" w:firstLineChars="200"/>
        <w:rPr>
          <w:rFonts w:hint="eastAsia" w:ascii="仿宋" w:hAnsi="仿宋" w:eastAsia="仿宋" w:cs="宋体"/>
          <w:sz w:val="32"/>
          <w:szCs w:val="32"/>
        </w:rPr>
      </w:pPr>
      <w:r>
        <w:rPr>
          <w:rFonts w:hint="eastAsia" w:ascii="仿宋" w:hAnsi="仿宋" w:eastAsia="仿宋" w:cs="宋体"/>
          <w:sz w:val="32"/>
          <w:szCs w:val="32"/>
        </w:rPr>
        <w:t xml:space="preserve">（6）标注虚假生产日期、保质期或者临近、超过保质期的食品； </w:t>
      </w:r>
    </w:p>
    <w:p w14:paraId="761DA4B9">
      <w:pPr>
        <w:ind w:firstLine="640" w:firstLineChars="200"/>
        <w:rPr>
          <w:rFonts w:hint="eastAsia" w:ascii="仿宋" w:hAnsi="仿宋" w:eastAsia="仿宋" w:cs="宋体"/>
          <w:sz w:val="32"/>
          <w:szCs w:val="32"/>
        </w:rPr>
      </w:pPr>
      <w:r>
        <w:rPr>
          <w:rFonts w:hint="eastAsia" w:ascii="仿宋" w:hAnsi="仿宋" w:eastAsia="仿宋" w:cs="宋体"/>
          <w:sz w:val="32"/>
          <w:szCs w:val="32"/>
        </w:rPr>
        <w:t>（7）未按规定进行检疫或者检疫不合格的肉类，或者未经检验或者检验不合格的肉类制品；</w:t>
      </w:r>
    </w:p>
    <w:p w14:paraId="6A453D13">
      <w:pPr>
        <w:ind w:firstLine="640" w:firstLineChars="200"/>
        <w:rPr>
          <w:rFonts w:hint="eastAsia" w:ascii="仿宋" w:hAnsi="仿宋" w:eastAsia="仿宋" w:cs="宋体"/>
          <w:sz w:val="32"/>
          <w:szCs w:val="32"/>
        </w:rPr>
      </w:pPr>
      <w:r>
        <w:rPr>
          <w:rFonts w:hint="eastAsia" w:ascii="仿宋" w:hAnsi="仿宋" w:eastAsia="仿宋" w:cs="宋体"/>
          <w:sz w:val="32"/>
          <w:szCs w:val="32"/>
        </w:rPr>
        <w:t>（8）无标签或标签内容不符合规定的包装食品，没有中文标识的进品食品；</w:t>
      </w:r>
    </w:p>
    <w:p w14:paraId="7D44E315">
      <w:pPr>
        <w:ind w:firstLine="640" w:firstLineChars="200"/>
        <w:rPr>
          <w:rFonts w:hint="eastAsia" w:ascii="仿宋" w:hAnsi="仿宋" w:eastAsia="仿宋" w:cs="宋体"/>
          <w:sz w:val="32"/>
          <w:szCs w:val="32"/>
        </w:rPr>
      </w:pPr>
      <w:r>
        <w:rPr>
          <w:rFonts w:hint="eastAsia" w:ascii="仿宋" w:hAnsi="仿宋" w:eastAsia="仿宋" w:cs="宋体"/>
          <w:sz w:val="32"/>
          <w:szCs w:val="32"/>
        </w:rPr>
        <w:t>（9）其他不符合食品卫生标准的情形。</w:t>
      </w:r>
    </w:p>
    <w:p w14:paraId="56C88D05">
      <w:pPr>
        <w:ind w:firstLine="640" w:firstLineChars="200"/>
        <w:rPr>
          <w:rFonts w:hint="eastAsia" w:ascii="仿宋" w:hAnsi="仿宋" w:eastAsia="仿宋" w:cs="宋体"/>
          <w:sz w:val="32"/>
          <w:szCs w:val="32"/>
        </w:rPr>
      </w:pPr>
      <w:r>
        <w:rPr>
          <w:rFonts w:hint="eastAsia" w:ascii="仿宋" w:hAnsi="仿宋" w:eastAsia="仿宋" w:cs="宋体"/>
          <w:sz w:val="32"/>
          <w:szCs w:val="32"/>
        </w:rPr>
        <w:t>4.3.采购人对应急食品及政府扶贫农副产品采购有自主权，采购人有权直接采购，不受中标人和本项目制约。</w:t>
      </w:r>
    </w:p>
    <w:p w14:paraId="66D6E456">
      <w:pPr>
        <w:ind w:firstLine="640" w:firstLineChars="200"/>
        <w:rPr>
          <w:rFonts w:hint="eastAsia" w:ascii="仿宋" w:hAnsi="仿宋" w:eastAsia="仿宋" w:cs="宋体"/>
          <w:sz w:val="32"/>
          <w:szCs w:val="32"/>
        </w:rPr>
      </w:pPr>
      <w:r>
        <w:rPr>
          <w:rFonts w:hint="eastAsia" w:ascii="仿宋" w:hAnsi="仿宋" w:eastAsia="仿宋" w:cs="宋体"/>
          <w:sz w:val="32"/>
          <w:szCs w:val="32"/>
        </w:rPr>
        <w:t>4.4.投标人需要有农兽药残留检测室和具备相关的检测资质(提供相关资料证明)。采购方可自行对农残等项目进行抽检（包括委托第三方检测），发现不合格时中标方应立即退换货，发生3次以上，采购方有权根据情况终止合同。</w:t>
      </w:r>
    </w:p>
    <w:p w14:paraId="5D02AA2E">
      <w:pPr>
        <w:ind w:firstLine="640" w:firstLineChars="200"/>
        <w:rPr>
          <w:rFonts w:hint="eastAsia" w:ascii="仿宋" w:hAnsi="仿宋" w:eastAsia="仿宋" w:cs="宋体"/>
          <w:sz w:val="32"/>
          <w:szCs w:val="32"/>
        </w:rPr>
      </w:pPr>
      <w:r>
        <w:rPr>
          <w:rFonts w:hint="eastAsia" w:ascii="仿宋" w:hAnsi="仿宋" w:eastAsia="仿宋" w:cs="宋体"/>
          <w:sz w:val="32"/>
          <w:szCs w:val="32"/>
        </w:rPr>
        <w:t>4.5.肉蛋类供应商提供的食品原材料必须是经过质量监督管理部门检验并取得合格证明的产品,每批次产品提供时应提交货物质量合格证明、产品质量检测合格报告或检疫报告复印件。</w:t>
      </w:r>
    </w:p>
    <w:p w14:paraId="4A4798FA">
      <w:pPr>
        <w:pStyle w:val="5"/>
        <w:spacing w:line="560" w:lineRule="exact"/>
        <w:ind w:firstLine="640" w:firstLineChars="200"/>
        <w:rPr>
          <w:rFonts w:hint="eastAsia" w:ascii="仿宋" w:hAnsi="仿宋" w:eastAsia="仿宋" w:cs="宋体"/>
          <w:kern w:val="0"/>
          <w:sz w:val="32"/>
          <w:szCs w:val="32"/>
        </w:rPr>
      </w:pPr>
      <w:r>
        <w:rPr>
          <w:rFonts w:hint="eastAsia" w:ascii="仿宋" w:hAnsi="仿宋" w:eastAsia="仿宋" w:cs="宋体"/>
          <w:kern w:val="0"/>
          <w:sz w:val="32"/>
          <w:szCs w:val="32"/>
        </w:rPr>
        <w:t>4.6.供应商应保证所提供的产品是合格安全的产品，按照《中华人民共和国食品安全法》、《农产品质量安全法》规定，提供有关的证明材料和证件是供应商的义务，在合同期内中标人应提供具有销售相应种类物料的食品经营许可证、产品检验合格证等相关证明。每次配送的蔬菜、肉类需提供产品质量检验检疫报告，无证产品招标人不予接受。一旦发现伪劣假冒产品、以次充好产品或替代产品，由供应商承担全部法律责任。</w:t>
      </w:r>
    </w:p>
    <w:p w14:paraId="37C488BC">
      <w:pPr>
        <w:ind w:firstLine="640" w:firstLineChars="200"/>
        <w:rPr>
          <w:rFonts w:hint="eastAsia" w:ascii="仿宋" w:hAnsi="仿宋" w:eastAsia="仿宋" w:cs="宋体"/>
          <w:sz w:val="32"/>
          <w:szCs w:val="32"/>
        </w:rPr>
      </w:pPr>
      <w:r>
        <w:rPr>
          <w:rFonts w:hint="eastAsia" w:ascii="仿宋" w:hAnsi="仿宋" w:eastAsia="仿宋" w:cs="宋体"/>
          <w:sz w:val="32"/>
          <w:szCs w:val="32"/>
        </w:rPr>
        <w:t>4.7.供应商提供的产品须经过食堂验收人员的感官检验、外观检验和试用检验，若产品外观、包装、形式不符合要求、感官检验不能达到食品卫生要求，当即拒收;供应商不能满足食品的质、量及售后服务要求时，采购方有权进行处罚或终止合同。</w:t>
      </w:r>
    </w:p>
    <w:p w14:paraId="09BE6CF1">
      <w:pPr>
        <w:ind w:firstLine="640" w:firstLineChars="200"/>
        <w:rPr>
          <w:rFonts w:hint="eastAsia" w:ascii="仿宋" w:hAnsi="仿宋" w:eastAsia="仿宋" w:cs="宋体"/>
          <w:sz w:val="32"/>
          <w:szCs w:val="32"/>
        </w:rPr>
      </w:pPr>
      <w:r>
        <w:rPr>
          <w:rFonts w:hint="eastAsia" w:ascii="仿宋" w:hAnsi="仿宋" w:eastAsia="仿宋" w:cs="宋体"/>
          <w:sz w:val="32"/>
          <w:szCs w:val="32"/>
        </w:rPr>
        <w:t>4.8.食堂管理人员根据食堂伙食原材料消耗周期制定订单，通过双方约定的方式给供应商下订单。采购订单一经确认，投标单位需确保按时准点、保质保量进行货物配送，经验收合格后签字确认，不能以任何理由推托，一旦影响到医院食堂的正常运转，供应商应承担相应的经济赔偿。</w:t>
      </w:r>
    </w:p>
    <w:p w14:paraId="69660874">
      <w:pPr>
        <w:ind w:firstLine="640" w:firstLineChars="200"/>
        <w:rPr>
          <w:rFonts w:hint="eastAsia" w:ascii="仿宋" w:hAnsi="仿宋" w:eastAsia="仿宋" w:cs="宋体"/>
          <w:sz w:val="32"/>
          <w:szCs w:val="32"/>
        </w:rPr>
      </w:pPr>
      <w:r>
        <w:rPr>
          <w:rFonts w:hint="eastAsia" w:ascii="仿宋" w:hAnsi="仿宋" w:eastAsia="仿宋" w:cs="宋体"/>
          <w:sz w:val="32"/>
          <w:szCs w:val="32"/>
        </w:rPr>
        <w:t>4.9.供应商不能满足供货要求时，应提前一个月以书面形式通知采购方，经采购方调查确认并同意后，方可调整。</w:t>
      </w:r>
    </w:p>
    <w:p w14:paraId="0A5F3F1B">
      <w:pPr>
        <w:ind w:firstLine="640" w:firstLineChars="200"/>
        <w:rPr>
          <w:rFonts w:hint="eastAsia" w:ascii="仿宋" w:hAnsi="仿宋" w:eastAsia="仿宋" w:cs="宋体"/>
          <w:sz w:val="32"/>
          <w:szCs w:val="32"/>
        </w:rPr>
      </w:pPr>
      <w:r>
        <w:rPr>
          <w:rFonts w:hint="eastAsia" w:ascii="仿宋" w:hAnsi="仿宋" w:eastAsia="仿宋" w:cs="宋体"/>
          <w:sz w:val="32"/>
          <w:szCs w:val="32"/>
        </w:rPr>
        <w:t>4.10.中标人必须负责中标货物的运输、搬运、质量检测等工作，所产生的费用由中标人负责。</w:t>
      </w:r>
    </w:p>
    <w:p w14:paraId="0304B70B">
      <w:pPr>
        <w:ind w:firstLine="640" w:firstLineChars="200"/>
        <w:rPr>
          <w:rFonts w:hint="eastAsia" w:ascii="仿宋" w:hAnsi="仿宋" w:eastAsia="仿宋" w:cs="宋体"/>
          <w:sz w:val="32"/>
          <w:szCs w:val="32"/>
        </w:rPr>
      </w:pPr>
      <w:r>
        <w:rPr>
          <w:rFonts w:hint="eastAsia" w:ascii="仿宋" w:hAnsi="仿宋" w:eastAsia="仿宋" w:cs="宋体"/>
          <w:sz w:val="32"/>
          <w:szCs w:val="32"/>
        </w:rPr>
        <w:t>4.11.按采购人要求协助做好肉类、骨头、鱼等食品的粗加工工作，利用率95%以上。</w:t>
      </w:r>
    </w:p>
    <w:p w14:paraId="66EED85E">
      <w:pPr>
        <w:ind w:firstLine="640" w:firstLineChars="200"/>
        <w:rPr>
          <w:rFonts w:hint="eastAsia" w:ascii="仿宋" w:hAnsi="仿宋" w:eastAsia="仿宋" w:cs="宋体"/>
          <w:sz w:val="32"/>
          <w:szCs w:val="32"/>
        </w:rPr>
      </w:pPr>
      <w:r>
        <w:rPr>
          <w:rFonts w:hint="eastAsia" w:ascii="仿宋" w:hAnsi="仿宋" w:eastAsia="仿宋" w:cs="宋体"/>
          <w:sz w:val="32"/>
          <w:szCs w:val="32"/>
        </w:rPr>
        <w:t>4.12.中标人应当制定因食物中毒或者其他食源性疾患，以及因交通、天气等原因不能按时送达配餐等突发事件的应急预案，确保采购人及时得到食品供应。</w:t>
      </w:r>
    </w:p>
    <w:p w14:paraId="73EF70E7">
      <w:pPr>
        <w:ind w:firstLine="640" w:firstLineChars="200"/>
        <w:rPr>
          <w:rFonts w:hint="eastAsia" w:ascii="仿宋" w:hAnsi="仿宋" w:eastAsia="仿宋" w:cs="宋体"/>
          <w:sz w:val="32"/>
          <w:szCs w:val="32"/>
        </w:rPr>
      </w:pPr>
      <w:r>
        <w:rPr>
          <w:rFonts w:hint="eastAsia" w:ascii="仿宋" w:hAnsi="仿宋" w:eastAsia="仿宋" w:cs="宋体"/>
          <w:sz w:val="32"/>
          <w:szCs w:val="32"/>
        </w:rPr>
        <w:t>4.13.供应商必须按照采购方通知的时间、数量、品种、品质要求及商定的价格准时送货，经验收合格后签字确认。供应商不能以任何理由推托配送任务，一旦影响到采购方工作的正常运转，将按 1500 元/次进行罚款，造成其余经济损失由供应商按实际情况赔偿。如果采购人发现中标人送货的货物质量有问题，有权要求中标人对有问题的货物立刻进行更换，中标人必须在接到采购人通知后1个小时内对有问题的货物进行更换并交到采购人指定地点，超过1个小时，将按 1500 元/次进行罚款。三次以上，甲方有权终止合同。紧急供货要求：在收到甲方发出紧急供货通知后，乙方需在约定的2小时内完成当次现场供货，超过约定时间，每次扣罚1000元，乙方无法满足紧急供货需求三次以上，甲方有权终止合同并从终止合同之日起 3 年内拒绝乙方参与甲方其他标的的投标活动。</w:t>
      </w:r>
    </w:p>
    <w:p w14:paraId="43CB4E32">
      <w:pPr>
        <w:ind w:firstLine="640" w:firstLineChars="200"/>
        <w:rPr>
          <w:rFonts w:hint="eastAsia" w:ascii="仿宋" w:hAnsi="仿宋" w:eastAsia="仿宋" w:cs="宋体"/>
          <w:sz w:val="32"/>
          <w:szCs w:val="32"/>
        </w:rPr>
      </w:pPr>
      <w:r>
        <w:rPr>
          <w:rFonts w:hint="eastAsia" w:ascii="仿宋" w:hAnsi="仿宋" w:eastAsia="仿宋" w:cs="宋体"/>
          <w:sz w:val="32"/>
          <w:szCs w:val="32"/>
        </w:rPr>
        <w:t>4.14.卫生质量</w:t>
      </w:r>
    </w:p>
    <w:p w14:paraId="6983ACCD">
      <w:pPr>
        <w:ind w:firstLine="640" w:firstLineChars="200"/>
        <w:rPr>
          <w:rFonts w:hint="eastAsia" w:ascii="仿宋" w:hAnsi="仿宋" w:eastAsia="仿宋" w:cs="宋体"/>
          <w:sz w:val="32"/>
          <w:szCs w:val="32"/>
        </w:rPr>
      </w:pPr>
      <w:r>
        <w:rPr>
          <w:rFonts w:hint="eastAsia" w:ascii="仿宋" w:hAnsi="仿宋" w:eastAsia="仿宋" w:cs="宋体"/>
          <w:sz w:val="32"/>
          <w:szCs w:val="32"/>
        </w:rPr>
        <w:t>乙方运输车辆必须是具备可正常使用的空调设备的专用冷链车，在运送前，乙方运输车辆应进行消毒清洗，避免车辆有霉斑、鼠迹、苍蝇、蟑螂等不卫生状况出现，乙方运输甲方所需不同货物不得无包装混装，避免串味和不卫生。如达不到相应卫生要求，发现一次扣1000元，甲方有权退换货。</w:t>
      </w:r>
    </w:p>
    <w:p w14:paraId="7B89301A">
      <w:pPr>
        <w:ind w:firstLine="640" w:firstLineChars="200"/>
        <w:rPr>
          <w:rFonts w:hint="eastAsia" w:ascii="仿宋" w:hAnsi="仿宋" w:eastAsia="仿宋" w:cs="宋体"/>
          <w:sz w:val="32"/>
          <w:szCs w:val="32"/>
        </w:rPr>
      </w:pPr>
      <w:r>
        <w:rPr>
          <w:rFonts w:hint="eastAsia" w:ascii="仿宋" w:hAnsi="仿宋" w:eastAsia="仿宋" w:cs="宋体"/>
          <w:sz w:val="32"/>
          <w:szCs w:val="32"/>
        </w:rPr>
        <w:t>甲方有权对乙方供应货物的仓库及相关加工场地进行不定期检查，乙方必须配合，不得拒绝。如环境卫生状况差，影响货物卫生安全，发现一次扣2000元；如不能在限期内有效整改的，甲方可直接解除双方的采购合同。</w:t>
      </w:r>
    </w:p>
    <w:p w14:paraId="59074A68">
      <w:pPr>
        <w:pStyle w:val="5"/>
        <w:spacing w:line="560" w:lineRule="exact"/>
        <w:ind w:firstLine="640" w:firstLineChars="200"/>
        <w:rPr>
          <w:rFonts w:hint="eastAsia" w:ascii="仿宋" w:hAnsi="仿宋" w:eastAsia="仿宋" w:cs="宋体"/>
          <w:kern w:val="0"/>
          <w:sz w:val="32"/>
          <w:szCs w:val="32"/>
        </w:rPr>
      </w:pPr>
      <w:r>
        <w:rPr>
          <w:rFonts w:hint="eastAsia" w:ascii="仿宋" w:hAnsi="仿宋" w:eastAsia="仿宋" w:cs="宋体"/>
          <w:kern w:val="0"/>
          <w:sz w:val="32"/>
          <w:szCs w:val="32"/>
        </w:rPr>
        <w:t>配送工作人员必须具有健康证及食品安全培训合格证。</w:t>
      </w:r>
    </w:p>
    <w:p w14:paraId="07BE6674">
      <w:pPr>
        <w:pStyle w:val="5"/>
        <w:spacing w:line="560" w:lineRule="exact"/>
        <w:ind w:firstLine="640" w:firstLineChars="200"/>
        <w:rPr>
          <w:rFonts w:hint="eastAsia" w:ascii="仿宋" w:hAnsi="仿宋" w:eastAsia="仿宋" w:cs="宋体"/>
          <w:kern w:val="0"/>
          <w:sz w:val="32"/>
          <w:szCs w:val="32"/>
        </w:rPr>
      </w:pPr>
      <w:r>
        <w:rPr>
          <w:rFonts w:hint="eastAsia" w:ascii="仿宋" w:hAnsi="仿宋" w:eastAsia="仿宋" w:cs="宋体"/>
          <w:kern w:val="0"/>
          <w:sz w:val="32"/>
          <w:szCs w:val="32"/>
        </w:rPr>
        <w:t>投标单位有食品质量安全追溯制度，内容主要包括:食品生产许可证、出厂合格证、质检报告等证件材料，产品流向管理、产品储存运输管理以及不合格食品召回管理等制度，做到100%可溯源。</w:t>
      </w:r>
    </w:p>
    <w:p w14:paraId="2E6D2E7B">
      <w:pPr>
        <w:pStyle w:val="5"/>
        <w:spacing w:line="560" w:lineRule="exact"/>
        <w:ind w:firstLine="640" w:firstLineChars="200"/>
        <w:rPr>
          <w:rFonts w:hint="eastAsia" w:ascii="仿宋" w:hAnsi="仿宋" w:eastAsia="仿宋" w:cs="宋体"/>
          <w:kern w:val="0"/>
          <w:sz w:val="32"/>
          <w:szCs w:val="32"/>
        </w:rPr>
      </w:pPr>
      <w:r>
        <w:rPr>
          <w:rFonts w:hint="eastAsia" w:ascii="仿宋" w:hAnsi="仿宋" w:eastAsia="仿宋" w:cs="宋体"/>
          <w:kern w:val="0"/>
          <w:sz w:val="32"/>
          <w:szCs w:val="32"/>
        </w:rPr>
        <w:t>4.15.</w:t>
      </w:r>
      <w:r>
        <w:rPr>
          <w:rFonts w:ascii="仿宋" w:hAnsi="仿宋" w:eastAsia="仿宋" w:cs="宋体"/>
          <w:kern w:val="0"/>
          <w:sz w:val="32"/>
          <w:szCs w:val="32"/>
        </w:rPr>
        <w:t>如任何一方因故需提前终止合同时，应提前三个月书面通知对方，双方互不承担违约责任，并应在合同终止后一个月完成款项结算。未提前通知的，违约方应按合同终止前一个月的货款向守约方支付违约金。</w:t>
      </w:r>
    </w:p>
    <w:p w14:paraId="2D9D0352">
      <w:pPr>
        <w:pStyle w:val="17"/>
        <w:ind w:firstLine="643" w:firstLineChars="200"/>
        <w:rPr>
          <w:rFonts w:ascii="仿宋" w:hAnsi="仿宋" w:eastAsia="仿宋"/>
          <w:b/>
          <w:color w:val="auto"/>
          <w:sz w:val="32"/>
          <w:szCs w:val="32"/>
        </w:rPr>
      </w:pPr>
      <w:r>
        <w:rPr>
          <w:rFonts w:hint="eastAsia" w:ascii="仿宋" w:hAnsi="仿宋" w:eastAsia="仿宋"/>
          <w:b/>
          <w:color w:val="auto"/>
          <w:sz w:val="32"/>
          <w:szCs w:val="32"/>
        </w:rPr>
        <w:t>5、</w:t>
      </w:r>
      <w:r>
        <w:rPr>
          <w:rFonts w:hint="eastAsia" w:ascii="仿宋" w:hAnsi="仿宋" w:eastAsia="仿宋"/>
          <w:b/>
          <w:color w:val="auto"/>
          <w:sz w:val="32"/>
          <w:szCs w:val="32"/>
          <w:lang w:val="en-US" w:eastAsia="zh-CN"/>
        </w:rPr>
        <w:t>报价</w:t>
      </w:r>
      <w:r>
        <w:rPr>
          <w:rFonts w:ascii="仿宋" w:hAnsi="仿宋" w:eastAsia="仿宋"/>
          <w:b/>
          <w:color w:val="auto"/>
          <w:sz w:val="32"/>
          <w:szCs w:val="32"/>
        </w:rPr>
        <w:t>要求</w:t>
      </w:r>
    </w:p>
    <w:p w14:paraId="094E4A66">
      <w:pPr>
        <w:pStyle w:val="20"/>
        <w:numPr>
          <w:ilvl w:val="0"/>
          <w:numId w:val="0"/>
        </w:numPr>
        <w:tabs>
          <w:tab w:val="left" w:pos="611"/>
        </w:tabs>
        <w:spacing w:before="91" w:line="400" w:lineRule="atLeast"/>
        <w:ind w:firstLine="640" w:firstLineChars="200"/>
        <w:rPr>
          <w:rFonts w:ascii="仿宋" w:hAnsi="仿宋" w:eastAsia="仿宋" w:cs="宋体"/>
          <w:kern w:val="0"/>
          <w:sz w:val="32"/>
          <w:szCs w:val="32"/>
          <w:lang w:val="en-US" w:eastAsia="zh-CN" w:bidi="ar-SA"/>
        </w:rPr>
      </w:pPr>
      <w:r>
        <w:rPr>
          <w:rFonts w:hint="default" w:ascii="仿宋" w:hAnsi="仿宋" w:eastAsia="仿宋" w:cs="宋体"/>
          <w:kern w:val="0"/>
          <w:sz w:val="32"/>
          <w:szCs w:val="32"/>
          <w:lang w:val="zh-CN" w:eastAsia="zh-CN" w:bidi="ar-SA"/>
        </w:rPr>
        <w:t>（1）</w:t>
      </w:r>
      <w:r>
        <w:rPr>
          <w:rFonts w:ascii="仿宋" w:hAnsi="仿宋" w:eastAsia="仿宋" w:cs="宋体"/>
          <w:kern w:val="0"/>
          <w:sz w:val="32"/>
          <w:szCs w:val="32"/>
          <w:lang w:val="en-US" w:eastAsia="zh-CN" w:bidi="ar-SA"/>
        </w:rPr>
        <w:t>以下浮系数进行报价；</w:t>
      </w:r>
    </w:p>
    <w:p w14:paraId="7306CDAF">
      <w:pPr>
        <w:pStyle w:val="20"/>
        <w:numPr>
          <w:ilvl w:val="0"/>
          <w:numId w:val="0"/>
        </w:numPr>
        <w:tabs>
          <w:tab w:val="left" w:pos="611"/>
        </w:tabs>
        <w:spacing w:before="91" w:line="400" w:lineRule="atLeast"/>
        <w:ind w:left="1" w:leftChars="0" w:right="136" w:rightChars="0" w:firstLine="640" w:firstLineChars="200"/>
        <w:jc w:val="both"/>
        <w:rPr>
          <w:rFonts w:ascii="仿宋" w:hAnsi="仿宋" w:eastAsia="仿宋" w:cs="宋体"/>
          <w:kern w:val="0"/>
          <w:sz w:val="32"/>
          <w:szCs w:val="32"/>
          <w:lang w:val="en-US" w:eastAsia="zh-CN" w:bidi="ar-SA"/>
        </w:rPr>
      </w:pPr>
      <w:r>
        <w:rPr>
          <w:rFonts w:hint="default" w:ascii="仿宋" w:hAnsi="仿宋" w:eastAsia="仿宋" w:cs="宋体"/>
          <w:kern w:val="0"/>
          <w:sz w:val="32"/>
          <w:szCs w:val="32"/>
          <w:lang w:val="zh-CN" w:eastAsia="zh-CN" w:bidi="ar-SA"/>
        </w:rPr>
        <w:t>（2）</w:t>
      </w:r>
      <w:r>
        <w:rPr>
          <w:rFonts w:ascii="仿宋" w:hAnsi="仿宋" w:eastAsia="仿宋" w:cs="宋体"/>
          <w:kern w:val="0"/>
          <w:sz w:val="32"/>
          <w:szCs w:val="32"/>
          <w:lang w:val="en-US" w:eastAsia="zh-CN" w:bidi="ar-SA"/>
        </w:rPr>
        <w:t>投标报价结合</w:t>
      </w:r>
      <w:r>
        <w:rPr>
          <w:rFonts w:hint="eastAsia" w:ascii="仿宋" w:hAnsi="仿宋" w:eastAsia="仿宋" w:cs="宋体"/>
          <w:kern w:val="0"/>
          <w:sz w:val="32"/>
          <w:szCs w:val="32"/>
          <w:lang w:val="en-US" w:eastAsia="zh-CN" w:bidi="ar-SA"/>
        </w:rPr>
        <w:t>市场行情</w:t>
      </w:r>
      <w:r>
        <w:rPr>
          <w:rFonts w:ascii="仿宋" w:hAnsi="仿宋" w:eastAsia="仿宋" w:cs="宋体"/>
          <w:kern w:val="0"/>
          <w:sz w:val="32"/>
          <w:szCs w:val="32"/>
          <w:lang w:val="en-US" w:eastAsia="zh-CN" w:bidi="ar-SA"/>
        </w:rPr>
        <w:t>、</w:t>
      </w:r>
      <w:r>
        <w:rPr>
          <w:rFonts w:hint="eastAsia" w:ascii="仿宋" w:hAnsi="仿宋" w:eastAsia="仿宋" w:cs="宋体"/>
          <w:kern w:val="0"/>
          <w:sz w:val="32"/>
          <w:szCs w:val="32"/>
          <w:lang w:val="en-US" w:eastAsia="zh-CN" w:bidi="ar-SA"/>
        </w:rPr>
        <w:t>原材料</w:t>
      </w:r>
      <w:r>
        <w:rPr>
          <w:rFonts w:ascii="仿宋" w:hAnsi="仿宋" w:eastAsia="仿宋" w:cs="宋体"/>
          <w:kern w:val="0"/>
          <w:sz w:val="32"/>
          <w:szCs w:val="32"/>
          <w:lang w:val="en-US" w:eastAsia="zh-CN" w:bidi="ar-SA"/>
        </w:rPr>
        <w:t>成本及自身条件、市场风险考虑报出综合的下浮系数，有效报价范围为：</w:t>
      </w:r>
      <w:r>
        <w:rPr>
          <w:rFonts w:hint="eastAsia" w:ascii="仿宋" w:hAnsi="仿宋" w:eastAsia="仿宋" w:cs="宋体"/>
          <w:kern w:val="0"/>
          <w:sz w:val="32"/>
          <w:szCs w:val="32"/>
          <w:lang w:val="en-US" w:eastAsia="zh-CN" w:bidi="ar-SA"/>
        </w:rPr>
        <w:t>≥1</w:t>
      </w:r>
      <w:r>
        <w:rPr>
          <w:rFonts w:ascii="仿宋" w:hAnsi="仿宋" w:eastAsia="仿宋" w:cs="宋体"/>
          <w:kern w:val="0"/>
          <w:sz w:val="32"/>
          <w:szCs w:val="32"/>
          <w:lang w:val="en-US" w:eastAsia="zh-CN" w:bidi="ar-SA"/>
        </w:rPr>
        <w:t>%下浮系数，实际采购价格=市场价格</w:t>
      </w:r>
      <w:r>
        <w:rPr>
          <w:rFonts w:hint="eastAsia" w:ascii="仿宋" w:hAnsi="仿宋" w:eastAsia="仿宋" w:cs="宋体"/>
          <w:kern w:val="0"/>
          <w:sz w:val="32"/>
          <w:szCs w:val="32"/>
          <w:lang w:val="en-US" w:eastAsia="zh-CN" w:bidi="ar-SA"/>
        </w:rPr>
        <w:t>×</w:t>
      </w:r>
      <w:r>
        <w:rPr>
          <w:rFonts w:ascii="仿宋" w:hAnsi="仿宋" w:eastAsia="仿宋" w:cs="宋体"/>
          <w:kern w:val="0"/>
          <w:sz w:val="32"/>
          <w:szCs w:val="32"/>
          <w:lang w:val="en-US" w:eastAsia="zh-CN" w:bidi="ar-SA"/>
        </w:rPr>
        <w:t>（1</w:t>
      </w:r>
      <w:r>
        <w:rPr>
          <w:rFonts w:hint="eastAsia" w:ascii="仿宋" w:hAnsi="仿宋" w:eastAsia="仿宋" w:cs="宋体"/>
          <w:kern w:val="0"/>
          <w:sz w:val="32"/>
          <w:szCs w:val="32"/>
          <w:lang w:val="en-US" w:eastAsia="zh-CN" w:bidi="ar-SA"/>
        </w:rPr>
        <w:t>-</w:t>
      </w:r>
      <w:r>
        <w:rPr>
          <w:rFonts w:ascii="仿宋" w:hAnsi="仿宋" w:eastAsia="仿宋" w:cs="宋体"/>
          <w:kern w:val="0"/>
          <w:sz w:val="32"/>
          <w:szCs w:val="32"/>
          <w:lang w:val="en-US" w:eastAsia="zh-CN" w:bidi="ar-SA"/>
        </w:rPr>
        <w:t>下浮系数），投标人一旦中标，该结算综合下浮系数在合同服务期内不得改变。</w:t>
      </w:r>
    </w:p>
    <w:p w14:paraId="3E33011C">
      <w:pPr>
        <w:pStyle w:val="20"/>
        <w:tabs>
          <w:tab w:val="left" w:pos="611"/>
        </w:tabs>
        <w:spacing w:line="400" w:lineRule="atLeast"/>
        <w:ind w:right="54" w:firstLine="640" w:firstLineChars="200"/>
        <w:rPr>
          <w:rFonts w:hint="eastAsia" w:ascii="仿宋" w:hAnsi="仿宋" w:eastAsia="仿宋" w:cs="宋体"/>
          <w:kern w:val="0"/>
          <w:sz w:val="32"/>
          <w:szCs w:val="32"/>
          <w:lang w:val="en-US" w:eastAsia="zh-CN" w:bidi="ar-SA"/>
        </w:rPr>
      </w:pPr>
      <w:r>
        <w:rPr>
          <w:rFonts w:hint="eastAsia" w:ascii="仿宋" w:hAnsi="仿宋" w:eastAsia="仿宋" w:cs="宋体"/>
          <w:kern w:val="0"/>
          <w:sz w:val="32"/>
          <w:szCs w:val="32"/>
          <w:lang w:val="en-US" w:eastAsia="zh-CN" w:bidi="ar-SA"/>
        </w:rPr>
        <w:t>（3）</w:t>
      </w:r>
      <w:r>
        <w:rPr>
          <w:rFonts w:ascii="仿宋" w:hAnsi="仿宋" w:eastAsia="仿宋" w:cs="宋体"/>
          <w:kern w:val="0"/>
          <w:sz w:val="32"/>
          <w:szCs w:val="32"/>
          <w:lang w:val="en-US" w:eastAsia="zh-CN" w:bidi="ar-SA"/>
        </w:rPr>
        <w:t>市场价格由</w:t>
      </w:r>
      <w:r>
        <w:rPr>
          <w:rFonts w:hint="eastAsia" w:ascii="仿宋" w:hAnsi="仿宋" w:eastAsia="仿宋" w:cs="宋体"/>
          <w:kern w:val="0"/>
          <w:sz w:val="32"/>
          <w:szCs w:val="32"/>
          <w:lang w:val="en-US" w:eastAsia="zh-CN" w:bidi="ar-SA"/>
        </w:rPr>
        <w:t>采购人管理部门人员和供应商代表人</w:t>
      </w:r>
      <w:r>
        <w:rPr>
          <w:rFonts w:hint="eastAsia" w:ascii="宋体" w:hAnsi="宋体" w:cs="宋体"/>
          <w:bCs/>
          <w:szCs w:val="21"/>
        </w:rPr>
        <w:t>员</w:t>
      </w:r>
      <w:r>
        <w:rPr>
          <w:rFonts w:hint="eastAsia" w:ascii="宋体" w:hAnsi="宋体" w:cs="宋体"/>
          <w:bCs/>
          <w:szCs w:val="21"/>
          <w:lang w:val="en-US" w:eastAsia="zh-CN"/>
        </w:rPr>
        <w:t>共同</w:t>
      </w:r>
      <w:r>
        <w:rPr>
          <w:rFonts w:hint="eastAsia" w:ascii="仿宋" w:hAnsi="仿宋" w:eastAsia="仿宋" w:cs="宋体"/>
          <w:kern w:val="0"/>
          <w:sz w:val="32"/>
          <w:szCs w:val="32"/>
          <w:lang w:val="en-US" w:eastAsia="zh-CN" w:bidi="ar-SA"/>
        </w:rPr>
        <w:t>到</w:t>
      </w:r>
      <w:r>
        <w:rPr>
          <w:rFonts w:ascii="仿宋" w:hAnsi="仿宋" w:eastAsia="仿宋" w:cs="宋体"/>
          <w:kern w:val="0"/>
          <w:sz w:val="32"/>
          <w:szCs w:val="32"/>
          <w:lang w:val="en-US" w:eastAsia="zh-CN" w:bidi="ar-SA"/>
        </w:rPr>
        <w:t>南宁市</w:t>
      </w:r>
      <w:r>
        <w:rPr>
          <w:rFonts w:hint="eastAsia" w:ascii="仿宋" w:hAnsi="仿宋" w:eastAsia="仿宋" w:cs="宋体"/>
          <w:kern w:val="0"/>
          <w:sz w:val="32"/>
          <w:szCs w:val="32"/>
          <w:lang w:val="en-US" w:eastAsia="zh-CN" w:bidi="ar-SA"/>
        </w:rPr>
        <w:t>淡村农贸批发市场询价</w:t>
      </w:r>
      <w:r>
        <w:rPr>
          <w:rFonts w:ascii="仿宋" w:hAnsi="仿宋" w:eastAsia="仿宋" w:cs="宋体"/>
          <w:kern w:val="0"/>
          <w:sz w:val="32"/>
          <w:szCs w:val="32"/>
          <w:lang w:val="en-US" w:eastAsia="zh-CN" w:bidi="ar-SA"/>
        </w:rPr>
        <w:t>（含配送服务价格</w:t>
      </w:r>
      <w:r>
        <w:rPr>
          <w:rFonts w:hint="eastAsia" w:ascii="仿宋" w:hAnsi="仿宋" w:eastAsia="仿宋" w:cs="宋体"/>
          <w:kern w:val="0"/>
          <w:sz w:val="32"/>
          <w:szCs w:val="32"/>
          <w:lang w:val="en-US" w:eastAsia="zh-CN" w:bidi="ar-SA"/>
        </w:rPr>
        <w:t>及税金，</w:t>
      </w:r>
      <w:r>
        <w:rPr>
          <w:rFonts w:ascii="仿宋" w:hAnsi="仿宋" w:eastAsia="仿宋" w:cs="宋体"/>
          <w:kern w:val="0"/>
          <w:sz w:val="32"/>
          <w:szCs w:val="32"/>
          <w:lang w:val="en-US" w:eastAsia="zh-CN" w:bidi="ar-SA"/>
        </w:rPr>
        <w:t xml:space="preserve"> 如采购商品在该市场无销售的，可参照</w:t>
      </w:r>
      <w:r>
        <w:rPr>
          <w:rFonts w:hint="eastAsia" w:ascii="仿宋" w:hAnsi="仿宋" w:eastAsia="仿宋" w:cs="宋体"/>
          <w:kern w:val="0"/>
          <w:sz w:val="32"/>
          <w:szCs w:val="32"/>
          <w:lang w:val="en-US" w:eastAsia="zh-CN" w:bidi="ar-SA"/>
        </w:rPr>
        <w:t>金桥国际农贸批发市场、农产品交易中心等</w:t>
      </w:r>
      <w:r>
        <w:rPr>
          <w:rFonts w:ascii="仿宋" w:hAnsi="仿宋" w:eastAsia="仿宋" w:cs="宋体"/>
          <w:kern w:val="0"/>
          <w:sz w:val="32"/>
          <w:szCs w:val="32"/>
          <w:lang w:val="en-US" w:eastAsia="zh-CN" w:bidi="ar-SA"/>
        </w:rPr>
        <w:t>大型农贸市场的价格）</w:t>
      </w:r>
      <w:r>
        <w:rPr>
          <w:rFonts w:hint="eastAsia" w:ascii="仿宋" w:hAnsi="仿宋" w:eastAsia="仿宋" w:cs="宋体"/>
          <w:kern w:val="0"/>
          <w:sz w:val="32"/>
          <w:szCs w:val="32"/>
          <w:lang w:val="en-US" w:eastAsia="zh-CN" w:bidi="ar-SA"/>
        </w:rPr>
        <w:t>，生鲜食材每月询价一次，粮油类食材每三个月询价一次。粮油类食材按代表人员询价的平均价格进行汇总，现场确定各类食品品牌、规格及市场价格，生鲜食材当月所询市场价格作为供货人次月结算市场价格。</w:t>
      </w:r>
    </w:p>
    <w:p w14:paraId="283353A3">
      <w:pPr>
        <w:pStyle w:val="20"/>
        <w:tabs>
          <w:tab w:val="left" w:pos="611"/>
        </w:tabs>
        <w:spacing w:line="400" w:lineRule="atLeast"/>
        <w:ind w:right="54" w:firstLine="640" w:firstLineChars="200"/>
        <w:rPr>
          <w:rFonts w:ascii="仿宋" w:hAnsi="仿宋" w:eastAsia="仿宋" w:cs="宋体"/>
          <w:kern w:val="0"/>
          <w:sz w:val="32"/>
          <w:szCs w:val="32"/>
          <w:lang w:val="en-US" w:eastAsia="zh-CN" w:bidi="ar-SA"/>
        </w:rPr>
      </w:pPr>
      <w:r>
        <w:rPr>
          <w:rFonts w:hint="eastAsia" w:ascii="仿宋" w:hAnsi="仿宋" w:eastAsia="仿宋" w:cs="宋体"/>
          <w:kern w:val="0"/>
          <w:sz w:val="32"/>
          <w:szCs w:val="32"/>
          <w:lang w:val="en-US" w:eastAsia="zh-CN" w:bidi="ar-SA"/>
        </w:rPr>
        <w:t>（4）</w:t>
      </w:r>
      <w:r>
        <w:rPr>
          <w:rFonts w:ascii="仿宋" w:hAnsi="仿宋" w:eastAsia="仿宋" w:cs="宋体"/>
          <w:kern w:val="0"/>
          <w:sz w:val="32"/>
          <w:szCs w:val="32"/>
          <w:lang w:val="en-US" w:eastAsia="zh-CN" w:bidi="ar-SA"/>
        </w:rPr>
        <w:t>报价必须含以下部分，包括</w:t>
      </w:r>
      <w:r>
        <w:rPr>
          <w:rFonts w:hint="eastAsia" w:ascii="仿宋" w:hAnsi="仿宋" w:eastAsia="仿宋" w:cs="宋体"/>
          <w:kern w:val="0"/>
          <w:sz w:val="32"/>
          <w:szCs w:val="32"/>
          <w:lang w:val="en-US" w:eastAsia="zh-CN" w:bidi="ar-SA"/>
        </w:rPr>
        <w:t>但不限于以下项目</w:t>
      </w:r>
      <w:r>
        <w:rPr>
          <w:rFonts w:ascii="仿宋" w:hAnsi="仿宋" w:eastAsia="仿宋" w:cs="宋体"/>
          <w:kern w:val="0"/>
          <w:sz w:val="32"/>
          <w:szCs w:val="32"/>
          <w:lang w:val="en-US" w:eastAsia="zh-CN" w:bidi="ar-SA"/>
        </w:rPr>
        <w:t>：</w:t>
      </w:r>
    </w:p>
    <w:p w14:paraId="1A9DF504">
      <w:pPr>
        <w:pStyle w:val="20"/>
        <w:spacing w:before="89" w:line="400" w:lineRule="atLeast"/>
        <w:ind w:firstLine="640" w:firstLineChars="200"/>
        <w:rPr>
          <w:rFonts w:ascii="仿宋" w:hAnsi="仿宋" w:eastAsia="仿宋" w:cs="宋体"/>
          <w:kern w:val="0"/>
          <w:sz w:val="32"/>
          <w:szCs w:val="32"/>
          <w:lang w:val="en-US" w:eastAsia="zh-CN" w:bidi="ar-SA"/>
        </w:rPr>
      </w:pPr>
      <w:r>
        <w:rPr>
          <w:rFonts w:ascii="仿宋" w:hAnsi="仿宋" w:eastAsia="仿宋" w:cs="宋体"/>
          <w:kern w:val="0"/>
          <w:sz w:val="32"/>
          <w:szCs w:val="32"/>
          <w:lang w:val="en-US" w:eastAsia="zh-CN" w:bidi="ar-SA"/>
        </w:rPr>
        <w:t>①货物、服务的价格；</w:t>
      </w:r>
    </w:p>
    <w:p w14:paraId="1F080122">
      <w:pPr>
        <w:pStyle w:val="20"/>
        <w:spacing w:before="91" w:line="400" w:lineRule="atLeast"/>
        <w:ind w:firstLine="640" w:firstLineChars="200"/>
        <w:rPr>
          <w:rFonts w:ascii="仿宋" w:hAnsi="仿宋" w:eastAsia="仿宋" w:cs="宋体"/>
          <w:kern w:val="0"/>
          <w:sz w:val="32"/>
          <w:szCs w:val="32"/>
          <w:lang w:val="en-US" w:eastAsia="zh-CN" w:bidi="ar-SA"/>
        </w:rPr>
      </w:pPr>
      <w:r>
        <w:rPr>
          <w:rFonts w:ascii="仿宋" w:hAnsi="仿宋" w:eastAsia="仿宋" w:cs="宋体"/>
          <w:kern w:val="0"/>
          <w:sz w:val="32"/>
          <w:szCs w:val="32"/>
          <w:lang w:val="en-US" w:eastAsia="zh-CN" w:bidi="ar-SA"/>
        </w:rPr>
        <w:t>②必要的保险费用和各项税金；</w:t>
      </w:r>
    </w:p>
    <w:p w14:paraId="71259CAA">
      <w:pPr>
        <w:pStyle w:val="17"/>
        <w:ind w:firstLine="640" w:firstLineChars="200"/>
        <w:rPr>
          <w:rFonts w:ascii="仿宋" w:hAnsi="仿宋" w:eastAsia="仿宋" w:cs="宋体"/>
          <w:kern w:val="0"/>
          <w:sz w:val="32"/>
          <w:szCs w:val="32"/>
          <w:lang w:val="en-US" w:eastAsia="zh-CN" w:bidi="ar-SA"/>
        </w:rPr>
      </w:pPr>
      <w:r>
        <w:rPr>
          <w:rFonts w:ascii="仿宋" w:hAnsi="仿宋" w:eastAsia="仿宋" w:cs="宋体"/>
          <w:kern w:val="0"/>
          <w:sz w:val="32"/>
          <w:szCs w:val="32"/>
          <w:lang w:val="en-US" w:eastAsia="zh-CN" w:bidi="ar-SA"/>
        </w:rPr>
        <w:t>③包装、运输、搬运、深加工、检验检测、售后服务</w:t>
      </w:r>
      <w:r>
        <w:rPr>
          <w:rFonts w:hint="eastAsia" w:ascii="仿宋" w:hAnsi="仿宋" w:eastAsia="仿宋" w:cs="宋体"/>
          <w:kern w:val="0"/>
          <w:sz w:val="32"/>
          <w:szCs w:val="32"/>
          <w:lang w:val="en-US" w:eastAsia="zh-CN" w:bidi="ar-SA"/>
        </w:rPr>
        <w:t>、管理费</w:t>
      </w:r>
      <w:r>
        <w:rPr>
          <w:rFonts w:ascii="仿宋" w:hAnsi="仿宋" w:eastAsia="仿宋" w:cs="宋体"/>
          <w:kern w:val="0"/>
          <w:sz w:val="32"/>
          <w:szCs w:val="32"/>
          <w:lang w:val="en-US" w:eastAsia="zh-CN" w:bidi="ar-SA"/>
        </w:rPr>
        <w:t>等相关费用。</w:t>
      </w:r>
    </w:p>
    <w:p w14:paraId="0A7F8B84">
      <w:pPr>
        <w:pStyle w:val="17"/>
        <w:ind w:firstLine="640" w:firstLineChars="200"/>
        <w:rPr>
          <w:rFonts w:hint="eastAsia" w:ascii="仿宋" w:hAnsi="仿宋" w:eastAsia="仿宋"/>
          <w:color w:val="auto"/>
          <w:sz w:val="32"/>
          <w:szCs w:val="32"/>
        </w:rPr>
      </w:pPr>
      <w:r>
        <w:rPr>
          <w:rFonts w:hint="eastAsia" w:ascii="仿宋" w:hAnsi="仿宋" w:eastAsia="仿宋" w:cs="宋体"/>
          <w:kern w:val="0"/>
          <w:sz w:val="32"/>
          <w:szCs w:val="32"/>
          <w:lang w:val="en-US" w:eastAsia="zh-CN" w:bidi="ar-SA"/>
        </w:rPr>
        <w:t>（5）</w:t>
      </w:r>
      <w:r>
        <w:rPr>
          <w:rFonts w:hint="eastAsia" w:ascii="仿宋" w:hAnsi="仿宋" w:eastAsia="仿宋"/>
          <w:color w:val="auto"/>
          <w:sz w:val="32"/>
          <w:szCs w:val="32"/>
        </w:rPr>
        <w:t xml:space="preserve">采购人有权随时抽查供货商的供货食品入货台账或进行市场调查，发现供货商有虚报或隐瞒供货食品市场价存在欺骗行为，采购人有权取消其中标资格，终止合同。 </w:t>
      </w:r>
    </w:p>
    <w:p w14:paraId="3986CF6F">
      <w:pPr>
        <w:wordWrap w:val="0"/>
        <w:spacing w:line="360" w:lineRule="atLeast"/>
        <w:ind w:firstLine="643" w:firstLineChars="200"/>
        <w:rPr>
          <w:rFonts w:hint="eastAsia" w:ascii="仿宋" w:hAnsi="仿宋" w:eastAsia="仿宋" w:cs="宋体"/>
          <w:b/>
          <w:sz w:val="32"/>
          <w:szCs w:val="32"/>
        </w:rPr>
      </w:pPr>
      <w:r>
        <w:rPr>
          <w:rFonts w:hint="eastAsia" w:ascii="仿宋" w:hAnsi="仿宋" w:eastAsia="仿宋" w:cs="宋体"/>
          <w:b/>
          <w:sz w:val="32"/>
          <w:szCs w:val="32"/>
        </w:rPr>
        <w:t>6、履约保证金</w:t>
      </w:r>
    </w:p>
    <w:p w14:paraId="49148C33">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hint="eastAsia" w:ascii="仿宋" w:hAnsi="仿宋" w:eastAsia="仿宋" w:cs="宋体"/>
          <w:color w:val="auto"/>
          <w:sz w:val="32"/>
          <w:szCs w:val="32"/>
          <w:lang w:val="zh-CN" w:eastAsia="zh-CN" w:bidi="ar-SA"/>
        </w:rPr>
      </w:pPr>
      <w:r>
        <w:rPr>
          <w:rFonts w:hint="eastAsia" w:ascii="仿宋" w:hAnsi="仿宋" w:eastAsia="仿宋" w:cs="宋体"/>
          <w:color w:val="auto"/>
          <w:sz w:val="32"/>
          <w:szCs w:val="32"/>
          <w:lang w:val="zh-CN" w:eastAsia="zh-CN" w:bidi="ar-SA"/>
        </w:rPr>
        <w:t>（1）履约保证金金额：成交通知书发出5个工作日内按中标总金额的5%提交（中标人是中小企业的，履约保证金为合同总金额的2%）。</w:t>
      </w:r>
    </w:p>
    <w:p w14:paraId="33DD2FAF">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hint="eastAsia" w:ascii="仿宋" w:hAnsi="仿宋" w:eastAsia="仿宋" w:cs="宋体"/>
          <w:color w:val="auto"/>
          <w:sz w:val="32"/>
          <w:szCs w:val="32"/>
          <w:lang w:val="zh-CN" w:eastAsia="zh-CN" w:bidi="ar-SA"/>
        </w:rPr>
      </w:pPr>
      <w:r>
        <w:rPr>
          <w:rFonts w:hint="eastAsia" w:ascii="仿宋" w:hAnsi="仿宋" w:eastAsia="仿宋" w:cs="宋体"/>
          <w:color w:val="auto"/>
          <w:sz w:val="32"/>
          <w:szCs w:val="32"/>
          <w:lang w:val="zh-CN" w:eastAsia="zh-CN" w:bidi="ar-SA"/>
        </w:rPr>
        <w:t>（</w:t>
      </w:r>
      <w:r>
        <w:rPr>
          <w:rFonts w:hint="eastAsia" w:ascii="仿宋" w:hAnsi="仿宋" w:eastAsia="仿宋" w:cs="宋体"/>
          <w:color w:val="auto"/>
          <w:sz w:val="32"/>
          <w:szCs w:val="32"/>
          <w:lang w:val="en-US" w:eastAsia="zh-CN" w:bidi="ar-SA"/>
        </w:rPr>
        <w:t>2</w:t>
      </w:r>
      <w:r>
        <w:rPr>
          <w:rFonts w:hint="eastAsia" w:ascii="仿宋" w:hAnsi="仿宋" w:eastAsia="仿宋" w:cs="宋体"/>
          <w:color w:val="auto"/>
          <w:sz w:val="32"/>
          <w:szCs w:val="32"/>
          <w:lang w:val="zh-CN" w:eastAsia="zh-CN" w:bidi="ar-SA"/>
        </w:rPr>
        <w:t>）履约保证金递交方式：支票、汇票、本票，或者银行、保险机构出具的保函等非现金方式。</w:t>
      </w:r>
    </w:p>
    <w:p w14:paraId="038FFFD1">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hint="eastAsia" w:ascii="仿宋" w:hAnsi="仿宋" w:eastAsia="仿宋" w:cs="宋体"/>
          <w:color w:val="auto"/>
          <w:sz w:val="32"/>
          <w:szCs w:val="32"/>
          <w:lang w:val="zh-CN" w:eastAsia="zh-CN" w:bidi="ar-SA"/>
        </w:rPr>
      </w:pPr>
      <w:r>
        <w:rPr>
          <w:rFonts w:hint="eastAsia" w:ascii="仿宋" w:hAnsi="仿宋" w:eastAsia="仿宋" w:cs="宋体"/>
          <w:color w:val="auto"/>
          <w:sz w:val="32"/>
          <w:szCs w:val="32"/>
          <w:lang w:val="zh-CN" w:eastAsia="zh-CN" w:bidi="ar-SA"/>
        </w:rPr>
        <w:t>（</w:t>
      </w:r>
      <w:r>
        <w:rPr>
          <w:rFonts w:hint="eastAsia" w:ascii="仿宋" w:hAnsi="仿宋" w:eastAsia="仿宋" w:cs="宋体"/>
          <w:color w:val="auto"/>
          <w:sz w:val="32"/>
          <w:szCs w:val="32"/>
          <w:lang w:val="en-US" w:eastAsia="zh-CN" w:bidi="ar-SA"/>
        </w:rPr>
        <w:t>3</w:t>
      </w:r>
      <w:r>
        <w:rPr>
          <w:rFonts w:hint="eastAsia" w:ascii="仿宋" w:hAnsi="仿宋" w:eastAsia="仿宋" w:cs="宋体"/>
          <w:color w:val="auto"/>
          <w:sz w:val="32"/>
          <w:szCs w:val="32"/>
          <w:lang w:val="zh-CN" w:eastAsia="zh-CN" w:bidi="ar-SA"/>
        </w:rPr>
        <w:t>）履约保证金退付的方式、时间及条件：待合同履约完毕后，且设备无质量问题，中标单位向履约保证金收取单位提供《广西壮族自治区政府采购项目合同验收书》（详见桂财采〔2015〕22号），保证金收取单位在收到合格材料后5个工作日内办理退还手续（不计利息）（如有涉及违约行为的，扣除违约金后退还）。</w:t>
      </w:r>
    </w:p>
    <w:p w14:paraId="0AFD124F">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hint="eastAsia" w:ascii="仿宋" w:hAnsi="仿宋" w:eastAsia="仿宋" w:cs="宋体"/>
          <w:color w:val="auto"/>
          <w:sz w:val="32"/>
          <w:szCs w:val="32"/>
          <w:lang w:val="zh-CN" w:eastAsia="zh-CN" w:bidi="ar-SA"/>
        </w:rPr>
      </w:pPr>
      <w:r>
        <w:rPr>
          <w:rFonts w:hint="eastAsia" w:ascii="仿宋" w:hAnsi="仿宋" w:eastAsia="仿宋" w:cs="宋体"/>
          <w:color w:val="auto"/>
          <w:sz w:val="32"/>
          <w:szCs w:val="32"/>
          <w:lang w:val="zh-CN" w:eastAsia="zh-CN" w:bidi="ar-SA"/>
        </w:rPr>
        <w:t>（</w:t>
      </w:r>
      <w:r>
        <w:rPr>
          <w:rFonts w:hint="eastAsia" w:ascii="仿宋" w:hAnsi="仿宋" w:eastAsia="仿宋" w:cs="宋体"/>
          <w:color w:val="auto"/>
          <w:sz w:val="32"/>
          <w:szCs w:val="32"/>
          <w:lang w:val="en-US" w:eastAsia="zh-CN" w:bidi="ar-SA"/>
        </w:rPr>
        <w:t>4</w:t>
      </w:r>
      <w:r>
        <w:rPr>
          <w:rFonts w:hint="eastAsia" w:ascii="仿宋" w:hAnsi="仿宋" w:eastAsia="仿宋" w:cs="宋体"/>
          <w:color w:val="auto"/>
          <w:sz w:val="32"/>
          <w:szCs w:val="32"/>
          <w:lang w:val="zh-CN" w:eastAsia="zh-CN" w:bidi="ar-SA"/>
        </w:rPr>
        <w:t>）不予退还的情形：签订合同后，如中标单位不按双方签订的合同规定履约，则其全部履约保证金不予退还。</w:t>
      </w:r>
    </w:p>
    <w:p w14:paraId="311DEB0E">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hint="eastAsia" w:ascii="仿宋" w:hAnsi="仿宋" w:eastAsia="仿宋" w:cs="宋体"/>
          <w:color w:val="auto"/>
          <w:sz w:val="32"/>
          <w:szCs w:val="32"/>
          <w:lang w:val="zh-CN" w:eastAsia="zh-CN" w:bidi="ar-SA"/>
        </w:rPr>
      </w:pPr>
      <w:r>
        <w:rPr>
          <w:rFonts w:hint="eastAsia" w:ascii="仿宋" w:hAnsi="仿宋" w:eastAsia="仿宋" w:cs="宋体"/>
          <w:color w:val="auto"/>
          <w:sz w:val="32"/>
          <w:szCs w:val="32"/>
          <w:lang w:val="zh-CN" w:eastAsia="zh-CN" w:bidi="ar-SA"/>
        </w:rPr>
        <w:t>（</w:t>
      </w:r>
      <w:r>
        <w:rPr>
          <w:rFonts w:hint="eastAsia" w:ascii="仿宋" w:hAnsi="仿宋" w:eastAsia="仿宋" w:cs="宋体"/>
          <w:color w:val="auto"/>
          <w:sz w:val="32"/>
          <w:szCs w:val="32"/>
          <w:lang w:val="en-US" w:eastAsia="zh-CN" w:bidi="ar-SA"/>
        </w:rPr>
        <w:t>5</w:t>
      </w:r>
      <w:r>
        <w:rPr>
          <w:rFonts w:hint="eastAsia" w:ascii="仿宋" w:hAnsi="仿宋" w:eastAsia="仿宋" w:cs="宋体"/>
          <w:color w:val="auto"/>
          <w:sz w:val="32"/>
          <w:szCs w:val="32"/>
          <w:lang w:val="zh-CN" w:eastAsia="zh-CN" w:bidi="ar-SA"/>
        </w:rPr>
        <w:t>）履约保证金指定账户：</w:t>
      </w:r>
    </w:p>
    <w:p w14:paraId="26D33452">
      <w:pPr>
        <w:keepNext w:val="0"/>
        <w:keepLines w:val="0"/>
        <w:pageBreakBefore w:val="0"/>
        <w:widowControl/>
        <w:kinsoku/>
        <w:wordWrap/>
        <w:overflowPunct/>
        <w:topLinePunct w:val="0"/>
        <w:autoSpaceDE/>
        <w:autoSpaceDN/>
        <w:bidi w:val="0"/>
        <w:adjustRightInd/>
        <w:snapToGrid/>
        <w:spacing w:line="240" w:lineRule="auto"/>
        <w:ind w:firstLine="643" w:firstLineChars="201"/>
        <w:jc w:val="left"/>
        <w:textAlignment w:val="auto"/>
        <w:rPr>
          <w:rFonts w:hint="eastAsia" w:ascii="仿宋" w:hAnsi="仿宋" w:eastAsia="仿宋" w:cs="宋体"/>
          <w:color w:val="auto"/>
          <w:sz w:val="32"/>
          <w:szCs w:val="32"/>
          <w:lang w:val="en-US" w:eastAsia="zh-CN" w:bidi="ar-SA"/>
        </w:rPr>
      </w:pPr>
      <w:r>
        <w:rPr>
          <w:rFonts w:hint="eastAsia" w:ascii="仿宋" w:hAnsi="仿宋" w:eastAsia="仿宋" w:cs="宋体"/>
          <w:color w:val="auto"/>
          <w:sz w:val="32"/>
          <w:szCs w:val="32"/>
          <w:lang w:val="en-US" w:eastAsia="zh-CN" w:bidi="ar-SA"/>
        </w:rPr>
        <w:t>开户名称：广西壮族自治区生殖医院（广西壮族自治区生殖健康研究中心、广西壮族自治区第五人民医院）</w:t>
      </w:r>
    </w:p>
    <w:p w14:paraId="476C14AA">
      <w:pPr>
        <w:keepNext w:val="0"/>
        <w:keepLines w:val="0"/>
        <w:pageBreakBefore w:val="0"/>
        <w:widowControl/>
        <w:kinsoku/>
        <w:wordWrap/>
        <w:overflowPunct/>
        <w:topLinePunct w:val="0"/>
        <w:autoSpaceDE/>
        <w:autoSpaceDN/>
        <w:bidi w:val="0"/>
        <w:adjustRightInd/>
        <w:snapToGrid/>
        <w:spacing w:line="240" w:lineRule="auto"/>
        <w:ind w:firstLine="643" w:firstLineChars="201"/>
        <w:jc w:val="left"/>
        <w:textAlignment w:val="auto"/>
        <w:rPr>
          <w:rFonts w:hint="eastAsia" w:ascii="仿宋" w:hAnsi="仿宋" w:eastAsia="仿宋" w:cs="宋体"/>
          <w:color w:val="auto"/>
          <w:sz w:val="32"/>
          <w:szCs w:val="32"/>
          <w:lang w:val="en-US" w:eastAsia="zh-CN" w:bidi="ar-SA"/>
        </w:rPr>
      </w:pPr>
      <w:r>
        <w:rPr>
          <w:rFonts w:hint="eastAsia" w:ascii="仿宋" w:hAnsi="仿宋" w:eastAsia="仿宋" w:cs="宋体"/>
          <w:color w:val="auto"/>
          <w:sz w:val="32"/>
          <w:szCs w:val="32"/>
          <w:lang w:val="en-US" w:eastAsia="zh-CN" w:bidi="ar-SA"/>
        </w:rPr>
        <w:t>开户银行：建设银行南宁医科大支行</w:t>
      </w:r>
    </w:p>
    <w:p w14:paraId="4A7DB25B">
      <w:pPr>
        <w:keepNext w:val="0"/>
        <w:keepLines w:val="0"/>
        <w:pageBreakBefore w:val="0"/>
        <w:widowControl/>
        <w:kinsoku/>
        <w:wordWrap/>
        <w:overflowPunct/>
        <w:topLinePunct w:val="0"/>
        <w:autoSpaceDE/>
        <w:autoSpaceDN/>
        <w:bidi w:val="0"/>
        <w:adjustRightInd/>
        <w:snapToGrid/>
        <w:spacing w:line="240" w:lineRule="auto"/>
        <w:ind w:firstLine="643" w:firstLineChars="201"/>
        <w:jc w:val="left"/>
        <w:textAlignment w:val="auto"/>
        <w:rPr>
          <w:rFonts w:hint="eastAsia" w:ascii="仿宋" w:hAnsi="仿宋" w:eastAsia="仿宋" w:cs="宋体"/>
          <w:sz w:val="32"/>
          <w:szCs w:val="32"/>
        </w:rPr>
      </w:pPr>
      <w:r>
        <w:rPr>
          <w:rFonts w:hint="eastAsia" w:ascii="仿宋" w:hAnsi="仿宋" w:eastAsia="仿宋" w:cs="宋体"/>
          <w:color w:val="auto"/>
          <w:sz w:val="32"/>
          <w:szCs w:val="32"/>
          <w:lang w:val="en-US" w:eastAsia="zh-CN" w:bidi="ar-SA"/>
        </w:rPr>
        <w:t xml:space="preserve">银行账号：45001604560059888888  </w:t>
      </w:r>
    </w:p>
    <w:p w14:paraId="1E0BF44A">
      <w:pPr>
        <w:wordWrap w:val="0"/>
        <w:spacing w:line="360" w:lineRule="atLeast"/>
        <w:ind w:firstLine="643" w:firstLineChars="200"/>
        <w:rPr>
          <w:rFonts w:hint="eastAsia" w:ascii="仿宋" w:hAnsi="仿宋" w:eastAsia="仿宋" w:cs="宋体"/>
          <w:b/>
          <w:sz w:val="32"/>
          <w:szCs w:val="32"/>
        </w:rPr>
      </w:pPr>
      <w:r>
        <w:rPr>
          <w:rFonts w:hint="eastAsia" w:ascii="仿宋" w:hAnsi="仿宋" w:eastAsia="仿宋" w:cs="宋体"/>
          <w:b/>
          <w:sz w:val="32"/>
          <w:szCs w:val="32"/>
        </w:rPr>
        <w:t>7、付款条件</w:t>
      </w:r>
    </w:p>
    <w:p w14:paraId="659416F1">
      <w:pPr>
        <w:keepNext w:val="0"/>
        <w:keepLines w:val="0"/>
        <w:pageBreakBefore w:val="0"/>
        <w:widowControl w:val="0"/>
        <w:kinsoku/>
        <w:wordWrap/>
        <w:overflowPunct/>
        <w:topLinePunct w:val="0"/>
        <w:autoSpaceDE/>
        <w:autoSpaceDN/>
        <w:bidi w:val="0"/>
        <w:adjustRightInd/>
        <w:snapToGrid/>
        <w:spacing w:line="240" w:lineRule="auto"/>
        <w:ind w:firstLine="420"/>
        <w:jc w:val="both"/>
        <w:textAlignment w:val="auto"/>
        <w:rPr>
          <w:rFonts w:ascii="仿宋" w:hAnsi="仿宋" w:eastAsia="仿宋" w:cs="宋体"/>
          <w:sz w:val="32"/>
          <w:szCs w:val="32"/>
        </w:rPr>
      </w:pPr>
      <w:r>
        <w:rPr>
          <w:rFonts w:hint="eastAsia" w:ascii="仿宋" w:hAnsi="仿宋" w:eastAsia="仿宋" w:cs="宋体"/>
          <w:sz w:val="32"/>
          <w:szCs w:val="32"/>
        </w:rPr>
        <w:t>按月结算。每日采购清单经双方核对无误后每5个工作日内送一次正式清单至甲方。成交人应在次月5号前提供当月采购货物清单及发票，完成请款手续，采购人在收到发票后的20个工作日内结算上月配送费用。成交人必须按照甲方财务规定出具正式发票，进行公对公账户转账。</w:t>
      </w:r>
    </w:p>
    <w:p w14:paraId="0760A3A3">
      <w:pPr>
        <w:rPr>
          <w:rFonts w:hint="eastAsia" w:ascii="仿宋" w:hAnsi="仿宋" w:eastAsia="仿宋" w:cs="宋体"/>
          <w:sz w:val="32"/>
          <w:szCs w:val="32"/>
        </w:rPr>
      </w:pPr>
    </w:p>
    <w:sectPr>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Ђˎ̥">
    <w:altName w:val="Times New Roman"/>
    <w:panose1 w:val="00000000000000000000"/>
    <w:charset w:val="00"/>
    <w:family w:val="roman"/>
    <w:pitch w:val="default"/>
    <w:sig w:usb0="00000000" w:usb1="00000000" w:usb2="00000000" w:usb3="00000000" w:csb0="00040001" w:csb1="00000000"/>
  </w:font>
  <w:font w:name="方正小标宋简体">
    <w:altName w:val="黑体"/>
    <w:panose1 w:val="00000000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439EEF50">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B3EFA1">
    <w:pPr>
      <w:pStyle w:val="7"/>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445135" cy="230505"/>
              <wp:effectExtent l="0" t="0" r="0" b="0"/>
              <wp:wrapNone/>
              <wp:docPr id="2" name="Text Box 1025"/>
              <wp:cNvGraphicFramePr/>
              <a:graphic xmlns:a="http://schemas.openxmlformats.org/drawingml/2006/main">
                <a:graphicData uri="http://schemas.microsoft.com/office/word/2010/wordprocessingShape">
                  <wps:wsp>
                    <wps:cNvSpPr txBox="1">
                      <a:spLocks noChangeArrowheads="1"/>
                    </wps:cNvSpPr>
                    <wps:spPr bwMode="auto">
                      <a:xfrm>
                        <a:off x="0" y="0"/>
                        <a:ext cx="445135" cy="230505"/>
                      </a:xfrm>
                      <a:prstGeom prst="rect">
                        <a:avLst/>
                      </a:prstGeom>
                      <a:noFill/>
                      <a:ln>
                        <a:noFill/>
                      </a:ln>
                    </wps:spPr>
                    <wps:txbx>
                      <w:txbxContent>
                        <w:p w14:paraId="2DAA7BF5">
                          <w:pPr>
                            <w:pStyle w:val="7"/>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- 16 -</w:t>
                          </w:r>
                          <w:r>
                            <w:rPr>
                              <w:rFonts w:hint="eastAsia" w:ascii="宋体" w:hAnsi="宋体" w:cs="宋体"/>
                              <w:sz w:val="28"/>
                              <w:szCs w:val="28"/>
                            </w:rPr>
                            <w:fldChar w:fldCharType="end"/>
                          </w:r>
                        </w:p>
                      </w:txbxContent>
                    </wps:txbx>
                    <wps:bodyPr rot="0" vert="horz" wrap="none" lIns="0" tIns="0" rIns="0" bIns="0" anchor="t" anchorCtr="0" upright="1">
                      <a:spAutoFit/>
                    </wps:bodyPr>
                  </wps:wsp>
                </a:graphicData>
              </a:graphic>
            </wp:anchor>
          </w:drawing>
        </mc:Choice>
        <mc:Fallback>
          <w:pict>
            <v:shape id="Text Box 1025" o:spid="_x0000_s1026" o:spt="202" type="#_x0000_t202" style="position:absolute;left:0pt;margin-top:0pt;height:18.15pt;width:35.05pt;mso-position-horizontal:outside;mso-position-horizontal-relative:margin;mso-wrap-style:none;z-index:251659264;mso-width-relative:page;mso-height-relative:page;" filled="f" stroked="f" coordsize="21600,21600" o:gfxdata="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JvOISfRAAAAAwEAAA8AAAAAAAAAAQAgAAAAIgAAAGRycy9kb3ducmV2LnhtbFBL&#10;AQIUABQAAAAIAIdO4kCpBV8c/QEAAAQEAAAOAAAAAAAAAAEAIAAAACABAABkcnMvZTJvRG9jLnht&#10;bFBLBQYAAAAABgAGAFkBAACPBQAAAAA=&#10;">
              <v:fill on="f" focussize="0,0"/>
              <v:stroke on="f"/>
              <v:imagedata o:title=""/>
              <o:lock v:ext="edit" aspectratio="f"/>
              <v:textbox inset="0mm,0mm,0mm,0mm" style="mso-fit-shape-to-text:t;">
                <w:txbxContent>
                  <w:p w14:paraId="2DAA7BF5">
                    <w:pPr>
                      <w:pStyle w:val="7"/>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- 16 -</w:t>
                    </w:r>
                    <w:r>
                      <w:rPr>
                        <w:rFonts w:hint="eastAsia" w:ascii="宋体" w:hAnsi="宋体" w:cs="宋体"/>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C95D00D"/>
    <w:multiLevelType w:val="singleLevel"/>
    <w:tmpl w:val="2C95D00D"/>
    <w:lvl w:ilvl="0" w:tentative="0">
      <w:start w:val="4"/>
      <w:numFmt w:val="decimal"/>
      <w:suff w:val="nothing"/>
      <w:lvlText w:val="%1、"/>
      <w:lvlJc w:val="left"/>
    </w:lvl>
  </w:abstractNum>
  <w:abstractNum w:abstractNumId="1">
    <w:nsid w:val="4FD31870"/>
    <w:multiLevelType w:val="multilevel"/>
    <w:tmpl w:val="4FD31870"/>
    <w:lvl w:ilvl="0" w:tentative="0">
      <w:start w:val="1"/>
      <w:numFmt w:val="decimal"/>
      <w:lvlText w:val="%1"/>
      <w:lvlJc w:val="right"/>
      <w:pPr>
        <w:ind w:left="416" w:hanging="132"/>
      </w:pPr>
      <w:rPr>
        <w:rFonts w:hint="eastAsia" w:ascii="宋体" w:hAnsi="宋体" w:eastAsia="宋体"/>
        <w:b w:val="0"/>
        <w:i w:val="0"/>
        <w:sz w:val="21"/>
      </w:rPr>
    </w:lvl>
    <w:lvl w:ilvl="1" w:tentative="0">
      <w:start w:val="1"/>
      <w:numFmt w:val="lowerLetter"/>
      <w:lvlText w:val="%2)"/>
      <w:lvlJc w:val="left"/>
      <w:pPr>
        <w:ind w:left="836" w:hanging="420"/>
      </w:pPr>
    </w:lvl>
    <w:lvl w:ilvl="2" w:tentative="0">
      <w:start w:val="1"/>
      <w:numFmt w:val="lowerRoman"/>
      <w:lvlText w:val="%3."/>
      <w:lvlJc w:val="right"/>
      <w:pPr>
        <w:ind w:left="1256" w:hanging="420"/>
      </w:pPr>
    </w:lvl>
    <w:lvl w:ilvl="3" w:tentative="0">
      <w:start w:val="1"/>
      <w:numFmt w:val="decimal"/>
      <w:lvlText w:val="%4."/>
      <w:lvlJc w:val="left"/>
      <w:pPr>
        <w:ind w:left="1676" w:hanging="420"/>
      </w:pPr>
    </w:lvl>
    <w:lvl w:ilvl="4" w:tentative="0">
      <w:start w:val="1"/>
      <w:numFmt w:val="lowerLetter"/>
      <w:lvlText w:val="%5)"/>
      <w:lvlJc w:val="left"/>
      <w:pPr>
        <w:ind w:left="2096" w:hanging="420"/>
      </w:pPr>
    </w:lvl>
    <w:lvl w:ilvl="5" w:tentative="0">
      <w:start w:val="1"/>
      <w:numFmt w:val="lowerRoman"/>
      <w:lvlText w:val="%6."/>
      <w:lvlJc w:val="right"/>
      <w:pPr>
        <w:ind w:left="2516" w:hanging="420"/>
      </w:pPr>
    </w:lvl>
    <w:lvl w:ilvl="6" w:tentative="0">
      <w:start w:val="1"/>
      <w:numFmt w:val="decimal"/>
      <w:lvlText w:val="%7."/>
      <w:lvlJc w:val="left"/>
      <w:pPr>
        <w:ind w:left="2936" w:hanging="420"/>
      </w:pPr>
    </w:lvl>
    <w:lvl w:ilvl="7" w:tentative="0">
      <w:start w:val="1"/>
      <w:numFmt w:val="lowerLetter"/>
      <w:lvlText w:val="%8)"/>
      <w:lvlJc w:val="left"/>
      <w:pPr>
        <w:ind w:left="3356" w:hanging="420"/>
      </w:pPr>
    </w:lvl>
    <w:lvl w:ilvl="8" w:tentative="0">
      <w:start w:val="1"/>
      <w:numFmt w:val="lowerRoman"/>
      <w:lvlText w:val="%9."/>
      <w:lvlJc w:val="right"/>
      <w:pPr>
        <w:ind w:left="3776"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g3YWY3NjY5ZDc1ZTdjYTgwMjgwNWI5Y2I0NTVkZDcifQ=="/>
  </w:docVars>
  <w:rsids>
    <w:rsidRoot w:val="00BE5969"/>
    <w:rsid w:val="0001326D"/>
    <w:rsid w:val="0001689E"/>
    <w:rsid w:val="00022258"/>
    <w:rsid w:val="00043759"/>
    <w:rsid w:val="00055427"/>
    <w:rsid w:val="000720E9"/>
    <w:rsid w:val="00090EB5"/>
    <w:rsid w:val="000B3E06"/>
    <w:rsid w:val="000D1969"/>
    <w:rsid w:val="001573C2"/>
    <w:rsid w:val="00170521"/>
    <w:rsid w:val="001B39C8"/>
    <w:rsid w:val="001E3108"/>
    <w:rsid w:val="001E7E5E"/>
    <w:rsid w:val="00247DCA"/>
    <w:rsid w:val="00253274"/>
    <w:rsid w:val="00262B8C"/>
    <w:rsid w:val="002B4C3F"/>
    <w:rsid w:val="002C5354"/>
    <w:rsid w:val="0036485C"/>
    <w:rsid w:val="003741A2"/>
    <w:rsid w:val="003825D0"/>
    <w:rsid w:val="00387024"/>
    <w:rsid w:val="003A70F6"/>
    <w:rsid w:val="003B525A"/>
    <w:rsid w:val="003C064A"/>
    <w:rsid w:val="0042249D"/>
    <w:rsid w:val="00422515"/>
    <w:rsid w:val="0042349A"/>
    <w:rsid w:val="00425781"/>
    <w:rsid w:val="00432AB7"/>
    <w:rsid w:val="00443CB6"/>
    <w:rsid w:val="0044628D"/>
    <w:rsid w:val="004518C3"/>
    <w:rsid w:val="004555CA"/>
    <w:rsid w:val="00496EBD"/>
    <w:rsid w:val="0049772B"/>
    <w:rsid w:val="004A2FFA"/>
    <w:rsid w:val="004A54A3"/>
    <w:rsid w:val="004B6DA1"/>
    <w:rsid w:val="004D3830"/>
    <w:rsid w:val="004D6835"/>
    <w:rsid w:val="004E00D3"/>
    <w:rsid w:val="00531C54"/>
    <w:rsid w:val="00543300"/>
    <w:rsid w:val="00556261"/>
    <w:rsid w:val="00574993"/>
    <w:rsid w:val="005A00C7"/>
    <w:rsid w:val="005C4003"/>
    <w:rsid w:val="00606F22"/>
    <w:rsid w:val="006357EC"/>
    <w:rsid w:val="00641F35"/>
    <w:rsid w:val="00650CE8"/>
    <w:rsid w:val="00653C3D"/>
    <w:rsid w:val="006827D0"/>
    <w:rsid w:val="006949EE"/>
    <w:rsid w:val="00695724"/>
    <w:rsid w:val="006958D8"/>
    <w:rsid w:val="007078F6"/>
    <w:rsid w:val="00742F03"/>
    <w:rsid w:val="007751A4"/>
    <w:rsid w:val="007847F3"/>
    <w:rsid w:val="007A2C4D"/>
    <w:rsid w:val="007A41F0"/>
    <w:rsid w:val="007C1DC3"/>
    <w:rsid w:val="007C564C"/>
    <w:rsid w:val="007D76BE"/>
    <w:rsid w:val="0082205B"/>
    <w:rsid w:val="008443FD"/>
    <w:rsid w:val="00853FB2"/>
    <w:rsid w:val="008A6A90"/>
    <w:rsid w:val="008B2C02"/>
    <w:rsid w:val="008E2C77"/>
    <w:rsid w:val="0090462D"/>
    <w:rsid w:val="00944621"/>
    <w:rsid w:val="009509B8"/>
    <w:rsid w:val="00967793"/>
    <w:rsid w:val="0097100A"/>
    <w:rsid w:val="00977766"/>
    <w:rsid w:val="009B5F9D"/>
    <w:rsid w:val="00A04546"/>
    <w:rsid w:val="00A1004B"/>
    <w:rsid w:val="00A153D6"/>
    <w:rsid w:val="00A30EB5"/>
    <w:rsid w:val="00A35683"/>
    <w:rsid w:val="00A648D1"/>
    <w:rsid w:val="00A93168"/>
    <w:rsid w:val="00A9369D"/>
    <w:rsid w:val="00AC62C3"/>
    <w:rsid w:val="00B154A8"/>
    <w:rsid w:val="00B35D02"/>
    <w:rsid w:val="00B526BC"/>
    <w:rsid w:val="00B6712E"/>
    <w:rsid w:val="00B83F02"/>
    <w:rsid w:val="00BE5969"/>
    <w:rsid w:val="00C054DC"/>
    <w:rsid w:val="00C2062F"/>
    <w:rsid w:val="00C21CF4"/>
    <w:rsid w:val="00C8427E"/>
    <w:rsid w:val="00C96967"/>
    <w:rsid w:val="00CC02C2"/>
    <w:rsid w:val="00CF1332"/>
    <w:rsid w:val="00D076EF"/>
    <w:rsid w:val="00D13FF2"/>
    <w:rsid w:val="00D207BB"/>
    <w:rsid w:val="00D3004F"/>
    <w:rsid w:val="00D950BB"/>
    <w:rsid w:val="00DA6FBE"/>
    <w:rsid w:val="00DE654C"/>
    <w:rsid w:val="00DF33E7"/>
    <w:rsid w:val="00E16B1B"/>
    <w:rsid w:val="00E23713"/>
    <w:rsid w:val="00EA54F1"/>
    <w:rsid w:val="00F21923"/>
    <w:rsid w:val="00F503A8"/>
    <w:rsid w:val="00F5569E"/>
    <w:rsid w:val="00F563BD"/>
    <w:rsid w:val="00F77ECA"/>
    <w:rsid w:val="00F91DCD"/>
    <w:rsid w:val="00F93EFB"/>
    <w:rsid w:val="00FA58B7"/>
    <w:rsid w:val="010D7DD7"/>
    <w:rsid w:val="01260E98"/>
    <w:rsid w:val="04561A95"/>
    <w:rsid w:val="04A84D11"/>
    <w:rsid w:val="04F96FF0"/>
    <w:rsid w:val="06D32C76"/>
    <w:rsid w:val="06D80E87"/>
    <w:rsid w:val="06F55595"/>
    <w:rsid w:val="082D6FB0"/>
    <w:rsid w:val="0CBD494C"/>
    <w:rsid w:val="0D7116ED"/>
    <w:rsid w:val="14F43330"/>
    <w:rsid w:val="19341F4D"/>
    <w:rsid w:val="1BCD15A0"/>
    <w:rsid w:val="1CA63252"/>
    <w:rsid w:val="1F7F7C9A"/>
    <w:rsid w:val="1FC94EDE"/>
    <w:rsid w:val="208F03B0"/>
    <w:rsid w:val="23EA427B"/>
    <w:rsid w:val="25826736"/>
    <w:rsid w:val="25A14E0E"/>
    <w:rsid w:val="26C03072"/>
    <w:rsid w:val="27206206"/>
    <w:rsid w:val="27473793"/>
    <w:rsid w:val="27764078"/>
    <w:rsid w:val="27D52B4D"/>
    <w:rsid w:val="27E17743"/>
    <w:rsid w:val="28B07116"/>
    <w:rsid w:val="29F23E8A"/>
    <w:rsid w:val="2B430715"/>
    <w:rsid w:val="2BC924F6"/>
    <w:rsid w:val="2E491779"/>
    <w:rsid w:val="305B02AF"/>
    <w:rsid w:val="318606E5"/>
    <w:rsid w:val="33907277"/>
    <w:rsid w:val="34830BF8"/>
    <w:rsid w:val="34F34F5A"/>
    <w:rsid w:val="35D72186"/>
    <w:rsid w:val="38A87E0A"/>
    <w:rsid w:val="3CA23F97"/>
    <w:rsid w:val="417B60BB"/>
    <w:rsid w:val="418504F9"/>
    <w:rsid w:val="48376AB4"/>
    <w:rsid w:val="4B7324F9"/>
    <w:rsid w:val="4EFF78B0"/>
    <w:rsid w:val="50923421"/>
    <w:rsid w:val="514D64C0"/>
    <w:rsid w:val="52A15B9E"/>
    <w:rsid w:val="53E126F6"/>
    <w:rsid w:val="54913141"/>
    <w:rsid w:val="549F610D"/>
    <w:rsid w:val="555930D4"/>
    <w:rsid w:val="5579070C"/>
    <w:rsid w:val="55A34C56"/>
    <w:rsid w:val="569D5C2C"/>
    <w:rsid w:val="57DD3D75"/>
    <w:rsid w:val="59E85E60"/>
    <w:rsid w:val="5BC052E6"/>
    <w:rsid w:val="5BCA3A6F"/>
    <w:rsid w:val="5CFF1E3E"/>
    <w:rsid w:val="5D30024A"/>
    <w:rsid w:val="5DE828D3"/>
    <w:rsid w:val="610E78EF"/>
    <w:rsid w:val="6223037D"/>
    <w:rsid w:val="622540F5"/>
    <w:rsid w:val="678C16BD"/>
    <w:rsid w:val="67F0485E"/>
    <w:rsid w:val="68723721"/>
    <w:rsid w:val="69110F2F"/>
    <w:rsid w:val="694C640B"/>
    <w:rsid w:val="6D277AC2"/>
    <w:rsid w:val="6E55366C"/>
    <w:rsid w:val="6F0B4673"/>
    <w:rsid w:val="70F73101"/>
    <w:rsid w:val="714E06F0"/>
    <w:rsid w:val="72B34E05"/>
    <w:rsid w:val="749B3DA3"/>
    <w:rsid w:val="77D2668E"/>
    <w:rsid w:val="783B1B25"/>
    <w:rsid w:val="785818A6"/>
    <w:rsid w:val="785D07C5"/>
    <w:rsid w:val="790F6B0E"/>
    <w:rsid w:val="7C945CA8"/>
    <w:rsid w:val="7D2F777E"/>
    <w:rsid w:val="7D853842"/>
    <w:rsid w:val="7FBB17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Times New Roman" w:hAnsi="Times New Roman" w:eastAsia="宋体" w:cs="Times New Roman"/>
      <w:sz w:val="24"/>
      <w:szCs w:val="24"/>
      <w:lang w:val="en-US" w:eastAsia="zh-CN" w:bidi="ar-SA"/>
    </w:rPr>
  </w:style>
  <w:style w:type="paragraph" w:styleId="3">
    <w:name w:val="heading 2"/>
    <w:basedOn w:val="1"/>
    <w:next w:val="1"/>
    <w:link w:val="16"/>
    <w:qFormat/>
    <w:uiPriority w:val="9"/>
    <w:pPr>
      <w:keepNext/>
      <w:keepLines/>
      <w:widowControl w:val="0"/>
      <w:spacing w:before="260" w:after="260" w:line="416" w:lineRule="auto"/>
      <w:jc w:val="both"/>
      <w:outlineLvl w:val="1"/>
    </w:pPr>
    <w:rPr>
      <w:rFonts w:ascii="Cambria" w:hAnsi="Cambria"/>
      <w:b/>
      <w:bCs/>
      <w:kern w:val="2"/>
      <w:sz w:val="32"/>
      <w:szCs w:val="32"/>
      <w:lang w:val="zh-CN"/>
    </w:rPr>
  </w:style>
  <w:style w:type="paragraph" w:styleId="2">
    <w:name w:val="heading 3"/>
    <w:basedOn w:val="1"/>
    <w:next w:val="1"/>
    <w:qFormat/>
    <w:uiPriority w:val="0"/>
    <w:pPr>
      <w:keepNext/>
      <w:keepLines/>
      <w:spacing w:before="260" w:beforeLines="0" w:after="260" w:afterLines="0" w:line="416" w:lineRule="auto"/>
      <w:outlineLvl w:val="2"/>
    </w:pPr>
    <w:rPr>
      <w:b/>
      <w:bCs/>
      <w:kern w:val="0"/>
      <w:sz w:val="32"/>
      <w:szCs w:val="32"/>
    </w:rPr>
  </w:style>
  <w:style w:type="paragraph" w:styleId="4">
    <w:name w:val="heading 4"/>
    <w:basedOn w:val="1"/>
    <w:next w:val="1"/>
    <w:qFormat/>
    <w:uiPriority w:val="0"/>
    <w:pPr>
      <w:keepNext/>
      <w:keepLines/>
      <w:spacing w:before="120" w:after="120" w:line="360" w:lineRule="auto"/>
      <w:jc w:val="center"/>
      <w:outlineLvl w:val="3"/>
    </w:pPr>
    <w:rPr>
      <w:rFonts w:eastAsia="Ђˎ̥"/>
      <w:sz w:val="28"/>
      <w:szCs w:val="20"/>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15"/>
    <w:qFormat/>
    <w:uiPriority w:val="0"/>
    <w:pPr>
      <w:widowControl w:val="0"/>
    </w:pPr>
    <w:rPr>
      <w:rFonts w:asciiTheme="minorHAnsi" w:hAnsiTheme="minorHAnsi" w:eastAsiaTheme="minorEastAsia" w:cstheme="minorBidi"/>
      <w:kern w:val="2"/>
      <w:sz w:val="21"/>
    </w:rPr>
  </w:style>
  <w:style w:type="paragraph" w:styleId="6">
    <w:name w:val="Balloon Text"/>
    <w:basedOn w:val="1"/>
    <w:link w:val="13"/>
    <w:semiHidden/>
    <w:unhideWhenUsed/>
    <w:qFormat/>
    <w:uiPriority w:val="99"/>
    <w:rPr>
      <w:sz w:val="18"/>
      <w:szCs w:val="18"/>
    </w:rPr>
  </w:style>
  <w:style w:type="paragraph" w:styleId="7">
    <w:name w:val="footer"/>
    <w:basedOn w:val="1"/>
    <w:unhideWhenUsed/>
    <w:qFormat/>
    <w:uiPriority w:val="99"/>
    <w:pPr>
      <w:tabs>
        <w:tab w:val="center" w:pos="4153"/>
        <w:tab w:val="right" w:pos="8306"/>
      </w:tabs>
      <w:snapToGrid w:val="0"/>
    </w:pPr>
    <w:rPr>
      <w:sz w:val="18"/>
    </w:rPr>
  </w:style>
  <w:style w:type="paragraph" w:styleId="8">
    <w:name w:val="header"/>
    <w:basedOn w:val="1"/>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table" w:styleId="10">
    <w:name w:val="Table Grid"/>
    <w:basedOn w:val="9"/>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2">
    <w:name w:val="annotation reference"/>
    <w:basedOn w:val="11"/>
    <w:semiHidden/>
    <w:unhideWhenUsed/>
    <w:qFormat/>
    <w:uiPriority w:val="99"/>
    <w:rPr>
      <w:sz w:val="21"/>
      <w:szCs w:val="21"/>
    </w:rPr>
  </w:style>
  <w:style w:type="character" w:customStyle="1" w:styleId="13">
    <w:name w:val="批注框文本 字符"/>
    <w:basedOn w:val="11"/>
    <w:link w:val="6"/>
    <w:semiHidden/>
    <w:qFormat/>
    <w:uiPriority w:val="99"/>
    <w:rPr>
      <w:rFonts w:ascii="Times New Roman" w:hAnsi="Times New Roman" w:eastAsia="宋体" w:cs="Times New Roman"/>
      <w:kern w:val="0"/>
      <w:sz w:val="18"/>
      <w:szCs w:val="18"/>
    </w:rPr>
  </w:style>
  <w:style w:type="paragraph" w:styleId="14">
    <w:name w:val="List Paragraph"/>
    <w:basedOn w:val="1"/>
    <w:qFormat/>
    <w:uiPriority w:val="34"/>
    <w:pPr>
      <w:ind w:firstLine="420" w:firstLineChars="200"/>
    </w:pPr>
  </w:style>
  <w:style w:type="character" w:customStyle="1" w:styleId="15">
    <w:name w:val="批注文字 字符"/>
    <w:basedOn w:val="11"/>
    <w:link w:val="5"/>
    <w:qFormat/>
    <w:uiPriority w:val="0"/>
    <w:rPr>
      <w:kern w:val="2"/>
      <w:sz w:val="21"/>
      <w:szCs w:val="24"/>
    </w:rPr>
  </w:style>
  <w:style w:type="character" w:customStyle="1" w:styleId="16">
    <w:name w:val="标题 2 字符"/>
    <w:basedOn w:val="11"/>
    <w:link w:val="3"/>
    <w:qFormat/>
    <w:uiPriority w:val="9"/>
    <w:rPr>
      <w:rFonts w:ascii="Cambria" w:hAnsi="Cambria" w:eastAsia="宋体" w:cs="Times New Roman"/>
      <w:b/>
      <w:bCs/>
      <w:kern w:val="2"/>
      <w:sz w:val="32"/>
      <w:szCs w:val="32"/>
      <w:lang w:val="zh-CN" w:eastAsia="zh-CN"/>
    </w:rPr>
  </w:style>
  <w:style w:type="paragraph" w:customStyle="1" w:styleId="17">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18">
    <w:name w:val="fontstyle01"/>
    <w:basedOn w:val="11"/>
    <w:qFormat/>
    <w:uiPriority w:val="0"/>
    <w:rPr>
      <w:rFonts w:hint="eastAsia" w:ascii="宋体" w:hAnsi="宋体" w:eastAsia="宋体"/>
      <w:color w:val="000000"/>
      <w:sz w:val="44"/>
      <w:szCs w:val="44"/>
    </w:rPr>
  </w:style>
  <w:style w:type="paragraph" w:customStyle="1" w:styleId="19">
    <w:name w:val="列出段落1"/>
    <w:basedOn w:val="1"/>
    <w:qFormat/>
    <w:uiPriority w:val="0"/>
    <w:pPr>
      <w:widowControl w:val="0"/>
      <w:spacing w:line="312" w:lineRule="auto"/>
      <w:ind w:firstLine="420" w:firstLineChars="200"/>
      <w:jc w:val="both"/>
    </w:pPr>
    <w:rPr>
      <w:kern w:val="2"/>
      <w:sz w:val="21"/>
    </w:rPr>
  </w:style>
  <w:style w:type="paragraph" w:customStyle="1" w:styleId="20">
    <w:name w:val="Table Paragraph"/>
    <w:basedOn w:val="1"/>
    <w:qFormat/>
    <w:uiPriority w:val="1"/>
    <w:pPr>
      <w:jc w:val="left"/>
    </w:pPr>
    <w:rPr>
      <w:rFonts w:ascii="Calibri" w:hAnsi="Calibri"/>
      <w:kern w:val="0"/>
      <w:sz w:val="22"/>
      <w:szCs w:val="22"/>
      <w:lang w:eastAsia="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B1392AA-1069-479A-9EE1-58761C425F60}">
  <ds:schemaRefs/>
</ds:datastoreItem>
</file>

<file path=docProps/app.xml><?xml version="1.0" encoding="utf-8"?>
<Properties xmlns="http://schemas.openxmlformats.org/officeDocument/2006/extended-properties" xmlns:vt="http://schemas.openxmlformats.org/officeDocument/2006/docPropsVTypes">
  <Template>Normal</Template>
  <Pages>15</Pages>
  <Words>8498</Words>
  <Characters>8955</Characters>
  <Lines>230</Lines>
  <Paragraphs>229</Paragraphs>
  <TotalTime>30</TotalTime>
  <ScaleCrop>false</ScaleCrop>
  <LinksUpToDate>false</LinksUpToDate>
  <CharactersWithSpaces>9104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2025-06-02T17:33:00Z</dcterms:created>
  <dc:creator>彭艳煜</dc:creator>
  <cp:lastModifiedBy>久了就旧了</cp:lastModifiedBy>
  <cp:lastPrinted>2024-07-08T00:51:00Z</cp:lastPrinted>
  <dcterms:modified xsi:type="dcterms:W3CDTF">2026-07-10T08:51:49Z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0E7185595FC2478EB4471EB91E2D4E29_13</vt:lpwstr>
  </property>
  <property fmtid="{D5CDD505-2E9C-101B-9397-08002B2CF9AE}" pid="4" name="KSOTemplateDocerSaveRecord">
    <vt:lpwstr>eyJoZGlkIjoiMTg3YWY3NjY5ZDc1ZTdjYTgwMjgwNWI5Y2I0NTVkZDciLCJ1c2VySWQiOiI0MjI5ODM0ODcifQ==</vt:lpwstr>
  </property>
</Properties>
</file>