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CD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sz w:val="32"/>
          <w:szCs w:val="32"/>
        </w:rPr>
      </w:pPr>
      <w:r>
        <w:rPr>
          <w:rFonts w:ascii="Arial" w:hAnsi="Arial" w:eastAsia="等线" w:cs="Arial"/>
          <w:b/>
          <w:sz w:val="32"/>
          <w:szCs w:val="32"/>
        </w:rPr>
        <w:t>医院污水处理站除臭改造项目采购需求</w:t>
      </w:r>
    </w:p>
    <w:p w14:paraId="5362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sz w:val="28"/>
          <w:szCs w:val="28"/>
        </w:rPr>
      </w:pPr>
      <w:bookmarkStart w:id="0" w:name="heading_0"/>
      <w:r>
        <w:rPr>
          <w:rFonts w:ascii="Arial" w:hAnsi="Arial" w:eastAsia="等线" w:cs="Arial"/>
          <w:b/>
          <w:sz w:val="28"/>
          <w:szCs w:val="28"/>
        </w:rPr>
        <w:t>一、项目概况</w:t>
      </w:r>
      <w:bookmarkEnd w:id="0"/>
    </w:p>
    <w:p w14:paraId="01490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本院污水处理站于2021年投入使用，至今运行超5年，站内部分水池、设备为露天布设。长期运行过程中，污水处理产生的硫化氢、氨气等恶臭气体持续扩散，对周边环境造成污染，严重干扰医技保障综合楼及板房区域的正常诊疗、办公秩序，影响院区整体环境质量。</w:t>
      </w:r>
    </w:p>
    <w:p w14:paraId="5DF44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为彻底解决污水站问题，改善院区生态环境，保障医疗工作有序开展，本次实施污水处理站专项除臭升级改造。项目主要包含三大核心内容：基础处理（地面硬化、树木移栽处置）、臭气收集围挡系统布设、除臭设备系统升级改造。</w:t>
      </w:r>
    </w:p>
    <w:p w14:paraId="031EA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1" w:name="heading_1"/>
      <w:r>
        <w:rPr>
          <w:rFonts w:ascii="Arial" w:hAnsi="Arial" w:eastAsia="等线" w:cs="Arial"/>
          <w:b/>
          <w:sz w:val="28"/>
          <w:szCs w:val="28"/>
        </w:rPr>
        <w:t>二、技术要求</w:t>
      </w:r>
      <w:bookmarkEnd w:id="1"/>
    </w:p>
    <w:p w14:paraId="686F7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本次改造严格遵循《医疗机构污水处理工程技术标准》（GB51459-2024）、《恶臭污染物排放标准》（GB14554-93）、《医疗机构水污染物排放标准》（GB18466-2005）国家规范标准，所有设备、材料、施工工艺须满足医疗院区特殊环境使用要求，整体除臭净化效率</w:t>
      </w:r>
      <w:r>
        <w:rPr>
          <w:rFonts w:ascii="Arial" w:hAnsi="Arial" w:eastAsia="等线" w:cs="Arial"/>
          <w:b/>
          <w:sz w:val="22"/>
        </w:rPr>
        <w:t>≥95%</w:t>
      </w:r>
      <w:r>
        <w:rPr>
          <w:rFonts w:ascii="Arial" w:hAnsi="Arial" w:eastAsia="等线" w:cs="Arial"/>
          <w:sz w:val="22"/>
        </w:rPr>
        <w:t>，可有效处置H₂S、NH₃等腐蚀性、恶臭气体，设备及配套设施具备高净化能力、强耐腐蚀性、运行稳定、低运维成本等特点，确保废气长期稳定达标排放。</w:t>
      </w:r>
    </w:p>
    <w:p w14:paraId="35522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2" w:name="heading_2"/>
      <w:r>
        <w:rPr>
          <w:rFonts w:ascii="Arial" w:hAnsi="Arial" w:eastAsia="等线" w:cs="Arial"/>
          <w:b/>
          <w:sz w:val="28"/>
          <w:szCs w:val="28"/>
        </w:rPr>
        <w:t>（一）基础处理技术要求</w:t>
      </w:r>
      <w:bookmarkEnd w:id="2"/>
    </w:p>
    <w:p w14:paraId="047CC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场地硬化：对污水处理站四周区域进行全面硬化处理，平整场地、杜绝积水、积污，提升场区整洁度与设备安装基础稳定性，满足除臭设备、围挡设施安装及后期运维通行需求。</w:t>
      </w:r>
    </w:p>
    <w:p w14:paraId="2E8F1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树木处置：对场区范围内10棵影响施工及臭气收集的树木（黄风铃、扁桃、苹婆）进行统一处置，处置方式可根据</w:t>
      </w:r>
      <w:r>
        <w:rPr>
          <w:rFonts w:hint="eastAsia" w:ascii="Arial" w:hAnsi="Arial" w:eastAsia="等线" w:cs="Arial"/>
          <w:sz w:val="22"/>
          <w:lang w:val="en-US" w:eastAsia="zh-CN"/>
        </w:rPr>
        <w:t>采购人要求</w:t>
      </w:r>
      <w:r>
        <w:rPr>
          <w:rFonts w:ascii="Arial" w:hAnsi="Arial" w:eastAsia="等线" w:cs="Arial"/>
          <w:sz w:val="22"/>
        </w:rPr>
        <w:t>选择合规单位接收，所有处置流程合规、现场整洁，无遗留杂物。</w:t>
      </w:r>
    </w:p>
    <w:p w14:paraId="575B9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3" w:name="heading_3"/>
      <w:r>
        <w:rPr>
          <w:rFonts w:ascii="Arial" w:hAnsi="Arial" w:eastAsia="等线" w:cs="Arial"/>
          <w:b/>
          <w:sz w:val="28"/>
          <w:szCs w:val="28"/>
        </w:rPr>
        <w:t>（二）臭气收集围挡系统技术要求</w:t>
      </w:r>
      <w:bookmarkEnd w:id="3"/>
    </w:p>
    <w:p w14:paraId="53B60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整体结构：采用不锈钢支架+高耐腐复合板材结构，搭建封闭式臭气收集围挡，实现污水站臭气源全密闭收集，杜绝恶臭气体无组织扩散。</w:t>
      </w:r>
    </w:p>
    <w:p w14:paraId="28F4F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板材参数：臭气收集密封罩围板采用双面0.4mm厚304不锈钢中空玻镁夹芯板或同等及以上性能防腐板材，搭配高强度抗腐蚀骨架。</w:t>
      </w:r>
    </w:p>
    <w:p w14:paraId="55E5D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3. 性能要求：整体结构强度高、抗风性能优异，具备防火、防潮、防腐、耐酸碱特性，适配污水站高腐蚀、高湿度恶劣工况；罩体所有拼接缝隙做专用密封防渗处理，整体气密性优良，无气体泄漏点位。</w:t>
      </w:r>
    </w:p>
    <w:p w14:paraId="2943C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4" w:name="heading_4"/>
      <w:r>
        <w:rPr>
          <w:rFonts w:ascii="Arial" w:hAnsi="Arial" w:eastAsia="等线" w:cs="Arial"/>
          <w:b/>
          <w:sz w:val="28"/>
          <w:szCs w:val="28"/>
        </w:rPr>
        <w:t>（三）除臭系统核心设备技术要求</w:t>
      </w:r>
      <w:bookmarkEnd w:id="4"/>
    </w:p>
    <w:p w14:paraId="728BF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280" w:firstLineChars="100"/>
        <w:jc w:val="left"/>
        <w:textAlignment w:val="auto"/>
        <w:outlineLvl w:val="2"/>
        <w:rPr>
          <w:sz w:val="28"/>
          <w:szCs w:val="28"/>
        </w:rPr>
      </w:pPr>
      <w:bookmarkStart w:id="5" w:name="heading_5"/>
      <w:r>
        <w:rPr>
          <w:rFonts w:ascii="Arial" w:hAnsi="Arial" w:eastAsia="等线" w:cs="Arial"/>
          <w:b/>
          <w:sz w:val="28"/>
          <w:szCs w:val="28"/>
        </w:rPr>
        <w:t>1. 风量测算与离心风机选型要求</w:t>
      </w:r>
      <w:bookmarkEnd w:id="5"/>
    </w:p>
    <w:p w14:paraId="2A3DC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1）风量测算：供应商须现场踏勘，结合污水站调节池、污泥池等臭气源密闭后空间体积、规范换气次数、废气管道及配件风阻等参数，精准测算项目所需总风量，匹配最优设备选型，确保臭气收集、处理无死角。</w:t>
      </w:r>
    </w:p>
    <w:p w14:paraId="2FF09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（2）风机主体：风机壳体、叶轮全部采用玻璃钢（FRP）耐腐蚀材质，叶轮必须经过动、静平衡校正，运行平稳、无抖动、无异常异响，适配高腐蚀废气环境。</w:t>
      </w:r>
    </w:p>
    <w:p w14:paraId="25FD7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（3）电机配置：配套变频电机，防护等级IP55，绝缘等级F级，支持风量变频调节，节能降耗、适配不同工况运行需求。</w:t>
      </w:r>
    </w:p>
    <w:p w14:paraId="16B53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（4）配套附件：全套配置进口防腐软连接、设备出口消音器/消音箱、阻尼弹簧减震器、就地变频控制箱；设备运行整体噪声≤80dB(A)，有效控制设备震动及噪音污染，满足医院静音环境要求。</w:t>
      </w:r>
    </w:p>
    <w:p w14:paraId="3EA83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2"/>
        <w:rPr>
          <w:sz w:val="28"/>
          <w:szCs w:val="28"/>
        </w:rPr>
      </w:pPr>
      <w:bookmarkStart w:id="6" w:name="heading_6"/>
      <w:r>
        <w:rPr>
          <w:rFonts w:ascii="Arial" w:hAnsi="Arial" w:eastAsia="等线" w:cs="Arial"/>
          <w:b/>
          <w:sz w:val="28"/>
          <w:szCs w:val="28"/>
        </w:rPr>
        <w:t>2. 生物滤池（喷淋塔+火山岩滤料）系统要求</w:t>
      </w:r>
      <w:bookmarkEnd w:id="6"/>
    </w:p>
    <w:p w14:paraId="295AD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（1）池体结构：池体采用玻璃钢（FRP）与方管型钢组合结构，结构稳固、承载力强、耐酸碱腐蚀、使用寿命长，适配长期户外恶劣工况。</w:t>
      </w:r>
    </w:p>
    <w:p w14:paraId="7FA26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（2）处理性能：设备处理风量与离心风机完全匹配，臭气与生物填料有效接触时间</w:t>
      </w:r>
      <w:r>
        <w:rPr>
          <w:rFonts w:ascii="Arial" w:hAnsi="Arial" w:eastAsia="等线" w:cs="Arial"/>
          <w:b/>
          <w:sz w:val="22"/>
        </w:rPr>
        <w:t>不小于15秒</w:t>
      </w:r>
      <w:r>
        <w:rPr>
          <w:rFonts w:ascii="Arial" w:hAnsi="Arial" w:eastAsia="等线" w:cs="Arial"/>
          <w:sz w:val="22"/>
        </w:rPr>
        <w:t>，填料铺设厚度</w:t>
      </w:r>
      <w:r>
        <w:rPr>
          <w:rFonts w:ascii="Arial" w:hAnsi="Arial" w:eastAsia="等线" w:cs="Arial"/>
          <w:b/>
          <w:sz w:val="22"/>
        </w:rPr>
        <w:t>不小于1.4m</w:t>
      </w:r>
      <w:r>
        <w:rPr>
          <w:rFonts w:ascii="Arial" w:hAnsi="Arial" w:eastAsia="等线" w:cs="Arial"/>
          <w:sz w:val="22"/>
        </w:rPr>
        <w:t>，保障废气充分净化，除臭效率稳定≥95%。</w:t>
      </w:r>
      <w:bookmarkStart w:id="15" w:name="_GoBack"/>
      <w:bookmarkEnd w:id="15"/>
    </w:p>
    <w:p w14:paraId="4739E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（3）火山岩滤料核心参数：粒径4~6mm（大池体可采用5-8cm规格）；孔隙率55%~60%；比表面积≥8×10⁴ cm²/g；使用寿命不低于1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年；滤料具备优异化学惰性，耐酸碱范围pH2-12，无有害物质释放，表面粗糙多孔，可稳定实现微生物挂膜。</w:t>
      </w:r>
      <w:r>
        <w:rPr>
          <w:rFonts w:hint="eastAsia" w:ascii="Arial" w:hAnsi="Arial" w:eastAsia="等线" w:cs="Arial"/>
          <w:sz w:val="22"/>
          <w:lang w:val="en-US" w:eastAsia="zh-CN"/>
        </w:rPr>
        <w:t>进场前</w:t>
      </w:r>
      <w:r>
        <w:rPr>
          <w:rFonts w:ascii="Arial" w:hAnsi="Arial" w:eastAsia="等线" w:cs="Arial"/>
          <w:sz w:val="22"/>
        </w:rPr>
        <w:t>须提供滤料化学成分分析报告、性能检测报告。</w:t>
      </w:r>
    </w:p>
    <w:p w14:paraId="1973E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4）喷淋与监测系统：配备不锈钢喷淋水泵（过流部件全部为SS304材质）、PE/FRP防腐水箱，喷淋系统均匀布水，持续维持填料湿润，保障微生物活性；配套0-3KPa压差计，实时监测填料堵塞状态，预警反冲洗维护；配套0-10ppm硫化氢测量仪，实时在线监控废气处理效果，数据可追溯。</w:t>
      </w:r>
    </w:p>
    <w:p w14:paraId="225FD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2"/>
        <w:rPr>
          <w:rFonts w:ascii="Arial" w:hAnsi="Arial" w:eastAsia="等线" w:cs="Arial"/>
          <w:b/>
          <w:sz w:val="28"/>
          <w:szCs w:val="28"/>
        </w:rPr>
      </w:pPr>
      <w:bookmarkStart w:id="7" w:name="heading_7"/>
      <w:r>
        <w:rPr>
          <w:rFonts w:ascii="Arial" w:hAnsi="Arial" w:eastAsia="等线" w:cs="Arial"/>
          <w:b/>
          <w:sz w:val="28"/>
          <w:szCs w:val="28"/>
        </w:rPr>
        <w:t>3. 管路及控制系统要求</w:t>
      </w:r>
      <w:bookmarkEnd w:id="7"/>
    </w:p>
    <w:p w14:paraId="3EBD7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（1）风管及配件：采用FRP玻璃钢或UPVC耐腐蚀材质，配套风量调节阀，可精准平衡各集气点位风量，实现分区精准集气处理，管路密封严密、无漏气、无积污死角。</w:t>
      </w:r>
    </w:p>
    <w:p w14:paraId="666E8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（2）控制柜：采用304不锈钢柜体，壁厚≥1.5mm，防护等级</w:t>
      </w:r>
      <w:r>
        <w:rPr>
          <w:rFonts w:hint="eastAsia" w:ascii="Arial" w:hAnsi="Arial" w:eastAsia="等线" w:cs="Arial"/>
          <w:sz w:val="22"/>
          <w:lang w:val="en-US" w:eastAsia="zh-CN"/>
        </w:rPr>
        <w:t>≥</w:t>
      </w:r>
      <w:r>
        <w:rPr>
          <w:rFonts w:ascii="Arial" w:hAnsi="Arial" w:eastAsia="等线" w:cs="Arial"/>
          <w:sz w:val="22"/>
        </w:rPr>
        <w:t>IP55，防水、防尘、防腐，适配户外安装环境，集成设备启停、变频调节、故障报警、数据监测等功能，操作便捷、运行稳定。</w:t>
      </w:r>
    </w:p>
    <w:p w14:paraId="79B1F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8" w:name="heading_8"/>
      <w:r>
        <w:rPr>
          <w:rFonts w:ascii="Arial" w:hAnsi="Arial" w:eastAsia="等线" w:cs="Arial"/>
          <w:b/>
          <w:sz w:val="28"/>
          <w:szCs w:val="28"/>
        </w:rPr>
        <w:t>三、商务要求</w:t>
      </w:r>
      <w:bookmarkEnd w:id="8"/>
    </w:p>
    <w:p w14:paraId="6C1F7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40" w:line="360" w:lineRule="auto"/>
        <w:ind w:left="0" w:firstLine="560" w:firstLineChars="200"/>
        <w:jc w:val="left"/>
        <w:textAlignment w:val="auto"/>
        <w:outlineLvl w:val="0"/>
        <w:rPr>
          <w:rFonts w:ascii="Arial" w:hAnsi="Arial" w:eastAsia="等线" w:cs="Arial"/>
          <w:b/>
          <w:sz w:val="28"/>
          <w:szCs w:val="28"/>
        </w:rPr>
      </w:pPr>
      <w:bookmarkStart w:id="9" w:name="heading_9"/>
      <w:r>
        <w:rPr>
          <w:rFonts w:ascii="Arial" w:hAnsi="Arial" w:eastAsia="等线" w:cs="Arial"/>
          <w:b/>
          <w:sz w:val="28"/>
          <w:szCs w:val="28"/>
        </w:rPr>
        <w:t>（一）服务及质保期限</w:t>
      </w:r>
      <w:bookmarkEnd w:id="9"/>
    </w:p>
    <w:p w14:paraId="62E16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整体项目质保期不少于2年，自项目整体竣工验收合格之日起计算；核心火山岩滤料质保使用寿命不低于</w:t>
      </w:r>
      <w:r>
        <w:rPr>
          <w:rFonts w:hint="eastAsia" w:ascii="Arial" w:hAnsi="Arial" w:eastAsia="等线" w:cs="Arial"/>
          <w:sz w:val="22"/>
          <w:lang w:val="en-US" w:eastAsia="zh-CN"/>
        </w:rPr>
        <w:t>10</w:t>
      </w:r>
      <w:r>
        <w:rPr>
          <w:rFonts w:ascii="Arial" w:hAnsi="Arial" w:eastAsia="等线" w:cs="Arial"/>
          <w:sz w:val="22"/>
        </w:rPr>
        <w:t>年，质保期内免费提供技术指导、故障排查、维护咨询服务。</w:t>
      </w:r>
    </w:p>
    <w:p w14:paraId="12294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质保期内，因设备质量、施工工艺、系统设计等供方原因导致的设备故障、除臭不达标、气体泄漏、噪音超标等问题，供应商须24小时响应，免费维修、更换配件、整改优化，无需采购人承担任何费用。</w:t>
      </w:r>
    </w:p>
    <w:p w14:paraId="41EBE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1"/>
        <w:rPr>
          <w:rFonts w:ascii="Arial" w:hAnsi="Arial" w:eastAsia="等线" w:cs="Arial"/>
          <w:b/>
          <w:sz w:val="28"/>
          <w:szCs w:val="28"/>
        </w:rPr>
      </w:pPr>
      <w:bookmarkStart w:id="10" w:name="heading_10"/>
      <w:r>
        <w:rPr>
          <w:rFonts w:ascii="Arial" w:hAnsi="Arial" w:eastAsia="等线" w:cs="Arial"/>
          <w:b/>
          <w:sz w:val="28"/>
          <w:szCs w:val="28"/>
        </w:rPr>
        <w:t>（二）付款方式</w:t>
      </w:r>
      <w:bookmarkEnd w:id="10"/>
    </w:p>
    <w:p w14:paraId="6FC2F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本项目无预付款，项目整体施工完成、设备调试完毕，经采购人验收合格后，供应商提交完整竣工资料、验收报告、合法有效发票。</w:t>
      </w:r>
    </w:p>
    <w:p w14:paraId="1E819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采购人审核无误后20个工作日内支付项目全款。</w:t>
      </w:r>
    </w:p>
    <w:p w14:paraId="40016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3. 若项目存在整改、质量问题、验收不合格情况，采购人有权暂缓付款，直至问题全部整改合格、验收通过。</w:t>
      </w:r>
    </w:p>
    <w:p w14:paraId="0A22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1"/>
        <w:rPr>
          <w:rFonts w:ascii="Arial" w:hAnsi="Arial" w:eastAsia="等线" w:cs="Arial"/>
          <w:b/>
          <w:sz w:val="28"/>
          <w:szCs w:val="28"/>
        </w:rPr>
      </w:pPr>
      <w:bookmarkStart w:id="11" w:name="heading_11"/>
      <w:r>
        <w:rPr>
          <w:rFonts w:ascii="Arial" w:hAnsi="Arial" w:eastAsia="等线" w:cs="Arial"/>
          <w:b/>
          <w:sz w:val="28"/>
          <w:szCs w:val="28"/>
        </w:rPr>
        <w:t>（三）售后服务要求</w:t>
      </w:r>
      <w:bookmarkEnd w:id="11"/>
    </w:p>
    <w:p w14:paraId="1F5DF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供应商须提供全程一站式服务，包含现场踏勘、方案设计、材料采购、施工安装、设备调试、试运行、验收交付、运维培训等全部工作，包工包料、</w:t>
      </w:r>
      <w:r>
        <w:rPr>
          <w:rFonts w:hint="eastAsia" w:ascii="Arial" w:hAnsi="Arial" w:eastAsia="等线" w:cs="Arial"/>
          <w:sz w:val="22"/>
          <w:lang w:val="en-US" w:eastAsia="zh-CN"/>
        </w:rPr>
        <w:t>总价</w:t>
      </w:r>
      <w:r>
        <w:rPr>
          <w:rFonts w:ascii="Arial" w:hAnsi="Arial" w:eastAsia="等线" w:cs="Arial"/>
          <w:sz w:val="22"/>
        </w:rPr>
        <w:t>包干。</w:t>
      </w:r>
    </w:p>
    <w:p w14:paraId="5A702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 建立常态化售后响应机制，系统出现故障时，供应商须在接到报修通知后</w:t>
      </w:r>
      <w:r>
        <w:rPr>
          <w:rFonts w:hint="default" w:ascii="Arial" w:hAnsi="Arial" w:eastAsia="等线" w:cs="Arial"/>
          <w:sz w:val="22"/>
        </w:rPr>
        <w:t>2小时内提供明确的远程技术支持或解决方案。若需现场处理，须在24小时内派遣技术人员抵达现场。一般情况下，须在抵达现场后48小时内完成修复并恢复系统正常运行。若因特殊原因无法在48小时内修复，供应商应立即向采购人报告并说明原因，同时采取一切必要措施以最大限度保障除臭系统的基本运行，直至故障完全排除。</w:t>
      </w:r>
    </w:p>
    <w:p w14:paraId="5B9C8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3. 项目交付后免费为院方运维人员提供设备操作、日常维护、故障排查、参数调试专项培训，确保院方可独立日常运维。</w:t>
      </w:r>
    </w:p>
    <w:p w14:paraId="306AD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4. 定期回访巡检，质保期内每季度上门巡检1次，排查设备隐患、清理管路、校准监测设备，形成巡检台账提交院方存档。</w:t>
      </w:r>
    </w:p>
    <w:p w14:paraId="456A6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1"/>
        <w:rPr>
          <w:rFonts w:ascii="Arial" w:hAnsi="Arial" w:eastAsia="等线" w:cs="Arial"/>
          <w:b/>
          <w:sz w:val="28"/>
          <w:szCs w:val="28"/>
        </w:rPr>
      </w:pPr>
      <w:bookmarkStart w:id="12" w:name="heading_12"/>
      <w:r>
        <w:rPr>
          <w:rFonts w:ascii="Arial" w:hAnsi="Arial" w:eastAsia="等线" w:cs="Arial"/>
          <w:b/>
          <w:sz w:val="28"/>
          <w:szCs w:val="28"/>
        </w:rPr>
        <w:t>（四）验收标准</w:t>
      </w:r>
      <w:bookmarkEnd w:id="12"/>
    </w:p>
    <w:p w14:paraId="7986C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整体验收严格按照国家现行规范、本采购需求、投标承诺及合同条款执行，主要依据《医疗机构污水处理工程技术标准》（GB51459-2024）、《恶臭污染物排放标准》（GB14554-93）、《医疗机构水污染物排放标准》（GB18466-2005）。</w:t>
      </w:r>
    </w:p>
    <w:p w14:paraId="34AE4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外观及施工验收：场地硬化平整无破损、树木处置合规整洁；围挡结构稳固、密封严密，无漏气点位；设备、管路安装规范、布局合理、无破损、无锈蚀。</w:t>
      </w:r>
    </w:p>
    <w:p w14:paraId="552D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3. 性能验收：系统运行稳定无异常噪音、无剧烈震动；整体除臭净化效率≥95%，硫化氢、氨气等恶臭气体排放完全达标，无异味扩散扰民问题；所有监测设备数据精准、功能正常。</w:t>
      </w:r>
    </w:p>
    <w:p w14:paraId="6BF64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4. 资料验收：供应商须完整提供设备合格证、检测报告、竣工图纸、运维手册等全套资料，资料齐全方可验收。</w:t>
      </w:r>
    </w:p>
    <w:p w14:paraId="1508D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5. 试运行验收：设备连续试运行72小时无故障、指标稳定达标，视为试运行合格，予以正式竣工验收。</w:t>
      </w:r>
    </w:p>
    <w:p w14:paraId="1A729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1"/>
        <w:rPr>
          <w:rFonts w:ascii="Arial" w:hAnsi="Arial" w:eastAsia="等线" w:cs="Arial"/>
          <w:b/>
          <w:sz w:val="28"/>
          <w:szCs w:val="28"/>
        </w:rPr>
      </w:pPr>
      <w:bookmarkStart w:id="13" w:name="heading_13"/>
      <w:r>
        <w:rPr>
          <w:rFonts w:ascii="Arial" w:hAnsi="Arial" w:eastAsia="等线" w:cs="Arial"/>
          <w:b/>
          <w:sz w:val="28"/>
          <w:szCs w:val="28"/>
        </w:rPr>
        <w:t>（五）违约责任</w:t>
      </w:r>
      <w:bookmarkEnd w:id="13"/>
    </w:p>
    <w:p w14:paraId="42820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1. 供应商未按约定工期完成施工、调试及交付的，每逾期1天，向采购人支付合同总金额0.5</w:t>
      </w:r>
      <w:r>
        <w:rPr>
          <w:rFonts w:hint="eastAsia" w:ascii="Arial" w:hAnsi="Arial" w:eastAsia="等线" w:cs="Arial"/>
          <w:sz w:val="22"/>
          <w:lang w:val="en-US" w:eastAsia="zh-CN"/>
        </w:rPr>
        <w:t>‰</w:t>
      </w:r>
      <w:r>
        <w:rPr>
          <w:rFonts w:ascii="Arial" w:hAnsi="Arial" w:eastAsia="等线" w:cs="Arial"/>
          <w:sz w:val="22"/>
        </w:rPr>
        <w:t>违约金，累计违约金不超过合同总金额10%；逾期超</w:t>
      </w:r>
      <w:r>
        <w:rPr>
          <w:rFonts w:hint="eastAsia" w:ascii="Arial" w:hAnsi="Arial" w:eastAsia="等线" w:cs="Arial"/>
          <w:sz w:val="22"/>
          <w:lang w:val="en-US" w:eastAsia="zh-CN"/>
        </w:rPr>
        <w:t>10</w:t>
      </w:r>
      <w:r>
        <w:rPr>
          <w:rFonts w:ascii="Arial" w:hAnsi="Arial" w:eastAsia="等线" w:cs="Arial"/>
          <w:sz w:val="22"/>
        </w:rPr>
        <w:t>天，采购人有权单方解除合同，追究供方全部损失。</w:t>
      </w:r>
    </w:p>
    <w:p w14:paraId="135DC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项目验收不达标、除臭效率未达到≥95%标准、废气排放超标、出现气体泄漏、噪音超标等质量问题，供应商须无条件免费整改、返工，直至达标交付，并承担由此产生的全部整改费用、环境处罚费用及院方损失。</w:t>
      </w:r>
    </w:p>
    <w:p w14:paraId="007BC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3. 质保期内设备故障</w:t>
      </w:r>
      <w:r>
        <w:rPr>
          <w:rFonts w:hint="eastAsia" w:ascii="Arial" w:hAnsi="Arial" w:eastAsia="等线" w:cs="Arial"/>
          <w:sz w:val="22"/>
          <w:lang w:val="en-US" w:eastAsia="zh-CN"/>
        </w:rPr>
        <w:t>供应商</w:t>
      </w:r>
      <w:r>
        <w:rPr>
          <w:rFonts w:ascii="Arial" w:hAnsi="Arial" w:eastAsia="等线" w:cs="Arial"/>
          <w:sz w:val="22"/>
        </w:rPr>
        <w:t>响应不及时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每</w:t>
      </w:r>
      <w:r>
        <w:rPr>
          <w:rFonts w:hint="eastAsia" w:ascii="Arial" w:hAnsi="Arial" w:eastAsia="等线" w:cs="Arial"/>
          <w:sz w:val="22"/>
          <w:lang w:val="en-US" w:eastAsia="zh-CN"/>
        </w:rPr>
        <w:t>次</w:t>
      </w:r>
      <w:r>
        <w:rPr>
          <w:rFonts w:ascii="Arial" w:hAnsi="Arial" w:eastAsia="等线" w:cs="Arial"/>
          <w:sz w:val="22"/>
        </w:rPr>
        <w:t>向采购人支付合同总金额0.5</w:t>
      </w:r>
      <w:r>
        <w:rPr>
          <w:rFonts w:hint="eastAsia" w:ascii="Arial" w:hAnsi="Arial" w:eastAsia="等线" w:cs="Arial"/>
          <w:sz w:val="22"/>
          <w:lang w:val="en-US" w:eastAsia="zh-CN"/>
        </w:rPr>
        <w:t>‰</w:t>
      </w:r>
      <w:r>
        <w:rPr>
          <w:rFonts w:ascii="Arial" w:hAnsi="Arial" w:eastAsia="等线" w:cs="Arial"/>
          <w:sz w:val="22"/>
        </w:rPr>
        <w:t>违约金，累计违约金不超过合同总金额10%；拒不整改的，采购人有权扣除</w:t>
      </w:r>
      <w:r>
        <w:rPr>
          <w:rFonts w:hint="eastAsia" w:ascii="Arial" w:hAnsi="Arial" w:eastAsia="等线" w:cs="Arial"/>
          <w:sz w:val="22"/>
          <w:lang w:val="en-US" w:eastAsia="zh-CN"/>
        </w:rPr>
        <w:t>履约保证金</w:t>
      </w:r>
      <w:r>
        <w:rPr>
          <w:rFonts w:ascii="Arial" w:hAnsi="Arial" w:eastAsia="等线" w:cs="Arial"/>
          <w:sz w:val="22"/>
        </w:rPr>
        <w:t>，情节严重的终止合作并纳入院方不良供应商名录。</w:t>
      </w:r>
    </w:p>
    <w:p w14:paraId="48D8D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4. 供应商提供虚假材料、虚假检测报告、设备材质与参数不符的，采购人有权立即终止合同，要求供方退还全部款项并承担合同总金额20%违约金，追究相应法律责任。</w:t>
      </w:r>
    </w:p>
    <w:p w14:paraId="1C84D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560" w:firstLineChars="200"/>
        <w:jc w:val="left"/>
        <w:textAlignment w:val="auto"/>
        <w:outlineLvl w:val="1"/>
        <w:rPr>
          <w:rFonts w:ascii="Arial" w:hAnsi="Arial" w:eastAsia="等线" w:cs="Arial"/>
          <w:b/>
          <w:sz w:val="28"/>
          <w:szCs w:val="28"/>
        </w:rPr>
      </w:pPr>
      <w:bookmarkStart w:id="14" w:name="heading_14"/>
      <w:r>
        <w:rPr>
          <w:rFonts w:ascii="Arial" w:hAnsi="Arial" w:eastAsia="等线" w:cs="Arial"/>
          <w:b/>
          <w:sz w:val="28"/>
          <w:szCs w:val="28"/>
        </w:rPr>
        <w:t>（六）其他商务要求</w:t>
      </w:r>
      <w:bookmarkEnd w:id="14"/>
    </w:p>
    <w:p w14:paraId="671F9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660" w:firstLineChars="300"/>
        <w:jc w:val="left"/>
        <w:textAlignment w:val="auto"/>
      </w:pPr>
      <w:r>
        <w:rPr>
          <w:rFonts w:ascii="Arial" w:hAnsi="Arial" w:eastAsia="等线" w:cs="Arial"/>
          <w:sz w:val="22"/>
        </w:rPr>
        <w:t>1. 本项目报价为</w:t>
      </w:r>
      <w:r>
        <w:rPr>
          <w:rFonts w:hint="eastAsia" w:ascii="Arial" w:hAnsi="Arial" w:eastAsia="等线" w:cs="Arial"/>
          <w:sz w:val="22"/>
          <w:lang w:val="en-US" w:eastAsia="zh-CN"/>
        </w:rPr>
        <w:t>包干价</w:t>
      </w:r>
      <w:r>
        <w:rPr>
          <w:rFonts w:ascii="Arial" w:hAnsi="Arial" w:eastAsia="等线" w:cs="Arial"/>
          <w:sz w:val="22"/>
        </w:rPr>
        <w:t>，包含</w:t>
      </w:r>
      <w:r>
        <w:rPr>
          <w:rFonts w:hint="eastAsia" w:ascii="Arial" w:hAnsi="Arial" w:eastAsia="等线" w:cs="Arial"/>
          <w:sz w:val="22"/>
          <w:lang w:val="en-US" w:eastAsia="zh-CN"/>
        </w:rPr>
        <w:t>不限于</w:t>
      </w:r>
      <w:r>
        <w:rPr>
          <w:rFonts w:ascii="Arial" w:hAnsi="Arial" w:eastAsia="等线" w:cs="Arial"/>
          <w:sz w:val="22"/>
        </w:rPr>
        <w:t>方案设计、材料、设备、施工、安装、调试、人工、运输、检测、验收、培训、售后、税费、质保等一切相关费用，采购人不另行支付任何费用。</w:t>
      </w:r>
    </w:p>
    <w:p w14:paraId="5091C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0" w:after="120" w:line="360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2. 施工全过程须遵守医院院区管理规定，做好安全防护、文明施工，杜绝施工噪音、扬尘、垃圾污染，施工期间做好现有设施保护，造成损坏的由供应商无偿修复赔偿。</w:t>
      </w:r>
    </w:p>
    <w:p w14:paraId="26BB5207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3E0F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A49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A02B2"/>
    <w:rsid w:val="4C17716E"/>
    <w:rsid w:val="598F7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3236</Words>
  <Characters>3452</Characters>
  <TotalTime>160</TotalTime>
  <ScaleCrop>false</ScaleCrop>
  <LinksUpToDate>false</LinksUpToDate>
  <CharactersWithSpaces>3481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2026-06-30T00:37:00Z</dcterms:created>
  <dc:creator>Apache POI</dc:creator>
  <cp:lastModifiedBy>WPS_1614902311</cp:lastModifiedBy>
  <dcterms:modified xsi:type="dcterms:W3CDTF">2026-07-06T08:26:51Z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{"Label":"1","ContentProducer":"001191110102MACQD9K64010000","ProduceID":"7656981024224709825","ReservedCode1":"","ContentPropagator":"","PropagateID":"","ReservedCode2":""}</vt:lpwstr>
  </property>
  <property fmtid="{D5CDD505-2E9C-101B-9397-08002B2CF9AE}" pid="3" name="KSOTemplateDocerSaveRecord">
    <vt:lpwstr>eyJoZGlkIjoiY2RiODRmNDkyZWRlZjA1YjljNGFmMWFmYjgwNWE5YmQiLCJ1c2VySWQiOiIxMTc3NTQwOTM2In0=</vt:lpwstr>
  </property>
  <property fmtid="{D5CDD505-2E9C-101B-9397-08002B2CF9AE}" pid="4" name="KSOProductBuildVer">
    <vt:lpwstr>2052-12.1.0.26895</vt:lpwstr>
  </property>
  <property fmtid="{D5CDD505-2E9C-101B-9397-08002B2CF9AE}" pid="5" name="ICV">
    <vt:lpwstr>EC5F410F978E4AD0AB90D5A3AB616157_13</vt:lpwstr>
  </property>
</Properties>
</file>