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5485F7">
      <w:pPr>
        <w:pStyle w:val="3"/>
        <w:keepNext/>
        <w:keepLines/>
        <w:pageBreakBefore/>
        <w:widowControl w:val="0"/>
        <w:kinsoku/>
        <w:wordWrap/>
        <w:overflowPunct/>
        <w:topLinePunct w:val="0"/>
        <w:autoSpaceDE/>
        <w:autoSpaceDN/>
        <w:bidi w:val="0"/>
        <w:adjustRightInd/>
        <w:snapToGrid/>
        <w:spacing w:line="416" w:lineRule="auto"/>
        <w:jc w:val="center"/>
        <w:textAlignment w:val="auto"/>
        <w:rPr>
          <w:rFonts w:hint="eastAsia"/>
        </w:rPr>
      </w:pPr>
      <w:bookmarkStart w:id="0" w:name="_Toc22884"/>
      <w:r>
        <w:rPr>
          <w:rFonts w:hint="eastAsia"/>
          <w:lang w:val="en-US" w:eastAsia="zh-CN"/>
        </w:rPr>
        <w:t>广西生殖医院等保测评及密评</w:t>
      </w:r>
      <w:r>
        <w:rPr>
          <w:rFonts w:hint="eastAsia"/>
        </w:rPr>
        <w:t>项目需求</w:t>
      </w:r>
      <w:bookmarkEnd w:id="0"/>
    </w:p>
    <w:p w14:paraId="45E4C002">
      <w:pPr>
        <w:keepNext w:val="0"/>
        <w:keepLines w:val="0"/>
        <w:pageBreakBefore w:val="0"/>
        <w:widowControl w:val="0"/>
        <w:kinsoku/>
        <w:wordWrap/>
        <w:overflowPunct/>
        <w:topLinePunct w:val="0"/>
        <w:autoSpaceDE/>
        <w:autoSpaceDN/>
        <w:bidi w:val="0"/>
        <w:adjustRightInd/>
        <w:spacing w:line="400" w:lineRule="exact"/>
        <w:jc w:val="left"/>
        <w:textAlignment w:val="auto"/>
        <w:rPr>
          <w:rFonts w:ascii="宋体" w:hAnsi="宋体"/>
          <w:szCs w:val="21"/>
        </w:rPr>
      </w:pPr>
    </w:p>
    <w:tbl>
      <w:tblPr>
        <w:tblStyle w:val="10"/>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548"/>
        <w:gridCol w:w="1098"/>
        <w:gridCol w:w="85"/>
        <w:gridCol w:w="839"/>
        <w:gridCol w:w="5952"/>
      </w:tblGrid>
      <w:tr w14:paraId="26B3DB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567" w:hRule="atLeast"/>
          <w:jc w:val="center"/>
        </w:trPr>
        <w:tc>
          <w:tcPr>
            <w:tcW w:w="5000" w:type="pct"/>
            <w:gridSpan w:val="5"/>
            <w:tcBorders>
              <w:top w:val="single" w:color="auto" w:sz="4" w:space="0"/>
              <w:left w:val="single" w:color="auto" w:sz="4" w:space="0"/>
              <w:bottom w:val="single" w:color="auto" w:sz="4" w:space="0"/>
              <w:right w:val="single" w:color="auto" w:sz="4" w:space="0"/>
            </w:tcBorders>
            <w:noWrap w:val="0"/>
            <w:vAlign w:val="center"/>
          </w:tcPr>
          <w:p w14:paraId="74B3F40E">
            <w:pPr>
              <w:keepNext w:val="0"/>
              <w:keepLines w:val="0"/>
              <w:pageBreakBefore w:val="0"/>
              <w:widowControl w:val="0"/>
              <w:kinsoku/>
              <w:wordWrap/>
              <w:overflowPunct/>
              <w:topLinePunct w:val="0"/>
              <w:autoSpaceDE/>
              <w:autoSpaceDN/>
              <w:bidi w:val="0"/>
              <w:adjustRightInd/>
              <w:spacing w:line="400" w:lineRule="exact"/>
              <w:textAlignment w:val="auto"/>
              <w:rPr>
                <w:rFonts w:hint="eastAsia" w:ascii="宋体" w:hAnsi="宋体" w:eastAsia="宋体"/>
                <w:b/>
                <w:szCs w:val="21"/>
                <w:lang w:val="en-US" w:eastAsia="zh-CN"/>
              </w:rPr>
            </w:pPr>
            <w:r>
              <w:rPr>
                <w:rFonts w:hint="eastAsia" w:ascii="宋体" w:hAnsi="宋体"/>
                <w:b/>
                <w:szCs w:val="21"/>
              </w:rPr>
              <w:t>一、技术</w:t>
            </w:r>
            <w:r>
              <w:rPr>
                <w:rFonts w:hint="eastAsia" w:ascii="宋体" w:hAnsi="宋体"/>
                <w:b/>
                <w:szCs w:val="21"/>
                <w:lang w:val="en-US" w:eastAsia="zh-CN"/>
              </w:rPr>
              <w:t>需求</w:t>
            </w:r>
          </w:p>
        </w:tc>
      </w:tr>
      <w:tr w14:paraId="79A61D3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322" w:type="pct"/>
            <w:tcBorders>
              <w:top w:val="single" w:color="auto" w:sz="4" w:space="0"/>
              <w:left w:val="single" w:color="auto" w:sz="4" w:space="0"/>
              <w:right w:val="single" w:color="auto" w:sz="4" w:space="0"/>
            </w:tcBorders>
            <w:noWrap w:val="0"/>
            <w:vAlign w:val="center"/>
          </w:tcPr>
          <w:p w14:paraId="6B0A2695">
            <w:pPr>
              <w:keepNext w:val="0"/>
              <w:keepLines w:val="0"/>
              <w:pageBreakBefore w:val="0"/>
              <w:widowControl w:val="0"/>
              <w:tabs>
                <w:tab w:val="left" w:pos="180"/>
                <w:tab w:val="left" w:pos="1620"/>
              </w:tabs>
              <w:kinsoku/>
              <w:wordWrap/>
              <w:overflowPunct/>
              <w:topLinePunct w:val="0"/>
              <w:autoSpaceDE/>
              <w:autoSpaceDN/>
              <w:bidi w:val="0"/>
              <w:adjustRightInd/>
              <w:snapToGrid/>
              <w:spacing w:line="400" w:lineRule="exact"/>
              <w:jc w:val="center"/>
              <w:textAlignment w:val="auto"/>
              <w:rPr>
                <w:rFonts w:ascii="宋体" w:hAnsi="宋体"/>
                <w:b/>
                <w:bCs/>
                <w:szCs w:val="21"/>
              </w:rPr>
            </w:pPr>
            <w:r>
              <w:rPr>
                <w:rFonts w:hint="eastAsia" w:ascii="宋体" w:hAnsi="宋体" w:eastAsia="宋体" w:cs="宋体"/>
                <w:b/>
                <w:bCs/>
                <w:color w:val="auto"/>
                <w:kern w:val="2"/>
                <w:sz w:val="21"/>
                <w:szCs w:val="21"/>
                <w:highlight w:val="none"/>
                <w:lang w:val="en-US" w:eastAsia="zh-CN"/>
              </w:rPr>
              <w:t>项</w:t>
            </w:r>
            <w:r>
              <w:rPr>
                <w:rFonts w:hint="eastAsia" w:ascii="宋体" w:hAnsi="宋体" w:eastAsia="宋体" w:cs="宋体"/>
                <w:b/>
                <w:bCs/>
                <w:color w:val="auto"/>
                <w:kern w:val="2"/>
                <w:sz w:val="21"/>
                <w:szCs w:val="21"/>
                <w:highlight w:val="none"/>
              </w:rPr>
              <w:t>号</w:t>
            </w:r>
          </w:p>
        </w:tc>
        <w:tc>
          <w:tcPr>
            <w:tcW w:w="644" w:type="pct"/>
            <w:tcBorders>
              <w:top w:val="single" w:color="auto" w:sz="4" w:space="0"/>
              <w:left w:val="single" w:color="auto" w:sz="4" w:space="0"/>
              <w:right w:val="single" w:color="auto" w:sz="4" w:space="0"/>
            </w:tcBorders>
            <w:noWrap w:val="0"/>
            <w:vAlign w:val="center"/>
          </w:tcPr>
          <w:p w14:paraId="2D9A8BF1">
            <w:pPr>
              <w:keepNext w:val="0"/>
              <w:keepLines w:val="0"/>
              <w:pageBreakBefore w:val="0"/>
              <w:widowControl w:val="0"/>
              <w:tabs>
                <w:tab w:val="left" w:pos="180"/>
                <w:tab w:val="left" w:pos="1620"/>
              </w:tabs>
              <w:kinsoku/>
              <w:wordWrap/>
              <w:overflowPunct/>
              <w:topLinePunct w:val="0"/>
              <w:autoSpaceDE/>
              <w:autoSpaceDN/>
              <w:bidi w:val="0"/>
              <w:adjustRightInd/>
              <w:snapToGrid/>
              <w:spacing w:line="400" w:lineRule="exact"/>
              <w:jc w:val="center"/>
              <w:textAlignment w:val="auto"/>
              <w:rPr>
                <w:rFonts w:hint="default" w:ascii="宋体" w:hAnsi="宋体" w:eastAsia="宋体"/>
                <w:b/>
                <w:bCs/>
                <w:szCs w:val="21"/>
                <w:lang w:val="en-US" w:eastAsia="zh-CN"/>
              </w:rPr>
            </w:pPr>
            <w:r>
              <w:rPr>
                <w:rFonts w:hint="eastAsia" w:ascii="宋体" w:hAnsi="宋体" w:eastAsia="宋体"/>
                <w:b/>
                <w:bCs/>
                <w:szCs w:val="21"/>
                <w:lang w:val="en-US" w:eastAsia="zh-CN"/>
              </w:rPr>
              <w:t>标的名称</w:t>
            </w:r>
          </w:p>
        </w:tc>
        <w:tc>
          <w:tcPr>
            <w:tcW w:w="542" w:type="pct"/>
            <w:gridSpan w:val="2"/>
            <w:tcBorders>
              <w:top w:val="single" w:color="auto" w:sz="4" w:space="0"/>
              <w:left w:val="single" w:color="auto" w:sz="4" w:space="0"/>
              <w:right w:val="single" w:color="auto" w:sz="4" w:space="0"/>
            </w:tcBorders>
            <w:noWrap w:val="0"/>
            <w:vAlign w:val="center"/>
          </w:tcPr>
          <w:p w14:paraId="66CE5003">
            <w:pPr>
              <w:keepNext w:val="0"/>
              <w:keepLines w:val="0"/>
              <w:pageBreakBefore w:val="0"/>
              <w:widowControl w:val="0"/>
              <w:tabs>
                <w:tab w:val="left" w:pos="180"/>
                <w:tab w:val="left" w:pos="1620"/>
              </w:tabs>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kern w:val="2"/>
                <w:sz w:val="21"/>
                <w:szCs w:val="21"/>
                <w:highlight w:val="none"/>
              </w:rPr>
            </w:pPr>
            <w:r>
              <w:rPr>
                <w:rFonts w:hint="eastAsia" w:ascii="宋体" w:hAnsi="宋体" w:eastAsia="宋体" w:cs="宋体"/>
                <w:b/>
                <w:bCs/>
                <w:color w:val="auto"/>
                <w:kern w:val="2"/>
                <w:sz w:val="21"/>
                <w:szCs w:val="21"/>
                <w:highlight w:val="none"/>
              </w:rPr>
              <w:t>数量及</w:t>
            </w:r>
          </w:p>
          <w:p w14:paraId="53153B59">
            <w:pPr>
              <w:keepNext w:val="0"/>
              <w:keepLines w:val="0"/>
              <w:pageBreakBefore w:val="0"/>
              <w:widowControl w:val="0"/>
              <w:tabs>
                <w:tab w:val="left" w:pos="180"/>
                <w:tab w:val="left" w:pos="1620"/>
              </w:tabs>
              <w:kinsoku/>
              <w:wordWrap/>
              <w:overflowPunct/>
              <w:topLinePunct w:val="0"/>
              <w:autoSpaceDE/>
              <w:autoSpaceDN/>
              <w:bidi w:val="0"/>
              <w:adjustRightInd/>
              <w:snapToGrid/>
              <w:spacing w:line="400" w:lineRule="exact"/>
              <w:jc w:val="center"/>
              <w:textAlignment w:val="auto"/>
              <w:rPr>
                <w:rFonts w:hint="eastAsia" w:ascii="宋体" w:hAnsi="宋体"/>
                <w:b/>
                <w:bCs/>
                <w:szCs w:val="21"/>
              </w:rPr>
            </w:pPr>
            <w:r>
              <w:rPr>
                <w:rFonts w:hint="eastAsia" w:ascii="宋体" w:hAnsi="宋体" w:eastAsia="宋体" w:cs="宋体"/>
                <w:b/>
                <w:bCs/>
                <w:color w:val="auto"/>
                <w:kern w:val="2"/>
                <w:sz w:val="21"/>
                <w:szCs w:val="21"/>
                <w:highlight w:val="none"/>
              </w:rPr>
              <w:t>单位</w:t>
            </w:r>
          </w:p>
        </w:tc>
        <w:tc>
          <w:tcPr>
            <w:tcW w:w="3490" w:type="pct"/>
            <w:tcBorders>
              <w:top w:val="single" w:color="auto" w:sz="4" w:space="0"/>
              <w:left w:val="single" w:color="auto" w:sz="4" w:space="0"/>
              <w:bottom w:val="single" w:color="auto" w:sz="4" w:space="0"/>
              <w:right w:val="single" w:color="auto" w:sz="4" w:space="0"/>
            </w:tcBorders>
            <w:noWrap w:val="0"/>
            <w:vAlign w:val="center"/>
          </w:tcPr>
          <w:p w14:paraId="5F747E95">
            <w:pPr>
              <w:keepNext w:val="0"/>
              <w:keepLines w:val="0"/>
              <w:pageBreakBefore w:val="0"/>
              <w:widowControl w:val="0"/>
              <w:tabs>
                <w:tab w:val="left" w:pos="180"/>
                <w:tab w:val="left" w:pos="1620"/>
              </w:tabs>
              <w:kinsoku/>
              <w:wordWrap/>
              <w:overflowPunct/>
              <w:topLinePunct w:val="0"/>
              <w:autoSpaceDE/>
              <w:autoSpaceDN/>
              <w:bidi w:val="0"/>
              <w:adjustRightInd/>
              <w:snapToGrid/>
              <w:spacing w:line="400" w:lineRule="exact"/>
              <w:jc w:val="center"/>
              <w:textAlignment w:val="auto"/>
              <w:rPr>
                <w:rFonts w:hint="eastAsia" w:ascii="宋体" w:hAnsi="宋体"/>
                <w:b/>
                <w:bCs/>
                <w:szCs w:val="21"/>
              </w:rPr>
            </w:pPr>
            <w:r>
              <w:rPr>
                <w:rFonts w:hint="eastAsia" w:ascii="宋体" w:hAnsi="宋体" w:eastAsia="宋体" w:cs="宋体"/>
                <w:b/>
                <w:bCs/>
                <w:color w:val="auto"/>
                <w:kern w:val="2"/>
                <w:sz w:val="21"/>
                <w:szCs w:val="21"/>
                <w:highlight w:val="none"/>
              </w:rPr>
              <w:t>技术参数及性能配置要求</w:t>
            </w:r>
          </w:p>
        </w:tc>
      </w:tr>
      <w:tr w14:paraId="2941C1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322" w:type="pct"/>
            <w:tcBorders>
              <w:top w:val="single" w:color="auto" w:sz="4" w:space="0"/>
              <w:left w:val="single" w:color="auto" w:sz="4" w:space="0"/>
              <w:right w:val="single" w:color="auto" w:sz="4" w:space="0"/>
            </w:tcBorders>
            <w:noWrap w:val="0"/>
            <w:vAlign w:val="center"/>
          </w:tcPr>
          <w:p w14:paraId="68697448">
            <w:pPr>
              <w:keepNext w:val="0"/>
              <w:keepLines w:val="0"/>
              <w:pageBreakBefore w:val="0"/>
              <w:widowControl w:val="0"/>
              <w:tabs>
                <w:tab w:val="left" w:pos="180"/>
                <w:tab w:val="left" w:pos="1620"/>
              </w:tabs>
              <w:kinsoku/>
              <w:wordWrap/>
              <w:overflowPunct/>
              <w:topLinePunct w:val="0"/>
              <w:autoSpaceDE/>
              <w:autoSpaceDN/>
              <w:bidi w:val="0"/>
              <w:adjustRightInd/>
              <w:spacing w:line="400" w:lineRule="exact"/>
              <w:jc w:val="center"/>
              <w:textAlignment w:val="auto"/>
              <w:rPr>
                <w:rFonts w:hint="eastAsia" w:ascii="宋体" w:hAnsi="宋体"/>
                <w:szCs w:val="21"/>
              </w:rPr>
            </w:pPr>
            <w:r>
              <w:rPr>
                <w:rFonts w:hint="eastAsia" w:ascii="宋体" w:hAnsi="宋体" w:eastAsia="宋体" w:cs="宋体"/>
                <w:color w:val="auto"/>
                <w:kern w:val="2"/>
                <w:sz w:val="24"/>
                <w:szCs w:val="24"/>
                <w:highlight w:val="none"/>
              </w:rPr>
              <w:t>1</w:t>
            </w:r>
          </w:p>
        </w:tc>
        <w:tc>
          <w:tcPr>
            <w:tcW w:w="644" w:type="pct"/>
            <w:tcBorders>
              <w:top w:val="single" w:color="auto" w:sz="4" w:space="0"/>
              <w:left w:val="single" w:color="auto" w:sz="4" w:space="0"/>
              <w:right w:val="single" w:color="auto" w:sz="4" w:space="0"/>
            </w:tcBorders>
            <w:noWrap w:val="0"/>
            <w:vAlign w:val="center"/>
          </w:tcPr>
          <w:p w14:paraId="418A80E4">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宋体" w:hAnsi="宋体" w:eastAsia="宋体"/>
                <w:kern w:val="0"/>
                <w:szCs w:val="21"/>
                <w:lang w:eastAsia="zh-CN"/>
              </w:rPr>
            </w:pPr>
            <w:r>
              <w:rPr>
                <w:rFonts w:hint="eastAsia" w:ascii="宋体" w:hAnsi="宋体" w:eastAsia="宋体" w:cs="宋体"/>
                <w:color w:val="auto"/>
                <w:kern w:val="2"/>
                <w:sz w:val="21"/>
                <w:szCs w:val="21"/>
                <w:highlight w:val="none"/>
              </w:rPr>
              <w:t>网络安全等级保护测评</w:t>
            </w:r>
          </w:p>
        </w:tc>
        <w:tc>
          <w:tcPr>
            <w:tcW w:w="542" w:type="pct"/>
            <w:gridSpan w:val="2"/>
            <w:tcBorders>
              <w:top w:val="single" w:color="auto" w:sz="4" w:space="0"/>
              <w:left w:val="single" w:color="auto" w:sz="4" w:space="0"/>
              <w:right w:val="single" w:color="auto" w:sz="4" w:space="0"/>
            </w:tcBorders>
            <w:noWrap w:val="0"/>
            <w:vAlign w:val="center"/>
          </w:tcPr>
          <w:p w14:paraId="51C0DEB8">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default" w:ascii="宋体" w:hAnsi="宋体" w:eastAsia="宋体"/>
                <w:kern w:val="0"/>
                <w:szCs w:val="21"/>
                <w:lang w:val="en-US" w:eastAsia="zh-CN"/>
              </w:rPr>
            </w:pPr>
            <w:r>
              <w:rPr>
                <w:rFonts w:hint="eastAsia" w:ascii="宋体" w:hAnsi="宋体" w:eastAsia="宋体" w:cs="宋体"/>
                <w:color w:val="auto"/>
                <w:kern w:val="2"/>
                <w:sz w:val="21"/>
                <w:szCs w:val="21"/>
                <w:highlight w:val="none"/>
                <w:lang w:val="en-US" w:eastAsia="zh-CN"/>
              </w:rPr>
              <w:t>1项</w:t>
            </w:r>
          </w:p>
        </w:tc>
        <w:tc>
          <w:tcPr>
            <w:tcW w:w="3490" w:type="pct"/>
            <w:tcBorders>
              <w:top w:val="single" w:color="auto" w:sz="4" w:space="0"/>
              <w:left w:val="single" w:color="auto" w:sz="4" w:space="0"/>
              <w:bottom w:val="single" w:color="auto" w:sz="4" w:space="0"/>
              <w:right w:val="single" w:color="auto" w:sz="4" w:space="0"/>
            </w:tcBorders>
            <w:noWrap w:val="0"/>
            <w:vAlign w:val="center"/>
          </w:tcPr>
          <w:p w14:paraId="087939B9">
            <w:pPr>
              <w:keepNext w:val="0"/>
              <w:keepLines w:val="0"/>
              <w:pageBreakBefore w:val="0"/>
              <w:widowControl w:val="0"/>
              <w:kinsoku/>
              <w:wordWrap/>
              <w:overflowPunct/>
              <w:topLinePunct w:val="0"/>
              <w:autoSpaceDE/>
              <w:autoSpaceDN/>
              <w:bidi w:val="0"/>
              <w:adjustRightInd/>
              <w:spacing w:line="400" w:lineRule="exact"/>
              <w:jc w:val="both"/>
              <w:textAlignment w:val="auto"/>
              <w:rPr>
                <w:rFonts w:hint="eastAsia" w:ascii="宋体" w:hAnsi="宋体" w:eastAsia="宋体" w:cs="Times New Roman"/>
                <w:b w:val="0"/>
                <w:bCs w:val="0"/>
                <w:sz w:val="21"/>
                <w:szCs w:val="21"/>
                <w:lang w:val="en-US" w:eastAsia="zh-CN"/>
              </w:rPr>
            </w:pPr>
            <w:r>
              <w:rPr>
                <w:rFonts w:hint="eastAsia" w:ascii="宋体" w:hAnsi="宋体" w:eastAsia="宋体" w:cs="Times New Roman"/>
                <w:b w:val="0"/>
                <w:bCs w:val="0"/>
                <w:sz w:val="21"/>
                <w:szCs w:val="21"/>
                <w:lang w:val="en-US" w:eastAsia="zh-CN"/>
              </w:rPr>
              <w:t>1、要求</w:t>
            </w:r>
          </w:p>
          <w:p w14:paraId="54CAE006">
            <w:pPr>
              <w:keepNext w:val="0"/>
              <w:keepLines w:val="0"/>
              <w:pageBreakBefore w:val="0"/>
              <w:widowControl w:val="0"/>
              <w:kinsoku/>
              <w:wordWrap/>
              <w:overflowPunct/>
              <w:topLinePunct w:val="0"/>
              <w:autoSpaceDE/>
              <w:autoSpaceDN/>
              <w:bidi w:val="0"/>
              <w:adjustRightInd/>
              <w:spacing w:line="400" w:lineRule="exact"/>
              <w:ind w:firstLine="420" w:firstLineChars="200"/>
              <w:jc w:val="both"/>
              <w:textAlignment w:val="auto"/>
              <w:rPr>
                <w:rFonts w:hint="eastAsia" w:ascii="宋体" w:hAnsi="宋体" w:eastAsia="宋体" w:cs="Times New Roman"/>
                <w:b w:val="0"/>
                <w:bCs w:val="0"/>
                <w:sz w:val="21"/>
                <w:szCs w:val="21"/>
                <w:lang w:val="en-US" w:eastAsia="zh-CN"/>
              </w:rPr>
            </w:pPr>
            <w:r>
              <w:rPr>
                <w:rFonts w:hint="eastAsia" w:ascii="宋体" w:hAnsi="宋体" w:eastAsia="宋体" w:cs="Times New Roman"/>
                <w:b w:val="0"/>
                <w:bCs w:val="0"/>
                <w:sz w:val="21"/>
                <w:szCs w:val="21"/>
              </w:rPr>
              <w:t>依据</w:t>
            </w:r>
            <w:r>
              <w:rPr>
                <w:rFonts w:hint="eastAsia" w:ascii="宋体" w:hAnsi="宋体" w:eastAsia="宋体" w:cs="Times New Roman"/>
                <w:b w:val="0"/>
                <w:bCs w:val="0"/>
                <w:sz w:val="21"/>
                <w:szCs w:val="21"/>
                <w:lang w:eastAsia="zh-CN"/>
              </w:rPr>
              <w:t>《</w:t>
            </w:r>
            <w:r>
              <w:rPr>
                <w:rFonts w:hint="eastAsia" w:ascii="宋体" w:hAnsi="宋体" w:eastAsia="宋体" w:cs="Times New Roman"/>
                <w:b w:val="0"/>
                <w:bCs w:val="0"/>
                <w:sz w:val="21"/>
                <w:szCs w:val="21"/>
              </w:rPr>
              <w:t>网络安全等级保护基本要求</w:t>
            </w:r>
            <w:r>
              <w:rPr>
                <w:rFonts w:hint="eastAsia" w:ascii="宋体" w:hAnsi="宋体" w:eastAsia="宋体" w:cs="Times New Roman"/>
                <w:b w:val="0"/>
                <w:bCs w:val="0"/>
                <w:sz w:val="21"/>
                <w:szCs w:val="21"/>
                <w:lang w:eastAsia="zh-CN"/>
              </w:rPr>
              <w:t>》</w:t>
            </w:r>
            <w:r>
              <w:rPr>
                <w:rFonts w:hint="eastAsia" w:ascii="宋体" w:hAnsi="宋体" w:eastAsia="宋体" w:cs="Times New Roman"/>
                <w:b w:val="0"/>
                <w:bCs w:val="0"/>
                <w:sz w:val="21"/>
                <w:szCs w:val="21"/>
              </w:rPr>
              <w:t>（GB/T</w:t>
            </w:r>
            <w:r>
              <w:rPr>
                <w:rFonts w:hint="eastAsia" w:ascii="宋体" w:hAnsi="宋体" w:eastAsia="宋体" w:cs="Times New Roman"/>
                <w:b w:val="0"/>
                <w:bCs w:val="0"/>
                <w:sz w:val="21"/>
                <w:szCs w:val="21"/>
                <w:lang w:val="en-US" w:eastAsia="zh-CN"/>
              </w:rPr>
              <w:t xml:space="preserve"> </w:t>
            </w:r>
            <w:r>
              <w:rPr>
                <w:rFonts w:hint="eastAsia" w:ascii="宋体" w:hAnsi="宋体" w:eastAsia="宋体" w:cs="Times New Roman"/>
                <w:b w:val="0"/>
                <w:bCs w:val="0"/>
                <w:sz w:val="21"/>
                <w:szCs w:val="21"/>
              </w:rPr>
              <w:t>22239-2019）对</w:t>
            </w:r>
            <w:r>
              <w:rPr>
                <w:rFonts w:hint="eastAsia" w:ascii="宋体" w:hAnsi="宋体" w:eastAsia="宋体" w:cs="Times New Roman"/>
                <w:b w:val="0"/>
                <w:bCs w:val="0"/>
                <w:sz w:val="21"/>
                <w:szCs w:val="21"/>
                <w:lang w:val="en-US" w:eastAsia="zh-CN"/>
              </w:rPr>
              <w:t>医院信息系统（HIS、LIS)</w:t>
            </w:r>
            <w:r>
              <w:rPr>
                <w:rFonts w:hint="eastAsia" w:ascii="宋体" w:hAnsi="宋体" w:eastAsia="宋体" w:cs="Times New Roman"/>
                <w:b w:val="0"/>
                <w:bCs w:val="0"/>
                <w:sz w:val="21"/>
                <w:szCs w:val="21"/>
                <w:lang w:eastAsia="zh-CN"/>
              </w:rPr>
              <w:t>（</w:t>
            </w:r>
            <w:r>
              <w:rPr>
                <w:rFonts w:hint="eastAsia" w:ascii="宋体" w:hAnsi="宋体" w:eastAsia="宋体" w:cs="Times New Roman"/>
                <w:b w:val="0"/>
                <w:bCs w:val="0"/>
                <w:sz w:val="21"/>
                <w:szCs w:val="21"/>
                <w:lang w:val="en-US" w:eastAsia="zh-CN"/>
              </w:rPr>
              <w:t>三级</w:t>
            </w:r>
            <w:r>
              <w:rPr>
                <w:rFonts w:hint="eastAsia" w:ascii="宋体" w:hAnsi="宋体" w:eastAsia="宋体" w:cs="Times New Roman"/>
                <w:b w:val="0"/>
                <w:bCs w:val="0"/>
                <w:sz w:val="21"/>
                <w:szCs w:val="21"/>
                <w:lang w:eastAsia="zh-CN"/>
              </w:rPr>
              <w:t>）</w:t>
            </w:r>
            <w:r>
              <w:rPr>
                <w:rFonts w:hint="eastAsia" w:ascii="宋体" w:hAnsi="宋体" w:cs="Times New Roman"/>
                <w:b w:val="0"/>
                <w:bCs w:val="0"/>
                <w:sz w:val="21"/>
                <w:szCs w:val="21"/>
                <w:lang w:eastAsia="zh-CN"/>
              </w:rPr>
              <w:t>和广西生殖医院互联网医院系统（三级）</w:t>
            </w:r>
            <w:r>
              <w:rPr>
                <w:rFonts w:hint="eastAsia" w:ascii="宋体" w:hAnsi="宋体" w:eastAsia="宋体" w:cs="Times New Roman"/>
                <w:b w:val="0"/>
                <w:bCs w:val="0"/>
                <w:sz w:val="21"/>
                <w:szCs w:val="21"/>
              </w:rPr>
              <w:t>开展</w:t>
            </w:r>
            <w:r>
              <w:rPr>
                <w:rFonts w:hint="eastAsia" w:ascii="宋体" w:hAnsi="宋体" w:eastAsia="宋体" w:cs="Times New Roman"/>
                <w:b w:val="0"/>
                <w:bCs w:val="0"/>
                <w:sz w:val="21"/>
                <w:szCs w:val="21"/>
                <w:lang w:val="en-US" w:eastAsia="zh-CN"/>
              </w:rPr>
              <w:t>网络</w:t>
            </w:r>
            <w:r>
              <w:rPr>
                <w:rFonts w:hint="eastAsia" w:ascii="宋体" w:hAnsi="宋体" w:eastAsia="宋体" w:cs="Times New Roman"/>
                <w:b w:val="0"/>
                <w:bCs w:val="0"/>
                <w:sz w:val="21"/>
                <w:szCs w:val="21"/>
              </w:rPr>
              <w:t>安全等级保护测评工作，</w:t>
            </w:r>
            <w:r>
              <w:rPr>
                <w:rFonts w:hint="eastAsia" w:ascii="宋体" w:hAnsi="宋体" w:eastAsia="宋体" w:cs="Times New Roman"/>
                <w:b w:val="0"/>
                <w:bCs w:val="0"/>
                <w:sz w:val="21"/>
                <w:szCs w:val="21"/>
                <w:lang w:val="en-US" w:eastAsia="zh-CN"/>
              </w:rPr>
              <w:t>并对相应信息系统分别</w:t>
            </w:r>
            <w:r>
              <w:rPr>
                <w:rFonts w:hint="eastAsia" w:ascii="宋体" w:hAnsi="宋体" w:eastAsia="宋体" w:cs="Times New Roman"/>
                <w:b w:val="0"/>
                <w:bCs w:val="0"/>
                <w:sz w:val="21"/>
                <w:szCs w:val="21"/>
              </w:rPr>
              <w:t>出具</w:t>
            </w:r>
            <w:r>
              <w:rPr>
                <w:rFonts w:hint="eastAsia" w:ascii="宋体" w:hAnsi="宋体" w:eastAsia="宋体" w:cs="Times New Roman"/>
                <w:b w:val="0"/>
                <w:bCs w:val="0"/>
                <w:sz w:val="21"/>
                <w:szCs w:val="21"/>
                <w:lang w:val="en-US" w:eastAsia="zh-CN"/>
              </w:rPr>
              <w:t>网络</w:t>
            </w:r>
            <w:r>
              <w:rPr>
                <w:rFonts w:hint="eastAsia" w:ascii="宋体" w:hAnsi="宋体" w:eastAsia="宋体" w:cs="Times New Roman"/>
                <w:b w:val="0"/>
                <w:bCs w:val="0"/>
                <w:sz w:val="21"/>
                <w:szCs w:val="21"/>
              </w:rPr>
              <w:t>安全等级</w:t>
            </w:r>
            <w:r>
              <w:rPr>
                <w:rFonts w:hint="eastAsia" w:ascii="宋体" w:hAnsi="宋体" w:eastAsia="宋体" w:cs="Times New Roman"/>
                <w:b w:val="0"/>
                <w:bCs w:val="0"/>
                <w:sz w:val="21"/>
                <w:szCs w:val="21"/>
                <w:lang w:val="en-US" w:eastAsia="zh-CN"/>
              </w:rPr>
              <w:t>保护</w:t>
            </w:r>
            <w:r>
              <w:rPr>
                <w:rFonts w:hint="eastAsia" w:ascii="宋体" w:hAnsi="宋体" w:eastAsia="宋体" w:cs="Times New Roman"/>
                <w:b w:val="0"/>
                <w:bCs w:val="0"/>
                <w:sz w:val="21"/>
                <w:szCs w:val="21"/>
              </w:rPr>
              <w:t>测评报告</w:t>
            </w:r>
            <w:r>
              <w:rPr>
                <w:rFonts w:hint="eastAsia" w:ascii="宋体" w:hAnsi="宋体" w:eastAsia="宋体" w:cs="Times New Roman"/>
                <w:b w:val="0"/>
                <w:bCs w:val="0"/>
                <w:sz w:val="21"/>
                <w:szCs w:val="21"/>
                <w:lang w:val="en-US" w:eastAsia="zh-CN"/>
              </w:rPr>
              <w:t>。</w:t>
            </w:r>
          </w:p>
          <w:p w14:paraId="4F3BAA7D">
            <w:pPr>
              <w:keepNext w:val="0"/>
              <w:keepLines w:val="0"/>
              <w:pageBreakBefore w:val="0"/>
              <w:widowControl w:val="0"/>
              <w:kinsoku/>
              <w:wordWrap/>
              <w:overflowPunct/>
              <w:topLinePunct w:val="0"/>
              <w:autoSpaceDE/>
              <w:autoSpaceDN/>
              <w:bidi w:val="0"/>
              <w:adjustRightInd/>
              <w:spacing w:line="400" w:lineRule="exact"/>
              <w:jc w:val="both"/>
              <w:textAlignment w:val="auto"/>
              <w:rPr>
                <w:rFonts w:hint="eastAsia" w:ascii="宋体" w:hAnsi="宋体" w:eastAsia="宋体" w:cs="Times New Roman"/>
                <w:b w:val="0"/>
                <w:bCs w:val="0"/>
                <w:sz w:val="21"/>
                <w:szCs w:val="21"/>
              </w:rPr>
            </w:pPr>
            <w:r>
              <w:rPr>
                <w:rFonts w:hint="eastAsia" w:ascii="宋体" w:hAnsi="宋体" w:eastAsia="宋体" w:cs="Times New Roman"/>
                <w:b w:val="0"/>
                <w:bCs w:val="0"/>
                <w:sz w:val="21"/>
                <w:szCs w:val="21"/>
                <w:lang w:val="en-US" w:eastAsia="zh-CN"/>
              </w:rPr>
              <w:t>2、</w:t>
            </w:r>
            <w:r>
              <w:rPr>
                <w:rFonts w:hint="eastAsia" w:ascii="宋体" w:hAnsi="宋体" w:eastAsia="宋体" w:cs="Times New Roman"/>
                <w:b w:val="0"/>
                <w:bCs w:val="0"/>
                <w:sz w:val="21"/>
                <w:szCs w:val="21"/>
              </w:rPr>
              <w:t>标准依据</w:t>
            </w:r>
          </w:p>
          <w:p w14:paraId="38133096">
            <w:pPr>
              <w:keepNext w:val="0"/>
              <w:keepLines w:val="0"/>
              <w:pageBreakBefore w:val="0"/>
              <w:widowControl w:val="0"/>
              <w:kinsoku/>
              <w:wordWrap/>
              <w:overflowPunct/>
              <w:topLinePunct w:val="0"/>
              <w:autoSpaceDE/>
              <w:autoSpaceDN/>
              <w:bidi w:val="0"/>
              <w:adjustRightInd/>
              <w:spacing w:line="400" w:lineRule="exact"/>
              <w:jc w:val="both"/>
              <w:textAlignment w:val="auto"/>
              <w:rPr>
                <w:rFonts w:hint="eastAsia" w:ascii="宋体" w:hAnsi="宋体" w:eastAsia="宋体" w:cs="Times New Roman"/>
                <w:b w:val="0"/>
                <w:bCs w:val="0"/>
                <w:sz w:val="21"/>
                <w:szCs w:val="21"/>
                <w:lang w:eastAsia="zh-CN"/>
              </w:rPr>
            </w:pPr>
            <w:r>
              <w:rPr>
                <w:rFonts w:hint="eastAsia" w:ascii="宋体" w:hAnsi="宋体" w:eastAsia="宋体" w:cs="Times New Roman"/>
                <w:b w:val="0"/>
                <w:bCs w:val="0"/>
                <w:sz w:val="21"/>
                <w:szCs w:val="21"/>
                <w:lang w:eastAsia="zh-CN"/>
              </w:rPr>
              <w:t>《计算机信息系统安全保护等级划分准则》（GB 17859-1999</w:t>
            </w:r>
            <w:r>
              <w:rPr>
                <w:rFonts w:hint="eastAsia" w:ascii="宋体" w:hAnsi="宋体" w:eastAsia="宋体" w:cs="Times New Roman"/>
                <w:b w:val="0"/>
                <w:bCs w:val="0"/>
                <w:sz w:val="21"/>
                <w:szCs w:val="21"/>
                <w:lang w:val="en-US" w:eastAsia="zh-CN"/>
              </w:rPr>
              <w:t>)</w:t>
            </w:r>
          </w:p>
          <w:p w14:paraId="49713486">
            <w:pPr>
              <w:keepNext w:val="0"/>
              <w:keepLines w:val="0"/>
              <w:pageBreakBefore w:val="0"/>
              <w:widowControl w:val="0"/>
              <w:kinsoku/>
              <w:wordWrap/>
              <w:overflowPunct/>
              <w:topLinePunct w:val="0"/>
              <w:autoSpaceDE/>
              <w:autoSpaceDN/>
              <w:bidi w:val="0"/>
              <w:adjustRightInd/>
              <w:spacing w:line="400" w:lineRule="exact"/>
              <w:jc w:val="both"/>
              <w:textAlignment w:val="auto"/>
              <w:rPr>
                <w:rFonts w:hint="eastAsia" w:ascii="宋体" w:hAnsi="宋体" w:eastAsia="宋体" w:cs="Times New Roman"/>
                <w:b w:val="0"/>
                <w:bCs w:val="0"/>
                <w:sz w:val="21"/>
                <w:szCs w:val="21"/>
                <w:lang w:eastAsia="zh-CN"/>
              </w:rPr>
            </w:pPr>
            <w:r>
              <w:rPr>
                <w:rFonts w:hint="eastAsia" w:ascii="宋体" w:hAnsi="宋体" w:eastAsia="宋体" w:cs="Times New Roman"/>
                <w:b w:val="0"/>
                <w:bCs w:val="0"/>
                <w:sz w:val="21"/>
                <w:szCs w:val="21"/>
                <w:lang w:eastAsia="zh-CN"/>
              </w:rPr>
              <w:t>《网络安全等级保护基本要求》（GB/T</w:t>
            </w:r>
            <w:r>
              <w:rPr>
                <w:rFonts w:hint="eastAsia" w:ascii="宋体" w:hAnsi="宋体" w:eastAsia="宋体" w:cs="Times New Roman"/>
                <w:b w:val="0"/>
                <w:bCs w:val="0"/>
                <w:sz w:val="21"/>
                <w:szCs w:val="21"/>
                <w:lang w:val="en-US" w:eastAsia="zh-CN"/>
              </w:rPr>
              <w:t xml:space="preserve"> </w:t>
            </w:r>
            <w:r>
              <w:rPr>
                <w:rFonts w:hint="eastAsia" w:ascii="宋体" w:hAnsi="宋体" w:eastAsia="宋体" w:cs="Times New Roman"/>
                <w:b w:val="0"/>
                <w:bCs w:val="0"/>
                <w:sz w:val="21"/>
                <w:szCs w:val="21"/>
                <w:lang w:eastAsia="zh-CN"/>
              </w:rPr>
              <w:t>22239-2019）</w:t>
            </w:r>
          </w:p>
          <w:p w14:paraId="0BBD6BD2">
            <w:pPr>
              <w:keepNext w:val="0"/>
              <w:keepLines w:val="0"/>
              <w:pageBreakBefore w:val="0"/>
              <w:widowControl w:val="0"/>
              <w:kinsoku/>
              <w:wordWrap/>
              <w:overflowPunct/>
              <w:topLinePunct w:val="0"/>
              <w:autoSpaceDE/>
              <w:autoSpaceDN/>
              <w:bidi w:val="0"/>
              <w:adjustRightInd/>
              <w:spacing w:line="400" w:lineRule="exact"/>
              <w:jc w:val="both"/>
              <w:textAlignment w:val="auto"/>
              <w:rPr>
                <w:rFonts w:hint="eastAsia" w:ascii="宋体" w:hAnsi="宋体" w:eastAsia="宋体" w:cs="Times New Roman"/>
                <w:b w:val="0"/>
                <w:bCs w:val="0"/>
                <w:sz w:val="21"/>
                <w:szCs w:val="21"/>
                <w:lang w:eastAsia="zh-CN"/>
              </w:rPr>
            </w:pPr>
            <w:r>
              <w:rPr>
                <w:rFonts w:hint="eastAsia" w:ascii="宋体" w:hAnsi="宋体" w:eastAsia="宋体" w:cs="Times New Roman"/>
                <w:b w:val="0"/>
                <w:bCs w:val="0"/>
                <w:sz w:val="21"/>
                <w:szCs w:val="21"/>
                <w:lang w:eastAsia="zh-CN"/>
              </w:rPr>
              <w:t>《网络安全等级保护测评要求》（GB</w:t>
            </w:r>
            <w:r>
              <w:rPr>
                <w:rFonts w:hint="eastAsia" w:ascii="宋体" w:hAnsi="宋体" w:eastAsia="宋体" w:cs="Times New Roman"/>
                <w:b w:val="0"/>
                <w:bCs w:val="0"/>
                <w:sz w:val="21"/>
                <w:szCs w:val="21"/>
                <w:lang w:val="en-US" w:eastAsia="zh-CN"/>
              </w:rPr>
              <w:t>/</w:t>
            </w:r>
            <w:r>
              <w:rPr>
                <w:rFonts w:hint="eastAsia" w:ascii="宋体" w:hAnsi="宋体" w:eastAsia="宋体" w:cs="Times New Roman"/>
                <w:b w:val="0"/>
                <w:bCs w:val="0"/>
                <w:sz w:val="21"/>
                <w:szCs w:val="21"/>
                <w:lang w:eastAsia="zh-CN"/>
              </w:rPr>
              <w:t>T</w:t>
            </w:r>
            <w:r>
              <w:rPr>
                <w:rFonts w:hint="eastAsia" w:ascii="宋体" w:hAnsi="宋体" w:eastAsia="宋体" w:cs="Times New Roman"/>
                <w:b w:val="0"/>
                <w:bCs w:val="0"/>
                <w:sz w:val="21"/>
                <w:szCs w:val="21"/>
                <w:lang w:val="en-US" w:eastAsia="zh-CN"/>
              </w:rPr>
              <w:t xml:space="preserve"> </w:t>
            </w:r>
            <w:r>
              <w:rPr>
                <w:rFonts w:hint="eastAsia" w:ascii="宋体" w:hAnsi="宋体" w:eastAsia="宋体" w:cs="Times New Roman"/>
                <w:b w:val="0"/>
                <w:bCs w:val="0"/>
                <w:sz w:val="21"/>
                <w:szCs w:val="21"/>
                <w:lang w:eastAsia="zh-CN"/>
              </w:rPr>
              <w:t>28448-2019）</w:t>
            </w:r>
          </w:p>
          <w:p w14:paraId="02A728B6">
            <w:pPr>
              <w:keepNext w:val="0"/>
              <w:keepLines w:val="0"/>
              <w:pageBreakBefore w:val="0"/>
              <w:widowControl w:val="0"/>
              <w:kinsoku/>
              <w:wordWrap/>
              <w:overflowPunct/>
              <w:topLinePunct w:val="0"/>
              <w:autoSpaceDE/>
              <w:autoSpaceDN/>
              <w:bidi w:val="0"/>
              <w:adjustRightInd/>
              <w:spacing w:line="400" w:lineRule="exact"/>
              <w:jc w:val="both"/>
              <w:textAlignment w:val="auto"/>
              <w:rPr>
                <w:rFonts w:hint="eastAsia" w:ascii="宋体" w:hAnsi="宋体" w:eastAsia="宋体" w:cs="Times New Roman"/>
                <w:b w:val="0"/>
                <w:bCs w:val="0"/>
                <w:sz w:val="21"/>
                <w:szCs w:val="21"/>
                <w:lang w:eastAsia="zh-CN"/>
              </w:rPr>
            </w:pPr>
            <w:r>
              <w:rPr>
                <w:rFonts w:hint="eastAsia" w:ascii="宋体" w:hAnsi="宋体" w:eastAsia="宋体" w:cs="Times New Roman"/>
                <w:b w:val="0"/>
                <w:bCs w:val="0"/>
                <w:sz w:val="21"/>
                <w:szCs w:val="21"/>
                <w:lang w:eastAsia="zh-CN"/>
              </w:rPr>
              <w:t>《网络安全等级保护测评过程指南》（GB/T</w:t>
            </w:r>
            <w:r>
              <w:rPr>
                <w:rFonts w:hint="eastAsia" w:ascii="宋体" w:hAnsi="宋体" w:eastAsia="宋体" w:cs="Times New Roman"/>
                <w:b w:val="0"/>
                <w:bCs w:val="0"/>
                <w:sz w:val="21"/>
                <w:szCs w:val="21"/>
                <w:lang w:val="en-US" w:eastAsia="zh-CN"/>
              </w:rPr>
              <w:t xml:space="preserve"> </w:t>
            </w:r>
            <w:r>
              <w:rPr>
                <w:rFonts w:hint="eastAsia" w:ascii="宋体" w:hAnsi="宋体" w:eastAsia="宋体" w:cs="Times New Roman"/>
                <w:b w:val="0"/>
                <w:bCs w:val="0"/>
                <w:sz w:val="21"/>
                <w:szCs w:val="21"/>
                <w:lang w:eastAsia="zh-CN"/>
              </w:rPr>
              <w:t>28449-2018</w:t>
            </w:r>
            <w:r>
              <w:rPr>
                <w:rFonts w:hint="eastAsia" w:ascii="宋体" w:hAnsi="宋体" w:eastAsia="宋体" w:cs="Times New Roman"/>
                <w:b w:val="0"/>
                <w:bCs w:val="0"/>
                <w:sz w:val="21"/>
                <w:szCs w:val="21"/>
                <w:lang w:val="en-US" w:eastAsia="zh-CN"/>
              </w:rPr>
              <w:t>)</w:t>
            </w:r>
          </w:p>
          <w:p w14:paraId="3D869B3E">
            <w:pPr>
              <w:keepNext w:val="0"/>
              <w:keepLines w:val="0"/>
              <w:pageBreakBefore w:val="0"/>
              <w:widowControl w:val="0"/>
              <w:kinsoku/>
              <w:wordWrap/>
              <w:overflowPunct/>
              <w:topLinePunct w:val="0"/>
              <w:autoSpaceDE/>
              <w:autoSpaceDN/>
              <w:bidi w:val="0"/>
              <w:adjustRightInd/>
              <w:spacing w:line="400" w:lineRule="exact"/>
              <w:jc w:val="both"/>
              <w:textAlignment w:val="auto"/>
              <w:rPr>
                <w:rFonts w:hint="eastAsia" w:ascii="宋体" w:hAnsi="宋体" w:eastAsia="宋体" w:cs="Times New Roman"/>
                <w:b w:val="0"/>
                <w:bCs w:val="0"/>
                <w:sz w:val="21"/>
                <w:szCs w:val="21"/>
                <w:lang w:eastAsia="zh-CN"/>
              </w:rPr>
            </w:pPr>
            <w:r>
              <w:rPr>
                <w:rFonts w:hint="eastAsia" w:ascii="宋体" w:hAnsi="宋体" w:eastAsia="宋体" w:cs="Times New Roman"/>
                <w:b w:val="0"/>
                <w:bCs w:val="0"/>
                <w:sz w:val="21"/>
                <w:szCs w:val="21"/>
                <w:lang w:eastAsia="zh-CN"/>
              </w:rPr>
              <w:t>《网络安全等级保护设计技术要求》（GB/T</w:t>
            </w:r>
            <w:r>
              <w:rPr>
                <w:rFonts w:hint="eastAsia" w:ascii="宋体" w:hAnsi="宋体" w:eastAsia="宋体" w:cs="Times New Roman"/>
                <w:b w:val="0"/>
                <w:bCs w:val="0"/>
                <w:sz w:val="21"/>
                <w:szCs w:val="21"/>
                <w:lang w:val="en-US" w:eastAsia="zh-CN"/>
              </w:rPr>
              <w:t xml:space="preserve"> </w:t>
            </w:r>
            <w:r>
              <w:rPr>
                <w:rFonts w:hint="eastAsia" w:ascii="宋体" w:hAnsi="宋体" w:eastAsia="宋体" w:cs="Times New Roman"/>
                <w:b w:val="0"/>
                <w:bCs w:val="0"/>
                <w:sz w:val="21"/>
                <w:szCs w:val="21"/>
                <w:lang w:eastAsia="zh-CN"/>
              </w:rPr>
              <w:t>25070-2019）</w:t>
            </w:r>
          </w:p>
          <w:p w14:paraId="7606F0F3">
            <w:pPr>
              <w:keepNext w:val="0"/>
              <w:keepLines w:val="0"/>
              <w:pageBreakBefore w:val="0"/>
              <w:widowControl w:val="0"/>
              <w:kinsoku/>
              <w:wordWrap/>
              <w:overflowPunct/>
              <w:topLinePunct w:val="0"/>
              <w:autoSpaceDE/>
              <w:autoSpaceDN/>
              <w:bidi w:val="0"/>
              <w:adjustRightInd/>
              <w:spacing w:line="400" w:lineRule="exact"/>
              <w:jc w:val="both"/>
              <w:textAlignment w:val="auto"/>
              <w:rPr>
                <w:rFonts w:hint="eastAsia" w:ascii="宋体" w:hAnsi="宋体" w:eastAsia="宋体" w:cs="Times New Roman"/>
                <w:b w:val="0"/>
                <w:bCs w:val="0"/>
                <w:sz w:val="21"/>
                <w:szCs w:val="21"/>
                <w:lang w:eastAsia="zh-CN"/>
              </w:rPr>
            </w:pPr>
            <w:r>
              <w:rPr>
                <w:rFonts w:hint="eastAsia" w:ascii="宋体" w:hAnsi="宋体" w:eastAsia="宋体" w:cs="Times New Roman"/>
                <w:b w:val="0"/>
                <w:bCs w:val="0"/>
                <w:sz w:val="21"/>
                <w:szCs w:val="21"/>
                <w:lang w:eastAsia="zh-CN"/>
              </w:rPr>
              <w:t>《网络安全等级保护测试评估技术指南》（GB</w:t>
            </w:r>
            <w:r>
              <w:rPr>
                <w:rFonts w:hint="eastAsia" w:ascii="宋体" w:hAnsi="宋体" w:eastAsia="宋体" w:cs="Times New Roman"/>
                <w:b w:val="0"/>
                <w:bCs w:val="0"/>
                <w:sz w:val="21"/>
                <w:szCs w:val="21"/>
                <w:lang w:val="en-US" w:eastAsia="zh-CN"/>
              </w:rPr>
              <w:t>/</w:t>
            </w:r>
            <w:r>
              <w:rPr>
                <w:rFonts w:hint="eastAsia" w:ascii="宋体" w:hAnsi="宋体" w:eastAsia="宋体" w:cs="Times New Roman"/>
                <w:b w:val="0"/>
                <w:bCs w:val="0"/>
                <w:sz w:val="21"/>
                <w:szCs w:val="21"/>
                <w:lang w:eastAsia="zh-CN"/>
              </w:rPr>
              <w:t>T 36627-2018）</w:t>
            </w:r>
          </w:p>
          <w:p w14:paraId="2BF6F9A2">
            <w:pPr>
              <w:keepNext w:val="0"/>
              <w:keepLines w:val="0"/>
              <w:pageBreakBefore w:val="0"/>
              <w:widowControl w:val="0"/>
              <w:kinsoku/>
              <w:wordWrap/>
              <w:overflowPunct/>
              <w:topLinePunct w:val="0"/>
              <w:autoSpaceDE/>
              <w:autoSpaceDN/>
              <w:bidi w:val="0"/>
              <w:adjustRightInd/>
              <w:spacing w:line="400" w:lineRule="exact"/>
              <w:jc w:val="both"/>
              <w:textAlignment w:val="auto"/>
              <w:rPr>
                <w:rFonts w:hint="eastAsia" w:ascii="宋体" w:hAnsi="宋体" w:eastAsia="宋体" w:cs="Times New Roman"/>
                <w:b w:val="0"/>
                <w:bCs w:val="0"/>
                <w:sz w:val="21"/>
                <w:szCs w:val="21"/>
                <w:lang w:val="en-US" w:eastAsia="zh-CN"/>
              </w:rPr>
            </w:pPr>
            <w:r>
              <w:rPr>
                <w:rFonts w:hint="eastAsia" w:ascii="宋体" w:hAnsi="宋体" w:eastAsia="宋体" w:cs="Times New Roman"/>
                <w:b w:val="0"/>
                <w:bCs w:val="0"/>
                <w:sz w:val="21"/>
                <w:szCs w:val="21"/>
                <w:lang w:val="en-US" w:eastAsia="zh-CN"/>
              </w:rPr>
              <w:t>3、测评内容</w:t>
            </w:r>
          </w:p>
          <w:p w14:paraId="1BF5F700">
            <w:pPr>
              <w:keepNext w:val="0"/>
              <w:keepLines w:val="0"/>
              <w:pageBreakBefore w:val="0"/>
              <w:widowControl w:val="0"/>
              <w:kinsoku/>
              <w:wordWrap/>
              <w:overflowPunct/>
              <w:topLinePunct w:val="0"/>
              <w:autoSpaceDE/>
              <w:autoSpaceDN/>
              <w:bidi w:val="0"/>
              <w:adjustRightInd/>
              <w:spacing w:line="400" w:lineRule="exact"/>
              <w:ind w:firstLine="420" w:firstLineChars="200"/>
              <w:jc w:val="both"/>
              <w:textAlignment w:val="auto"/>
              <w:rPr>
                <w:rFonts w:hint="eastAsia" w:ascii="宋体" w:hAnsi="宋体" w:eastAsia="宋体" w:cs="Times New Roman"/>
                <w:b w:val="0"/>
                <w:bCs w:val="0"/>
                <w:sz w:val="21"/>
                <w:szCs w:val="21"/>
                <w:lang w:val="en-US" w:eastAsia="zh-CN"/>
              </w:rPr>
            </w:pPr>
            <w:r>
              <w:rPr>
                <w:rFonts w:hint="eastAsia" w:ascii="宋体" w:hAnsi="宋体" w:eastAsia="宋体" w:cs="Times New Roman"/>
                <w:b w:val="0"/>
                <w:bCs w:val="0"/>
                <w:sz w:val="21"/>
                <w:szCs w:val="21"/>
                <w:lang w:val="en-US" w:eastAsia="zh-CN"/>
              </w:rPr>
              <w:t>（1）安全通用要求</w:t>
            </w:r>
          </w:p>
          <w:p w14:paraId="2A6CBFD4">
            <w:pPr>
              <w:keepNext w:val="0"/>
              <w:keepLines w:val="0"/>
              <w:pageBreakBefore w:val="0"/>
              <w:widowControl w:val="0"/>
              <w:kinsoku/>
              <w:wordWrap/>
              <w:overflowPunct/>
              <w:topLinePunct w:val="0"/>
              <w:autoSpaceDE/>
              <w:autoSpaceDN/>
              <w:bidi w:val="0"/>
              <w:adjustRightInd/>
              <w:spacing w:line="400" w:lineRule="exact"/>
              <w:ind w:firstLine="420" w:firstLineChars="200"/>
              <w:jc w:val="both"/>
              <w:textAlignment w:val="auto"/>
              <w:rPr>
                <w:rFonts w:hint="eastAsia" w:ascii="宋体" w:hAnsi="宋体" w:eastAsia="宋体" w:cs="Times New Roman"/>
                <w:b w:val="0"/>
                <w:bCs w:val="0"/>
                <w:sz w:val="21"/>
                <w:szCs w:val="21"/>
                <w:lang w:val="en-US" w:eastAsia="zh-CN"/>
              </w:rPr>
            </w:pPr>
            <w:r>
              <w:rPr>
                <w:rFonts w:hint="eastAsia" w:ascii="宋体" w:hAnsi="宋体" w:eastAsia="宋体" w:cs="Times New Roman"/>
                <w:b w:val="0"/>
                <w:bCs w:val="0"/>
                <w:sz w:val="21"/>
                <w:szCs w:val="21"/>
                <w:lang w:val="en-US" w:eastAsia="zh-CN"/>
              </w:rPr>
              <w:t>安全通用要求测评内容应包括安全技术和安全管理两大类，其中技术类应包括对安全物理环境、安全通信网络、安全区域边界、安全计算环境、安全管理中心五个方面的测评，安全管理类测评应包括对安全管理制度、安全管理机构、安全管理人员、安全建设管理、安全运维管理五个方面的测评。</w:t>
            </w:r>
          </w:p>
          <w:p w14:paraId="75FEFE11">
            <w:pPr>
              <w:keepNext w:val="0"/>
              <w:keepLines w:val="0"/>
              <w:pageBreakBefore w:val="0"/>
              <w:widowControl w:val="0"/>
              <w:kinsoku/>
              <w:wordWrap/>
              <w:overflowPunct/>
              <w:topLinePunct w:val="0"/>
              <w:autoSpaceDE/>
              <w:autoSpaceDN/>
              <w:bidi w:val="0"/>
              <w:adjustRightInd/>
              <w:spacing w:line="400" w:lineRule="exact"/>
              <w:ind w:firstLine="420" w:firstLineChars="200"/>
              <w:jc w:val="both"/>
              <w:textAlignment w:val="auto"/>
              <w:rPr>
                <w:rFonts w:hint="eastAsia" w:ascii="宋体" w:hAnsi="宋体" w:eastAsia="宋体" w:cs="Times New Roman"/>
                <w:b w:val="0"/>
                <w:bCs w:val="0"/>
                <w:sz w:val="21"/>
                <w:szCs w:val="21"/>
                <w:lang w:val="en-US" w:eastAsia="zh-CN"/>
              </w:rPr>
            </w:pPr>
            <w:r>
              <w:rPr>
                <w:rFonts w:hint="eastAsia" w:ascii="宋体" w:hAnsi="宋体" w:eastAsia="宋体" w:cs="Times New Roman"/>
                <w:b w:val="0"/>
                <w:bCs w:val="0"/>
                <w:sz w:val="21"/>
                <w:szCs w:val="21"/>
                <w:lang w:val="en-US" w:eastAsia="zh-CN"/>
              </w:rPr>
              <w:t>（2）安全扩展要求</w:t>
            </w:r>
          </w:p>
          <w:p w14:paraId="35B31556">
            <w:pPr>
              <w:keepNext w:val="0"/>
              <w:keepLines w:val="0"/>
              <w:pageBreakBefore w:val="0"/>
              <w:widowControl w:val="0"/>
              <w:kinsoku/>
              <w:wordWrap/>
              <w:overflowPunct/>
              <w:topLinePunct w:val="0"/>
              <w:autoSpaceDE/>
              <w:autoSpaceDN/>
              <w:bidi w:val="0"/>
              <w:adjustRightInd/>
              <w:spacing w:line="400" w:lineRule="exact"/>
              <w:ind w:firstLine="420" w:firstLineChars="200"/>
              <w:jc w:val="both"/>
              <w:textAlignment w:val="auto"/>
              <w:rPr>
                <w:rFonts w:hint="eastAsia" w:ascii="宋体" w:hAnsi="宋体" w:eastAsia="宋体" w:cs="Times New Roman"/>
                <w:b w:val="0"/>
                <w:bCs w:val="0"/>
                <w:sz w:val="21"/>
                <w:szCs w:val="21"/>
                <w:lang w:val="en-US" w:eastAsia="zh-CN"/>
              </w:rPr>
            </w:pPr>
            <w:r>
              <w:rPr>
                <w:rFonts w:hint="eastAsia" w:ascii="宋体" w:hAnsi="宋体" w:eastAsia="宋体" w:cs="Times New Roman"/>
                <w:b w:val="0"/>
                <w:bCs w:val="0"/>
                <w:sz w:val="21"/>
                <w:szCs w:val="21"/>
                <w:lang w:val="en-US" w:eastAsia="zh-CN"/>
              </w:rPr>
              <w:t>本项目涉及等级保护对象涉及测评标准安全扩展要求（云计算、移动互联网、物联网、大数据、工业控制）方面内容的，投标人应该满足对被测评系统两个或以上网络环境的测评，需根据实际情况选定适用的安全扩展要求测评内容开展本项目测评工作。</w:t>
            </w:r>
          </w:p>
          <w:p w14:paraId="0AFA7925">
            <w:pPr>
              <w:keepNext w:val="0"/>
              <w:keepLines w:val="0"/>
              <w:pageBreakBefore w:val="0"/>
              <w:widowControl w:val="0"/>
              <w:kinsoku/>
              <w:wordWrap/>
              <w:overflowPunct/>
              <w:topLinePunct w:val="0"/>
              <w:autoSpaceDE/>
              <w:autoSpaceDN/>
              <w:bidi w:val="0"/>
              <w:adjustRightInd/>
              <w:spacing w:line="400" w:lineRule="exact"/>
              <w:jc w:val="both"/>
              <w:textAlignment w:val="auto"/>
              <w:rPr>
                <w:rFonts w:hint="eastAsia" w:ascii="宋体" w:hAnsi="宋体" w:eastAsia="宋体" w:cs="Times New Roman"/>
                <w:b w:val="0"/>
                <w:bCs w:val="0"/>
                <w:sz w:val="21"/>
                <w:szCs w:val="21"/>
              </w:rPr>
            </w:pPr>
            <w:r>
              <w:rPr>
                <w:rFonts w:hint="eastAsia" w:ascii="宋体" w:hAnsi="宋体" w:eastAsia="宋体" w:cs="Times New Roman"/>
                <w:b w:val="0"/>
                <w:bCs w:val="0"/>
                <w:sz w:val="21"/>
                <w:szCs w:val="21"/>
                <w:lang w:val="en-US" w:eastAsia="zh-CN"/>
              </w:rPr>
              <w:t>4、测评</w:t>
            </w:r>
            <w:r>
              <w:rPr>
                <w:rFonts w:hint="eastAsia" w:ascii="宋体" w:hAnsi="宋体" w:eastAsia="宋体" w:cs="Times New Roman"/>
                <w:b w:val="0"/>
                <w:bCs w:val="0"/>
                <w:sz w:val="21"/>
                <w:szCs w:val="21"/>
              </w:rPr>
              <w:t>方法</w:t>
            </w:r>
          </w:p>
          <w:p w14:paraId="6AE14DB5">
            <w:pPr>
              <w:keepNext w:val="0"/>
              <w:keepLines w:val="0"/>
              <w:pageBreakBefore w:val="0"/>
              <w:widowControl w:val="0"/>
              <w:kinsoku/>
              <w:wordWrap/>
              <w:overflowPunct/>
              <w:topLinePunct w:val="0"/>
              <w:autoSpaceDE/>
              <w:autoSpaceDN/>
              <w:bidi w:val="0"/>
              <w:adjustRightInd/>
              <w:spacing w:line="400" w:lineRule="exact"/>
              <w:ind w:firstLine="420" w:firstLineChars="200"/>
              <w:jc w:val="both"/>
              <w:textAlignment w:val="auto"/>
              <w:rPr>
                <w:rFonts w:hint="eastAsia" w:ascii="宋体" w:hAnsi="宋体" w:eastAsia="宋体" w:cs="Times New Roman"/>
                <w:b w:val="0"/>
                <w:bCs w:val="0"/>
                <w:sz w:val="21"/>
                <w:szCs w:val="21"/>
                <w:lang w:val="en-US" w:eastAsia="zh-CN"/>
              </w:rPr>
            </w:pPr>
            <w:r>
              <w:rPr>
                <w:rFonts w:hint="eastAsia" w:ascii="宋体" w:hAnsi="宋体" w:eastAsia="宋体" w:cs="Times New Roman"/>
                <w:b w:val="0"/>
                <w:bCs w:val="0"/>
                <w:sz w:val="21"/>
                <w:szCs w:val="21"/>
                <w:lang w:val="en-US" w:eastAsia="zh-CN"/>
              </w:rPr>
              <w:t>在测评实施过程中，应采用访谈、检查和测试、渗透测试等测评方法进行，并与国家相关规范及标准的要求相符。</w:t>
            </w:r>
            <w:r>
              <w:rPr>
                <w:rFonts w:hint="eastAsia" w:ascii="宋体" w:hAnsi="宋体" w:eastAsia="宋体" w:cs="Times New Roman"/>
                <w:b w:val="0"/>
                <w:bCs w:val="0"/>
                <w:sz w:val="21"/>
                <w:szCs w:val="21"/>
                <w:lang w:val="en-US" w:eastAsia="zh-CN"/>
              </w:rPr>
              <w:br w:type="textWrapping"/>
            </w:r>
            <w:r>
              <w:rPr>
                <w:rFonts w:hint="eastAsia" w:ascii="宋体" w:hAnsi="宋体" w:eastAsia="宋体" w:cs="Times New Roman"/>
                <w:b w:val="0"/>
                <w:bCs w:val="0"/>
                <w:sz w:val="21"/>
                <w:szCs w:val="21"/>
                <w:lang w:val="en-US" w:eastAsia="zh-CN"/>
              </w:rPr>
              <w:t xml:space="preserve">    访谈是指测评人员通过引导信息系统相关人员进行有目的的（有针对性的）交流以帮助测评人员理解、分析或取得证据的过程；</w:t>
            </w:r>
            <w:r>
              <w:rPr>
                <w:rFonts w:hint="eastAsia" w:ascii="宋体" w:hAnsi="宋体" w:eastAsia="宋体" w:cs="Times New Roman"/>
                <w:b w:val="0"/>
                <w:bCs w:val="0"/>
                <w:sz w:val="21"/>
                <w:szCs w:val="21"/>
                <w:lang w:val="en-US" w:eastAsia="zh-CN"/>
              </w:rPr>
              <w:br w:type="textWrapping"/>
            </w:r>
            <w:r>
              <w:rPr>
                <w:rFonts w:hint="eastAsia" w:ascii="宋体" w:hAnsi="宋体" w:eastAsia="宋体" w:cs="Times New Roman"/>
                <w:b w:val="0"/>
                <w:bCs w:val="0"/>
                <w:sz w:val="21"/>
                <w:szCs w:val="21"/>
                <w:lang w:val="en-US" w:eastAsia="zh-CN"/>
              </w:rPr>
              <w:t xml:space="preserve">   检查是指测评人员通过对测评对象（如管理制度、操作记录、安全配置等）进行观察、查验、分析以帮助测评人员理解、分析或取得证据的过程；</w:t>
            </w:r>
          </w:p>
          <w:p w14:paraId="5BAE3913">
            <w:pPr>
              <w:keepNext w:val="0"/>
              <w:keepLines w:val="0"/>
              <w:pageBreakBefore w:val="0"/>
              <w:widowControl w:val="0"/>
              <w:kinsoku/>
              <w:wordWrap/>
              <w:overflowPunct/>
              <w:topLinePunct w:val="0"/>
              <w:autoSpaceDE/>
              <w:autoSpaceDN/>
              <w:bidi w:val="0"/>
              <w:adjustRightInd/>
              <w:spacing w:line="400" w:lineRule="exact"/>
              <w:ind w:firstLine="420" w:firstLineChars="200"/>
              <w:jc w:val="both"/>
              <w:textAlignment w:val="auto"/>
              <w:rPr>
                <w:rFonts w:hint="eastAsia" w:ascii="宋体" w:hAnsi="宋体" w:eastAsia="宋体" w:cs="Times New Roman"/>
                <w:b w:val="0"/>
                <w:bCs w:val="0"/>
                <w:sz w:val="21"/>
                <w:szCs w:val="21"/>
                <w:lang w:val="en-US" w:eastAsia="zh-CN"/>
              </w:rPr>
            </w:pPr>
            <w:r>
              <w:rPr>
                <w:rFonts w:hint="eastAsia" w:ascii="宋体" w:hAnsi="宋体" w:eastAsia="宋体" w:cs="Times New Roman"/>
                <w:b w:val="0"/>
                <w:bCs w:val="0"/>
                <w:sz w:val="21"/>
                <w:szCs w:val="21"/>
                <w:lang w:val="en-US" w:eastAsia="zh-CN"/>
              </w:rPr>
              <w:t>测试是测评人员使用预定的方法/工具使测评对象产生特定的行为，通过查看和分析结果以帮助测评人员获取证据的过程；</w:t>
            </w:r>
          </w:p>
          <w:p w14:paraId="2B168E91">
            <w:pPr>
              <w:keepNext w:val="0"/>
              <w:keepLines w:val="0"/>
              <w:pageBreakBefore w:val="0"/>
              <w:widowControl w:val="0"/>
              <w:kinsoku/>
              <w:wordWrap/>
              <w:overflowPunct/>
              <w:topLinePunct w:val="0"/>
              <w:autoSpaceDE/>
              <w:autoSpaceDN/>
              <w:bidi w:val="0"/>
              <w:adjustRightInd/>
              <w:spacing w:line="400" w:lineRule="exact"/>
              <w:ind w:firstLine="420" w:firstLineChars="200"/>
              <w:jc w:val="both"/>
              <w:textAlignment w:val="auto"/>
              <w:rPr>
                <w:rFonts w:hint="eastAsia" w:ascii="宋体" w:hAnsi="宋体" w:eastAsia="宋体" w:cs="Times New Roman"/>
                <w:b w:val="0"/>
                <w:bCs w:val="0"/>
                <w:sz w:val="21"/>
                <w:szCs w:val="21"/>
                <w:lang w:val="en-US" w:eastAsia="zh-CN"/>
              </w:rPr>
            </w:pPr>
            <w:r>
              <w:rPr>
                <w:rFonts w:hint="eastAsia" w:ascii="宋体" w:hAnsi="宋体" w:eastAsia="宋体" w:cs="Times New Roman"/>
                <w:b w:val="0"/>
                <w:bCs w:val="0"/>
                <w:sz w:val="21"/>
                <w:szCs w:val="21"/>
                <w:lang w:val="en-US" w:eastAsia="zh-CN"/>
              </w:rPr>
              <w:t>渗透测试是模拟黑客的攻击方法，对受保护对象的应用系统、主机、网络进行攻击，从而验证测评对象的弱点、技术缺陷或漏洞的一种评估方法。</w:t>
            </w:r>
          </w:p>
          <w:p w14:paraId="4FF43116">
            <w:pPr>
              <w:keepNext w:val="0"/>
              <w:keepLines w:val="0"/>
              <w:pageBreakBefore w:val="0"/>
              <w:widowControl w:val="0"/>
              <w:kinsoku/>
              <w:wordWrap/>
              <w:overflowPunct/>
              <w:topLinePunct w:val="0"/>
              <w:autoSpaceDE/>
              <w:autoSpaceDN/>
              <w:bidi w:val="0"/>
              <w:adjustRightInd/>
              <w:spacing w:line="400" w:lineRule="exact"/>
              <w:jc w:val="both"/>
              <w:textAlignment w:val="auto"/>
              <w:rPr>
                <w:rFonts w:hint="eastAsia" w:ascii="宋体" w:hAnsi="宋体" w:eastAsia="宋体" w:cs="Times New Roman"/>
                <w:b w:val="0"/>
                <w:bCs w:val="0"/>
                <w:sz w:val="21"/>
                <w:szCs w:val="21"/>
                <w:lang w:val="en-US"/>
              </w:rPr>
            </w:pPr>
            <w:r>
              <w:rPr>
                <w:rFonts w:hint="eastAsia" w:ascii="宋体" w:hAnsi="宋体" w:eastAsia="宋体" w:cs="Times New Roman"/>
                <w:b w:val="0"/>
                <w:bCs w:val="0"/>
                <w:sz w:val="21"/>
                <w:szCs w:val="21"/>
                <w:lang w:val="en-US" w:eastAsia="zh-CN"/>
              </w:rPr>
              <w:t>5</w:t>
            </w:r>
            <w:r>
              <w:rPr>
                <w:rFonts w:hint="eastAsia" w:ascii="宋体" w:hAnsi="宋体" w:eastAsia="宋体" w:cs="Times New Roman"/>
                <w:b w:val="0"/>
                <w:bCs w:val="0"/>
                <w:sz w:val="21"/>
                <w:szCs w:val="21"/>
              </w:rPr>
              <w:t>、</w:t>
            </w:r>
            <w:r>
              <w:rPr>
                <w:rFonts w:hint="eastAsia" w:ascii="宋体" w:hAnsi="宋体" w:eastAsia="宋体" w:cs="Times New Roman"/>
                <w:b w:val="0"/>
                <w:bCs w:val="0"/>
                <w:sz w:val="21"/>
                <w:szCs w:val="21"/>
                <w:lang w:val="en-US" w:eastAsia="zh-CN"/>
              </w:rPr>
              <w:t>服务成果</w:t>
            </w:r>
          </w:p>
          <w:p w14:paraId="0223AC91">
            <w:pPr>
              <w:keepNext w:val="0"/>
              <w:keepLines w:val="0"/>
              <w:pageBreakBefore w:val="0"/>
              <w:widowControl w:val="0"/>
              <w:kinsoku/>
              <w:wordWrap/>
              <w:overflowPunct/>
              <w:topLinePunct w:val="0"/>
              <w:autoSpaceDE/>
              <w:autoSpaceDN/>
              <w:bidi w:val="0"/>
              <w:adjustRightInd/>
              <w:spacing w:line="400" w:lineRule="exact"/>
              <w:ind w:firstLine="420" w:firstLineChars="200"/>
              <w:jc w:val="both"/>
              <w:textAlignment w:val="auto"/>
              <w:rPr>
                <w:rFonts w:hint="eastAsia" w:ascii="宋体" w:hAnsi="宋体" w:eastAsia="宋体" w:cs="Times New Roman"/>
                <w:b w:val="0"/>
                <w:bCs w:val="0"/>
                <w:sz w:val="21"/>
                <w:szCs w:val="21"/>
                <w:lang w:val="en-US" w:eastAsia="zh-CN"/>
              </w:rPr>
            </w:pPr>
            <w:r>
              <w:rPr>
                <w:rFonts w:hint="eastAsia" w:ascii="宋体" w:hAnsi="宋体" w:eastAsia="宋体" w:cs="Times New Roman"/>
                <w:b w:val="0"/>
                <w:bCs w:val="0"/>
                <w:sz w:val="21"/>
                <w:szCs w:val="21"/>
                <w:lang w:val="en-US" w:eastAsia="zh-CN"/>
              </w:rPr>
              <w:t>测评完成后，对相应信息系统分别出具符合等保2.0相关技术标准要求、国家网络安全等级保护管理部门规范要求的网络安全等级保护测评报告。</w:t>
            </w:r>
          </w:p>
          <w:p w14:paraId="09A0C974">
            <w:pPr>
              <w:rPr>
                <w:rFonts w:hint="eastAsia"/>
                <w:b w:val="0"/>
                <w:bCs w:val="0"/>
                <w:lang w:eastAsia="zh-CN"/>
              </w:rPr>
            </w:pPr>
          </w:p>
        </w:tc>
      </w:tr>
      <w:tr w14:paraId="75B2945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322" w:type="pct"/>
            <w:tcBorders>
              <w:top w:val="single" w:color="auto" w:sz="4" w:space="0"/>
              <w:left w:val="single" w:color="auto" w:sz="4" w:space="0"/>
              <w:right w:val="single" w:color="auto" w:sz="4" w:space="0"/>
            </w:tcBorders>
            <w:noWrap w:val="0"/>
            <w:vAlign w:val="center"/>
          </w:tcPr>
          <w:p w14:paraId="221C9B89">
            <w:pPr>
              <w:keepNext w:val="0"/>
              <w:keepLines w:val="0"/>
              <w:pageBreakBefore w:val="0"/>
              <w:widowControl w:val="0"/>
              <w:tabs>
                <w:tab w:val="left" w:pos="180"/>
                <w:tab w:val="left" w:pos="1620"/>
              </w:tabs>
              <w:kinsoku/>
              <w:wordWrap/>
              <w:overflowPunct/>
              <w:topLinePunct w:val="0"/>
              <w:autoSpaceDE/>
              <w:autoSpaceDN/>
              <w:bidi w:val="0"/>
              <w:adjustRightInd/>
              <w:spacing w:line="400" w:lineRule="exact"/>
              <w:jc w:val="center"/>
              <w:textAlignment w:val="auto"/>
              <w:rPr>
                <w:rFonts w:hint="eastAsia" w:ascii="宋体" w:hAnsi="宋体" w:eastAsia="宋体" w:cs="宋体"/>
                <w:color w:val="auto"/>
                <w:kern w:val="2"/>
                <w:sz w:val="24"/>
                <w:szCs w:val="24"/>
                <w:highlight w:val="none"/>
                <w:lang w:val="en-US" w:eastAsia="zh-CN"/>
              </w:rPr>
            </w:pPr>
            <w:r>
              <w:rPr>
                <w:rFonts w:hint="eastAsia" w:ascii="宋体" w:hAnsi="宋体" w:cs="宋体"/>
                <w:color w:val="auto"/>
                <w:kern w:val="2"/>
                <w:sz w:val="24"/>
                <w:szCs w:val="24"/>
                <w:highlight w:val="none"/>
                <w:lang w:val="en-US" w:eastAsia="zh-CN"/>
              </w:rPr>
              <w:t>2</w:t>
            </w:r>
          </w:p>
        </w:tc>
        <w:tc>
          <w:tcPr>
            <w:tcW w:w="644" w:type="pct"/>
            <w:tcBorders>
              <w:top w:val="single" w:color="auto" w:sz="4" w:space="0"/>
              <w:left w:val="single" w:color="auto" w:sz="4" w:space="0"/>
              <w:right w:val="single" w:color="auto" w:sz="4" w:space="0"/>
            </w:tcBorders>
            <w:noWrap w:val="0"/>
            <w:vAlign w:val="center"/>
          </w:tcPr>
          <w:p w14:paraId="01F56C08">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kern w:val="2"/>
                <w:sz w:val="21"/>
                <w:szCs w:val="21"/>
                <w:highlight w:val="none"/>
              </w:rPr>
            </w:pPr>
            <w:r>
              <w:rPr>
                <w:rFonts w:hint="eastAsia" w:ascii="宋体" w:hAnsi="宋体" w:cs="宋体"/>
                <w:color w:val="auto"/>
                <w:kern w:val="2"/>
                <w:sz w:val="21"/>
                <w:szCs w:val="21"/>
                <w:highlight w:val="none"/>
                <w:lang w:eastAsia="zh-CN"/>
              </w:rPr>
              <w:t>商用密码应用安全性评估</w:t>
            </w:r>
            <w:r>
              <w:rPr>
                <w:rFonts w:hint="eastAsia" w:ascii="宋体" w:hAnsi="宋体" w:eastAsia="宋体" w:cs="宋体"/>
                <w:color w:val="auto"/>
                <w:kern w:val="2"/>
                <w:sz w:val="21"/>
                <w:szCs w:val="21"/>
                <w:highlight w:val="none"/>
              </w:rPr>
              <w:t>服务</w:t>
            </w:r>
          </w:p>
        </w:tc>
        <w:tc>
          <w:tcPr>
            <w:tcW w:w="542" w:type="pct"/>
            <w:gridSpan w:val="2"/>
            <w:tcBorders>
              <w:top w:val="single" w:color="auto" w:sz="4" w:space="0"/>
              <w:left w:val="single" w:color="auto" w:sz="4" w:space="0"/>
              <w:right w:val="single" w:color="auto" w:sz="4" w:space="0"/>
            </w:tcBorders>
            <w:noWrap w:val="0"/>
            <w:vAlign w:val="center"/>
          </w:tcPr>
          <w:p w14:paraId="19D9D549">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1"/>
                <w:szCs w:val="21"/>
                <w:highlight w:val="none"/>
                <w:lang w:val="en-US" w:eastAsia="zh-CN"/>
              </w:rPr>
              <w:t>1项</w:t>
            </w:r>
          </w:p>
        </w:tc>
        <w:tc>
          <w:tcPr>
            <w:tcW w:w="3490" w:type="pct"/>
            <w:tcBorders>
              <w:top w:val="single" w:color="auto" w:sz="4" w:space="0"/>
              <w:left w:val="single" w:color="auto" w:sz="4" w:space="0"/>
              <w:bottom w:val="single" w:color="auto" w:sz="4" w:space="0"/>
              <w:right w:val="single" w:color="auto" w:sz="4" w:space="0"/>
            </w:tcBorders>
            <w:noWrap w:val="0"/>
            <w:vAlign w:val="center"/>
          </w:tcPr>
          <w:p w14:paraId="13A2308F">
            <w:pPr>
              <w:pStyle w:val="7"/>
              <w:keepNext w:val="0"/>
              <w:keepLines w:val="0"/>
              <w:pageBreakBefore w:val="0"/>
              <w:widowControl w:val="0"/>
              <w:kinsoku/>
              <w:wordWrap/>
              <w:overflowPunct/>
              <w:topLinePunct w:val="0"/>
              <w:autoSpaceDE/>
              <w:autoSpaceDN/>
              <w:bidi w:val="0"/>
              <w:adjustRightInd/>
              <w:snapToGrid w:val="0"/>
              <w:spacing w:line="440" w:lineRule="exact"/>
              <w:ind w:left="0" w:leftChars="0" w:firstLine="0" w:firstLineChars="0"/>
              <w:textAlignment w:val="auto"/>
              <w:rPr>
                <w:rFonts w:ascii="宋体" w:hAnsi="宋体" w:cs="宋体"/>
                <w:b w:val="0"/>
                <w:bCs w:val="0"/>
                <w:color w:val="auto"/>
                <w:sz w:val="21"/>
                <w:szCs w:val="21"/>
                <w:highlight w:val="none"/>
              </w:rPr>
            </w:pPr>
            <w:r>
              <w:rPr>
                <w:rFonts w:hint="eastAsia" w:ascii="宋体" w:hAnsi="宋体" w:cs="宋体"/>
                <w:b w:val="0"/>
                <w:bCs w:val="0"/>
                <w:color w:val="auto"/>
                <w:sz w:val="21"/>
                <w:szCs w:val="21"/>
                <w:highlight w:val="none"/>
              </w:rPr>
              <w:t>1、要求</w:t>
            </w:r>
          </w:p>
          <w:p w14:paraId="4D5868EC">
            <w:pPr>
              <w:pStyle w:val="7"/>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hAnsi="宋体" w:cs="宋体"/>
                <w:b w:val="0"/>
                <w:bCs w:val="0"/>
                <w:color w:val="auto"/>
                <w:sz w:val="21"/>
                <w:szCs w:val="21"/>
                <w:highlight w:val="none"/>
              </w:rPr>
            </w:pPr>
            <w:r>
              <w:rPr>
                <w:rFonts w:hint="eastAsia" w:ascii="宋体" w:hAnsi="宋体" w:cs="宋体"/>
                <w:b w:val="0"/>
                <w:bCs w:val="0"/>
                <w:color w:val="auto"/>
                <w:sz w:val="21"/>
                <w:szCs w:val="21"/>
                <w:highlight w:val="none"/>
              </w:rPr>
              <w:t>依据《信息安全技术信息系统密码应用基本要求》(GB/T 39786—2021)对</w:t>
            </w:r>
            <w:r>
              <w:rPr>
                <w:rFonts w:hint="eastAsia" w:ascii="宋体" w:hAnsi="宋体" w:eastAsia="宋体" w:cs="Times New Roman"/>
                <w:b w:val="0"/>
                <w:bCs w:val="0"/>
                <w:sz w:val="21"/>
                <w:szCs w:val="21"/>
                <w:lang w:val="en-US" w:eastAsia="zh-CN"/>
              </w:rPr>
              <w:t>医院信息系统（HIS、LIS)</w:t>
            </w:r>
            <w:r>
              <w:rPr>
                <w:rFonts w:hint="eastAsia" w:ascii="宋体" w:hAnsi="宋体" w:eastAsia="宋体" w:cs="Times New Roman"/>
                <w:b w:val="0"/>
                <w:bCs w:val="0"/>
                <w:sz w:val="21"/>
                <w:szCs w:val="21"/>
                <w:lang w:eastAsia="zh-CN"/>
              </w:rPr>
              <w:t>（</w:t>
            </w:r>
            <w:r>
              <w:rPr>
                <w:rFonts w:hint="eastAsia" w:ascii="宋体" w:hAnsi="宋体" w:eastAsia="宋体" w:cs="Times New Roman"/>
                <w:b w:val="0"/>
                <w:bCs w:val="0"/>
                <w:sz w:val="21"/>
                <w:szCs w:val="21"/>
                <w:lang w:val="en-US" w:eastAsia="zh-CN"/>
              </w:rPr>
              <w:t>三级</w:t>
            </w:r>
            <w:r>
              <w:rPr>
                <w:rFonts w:hint="eastAsia" w:ascii="宋体" w:hAnsi="宋体" w:eastAsia="宋体" w:cs="Times New Roman"/>
                <w:b w:val="0"/>
                <w:bCs w:val="0"/>
                <w:sz w:val="21"/>
                <w:szCs w:val="21"/>
                <w:lang w:eastAsia="zh-CN"/>
              </w:rPr>
              <w:t>）</w:t>
            </w:r>
            <w:r>
              <w:rPr>
                <w:rFonts w:hint="eastAsia" w:ascii="宋体" w:hAnsi="宋体" w:cs="Times New Roman"/>
                <w:b w:val="0"/>
                <w:bCs w:val="0"/>
                <w:sz w:val="21"/>
                <w:szCs w:val="21"/>
                <w:lang w:eastAsia="zh-CN"/>
              </w:rPr>
              <w:t>和广西生殖医院互联网医院系统（三级）</w:t>
            </w:r>
            <w:r>
              <w:rPr>
                <w:rFonts w:hint="eastAsia" w:ascii="宋体" w:hAnsi="宋体" w:cs="宋体"/>
                <w:b w:val="0"/>
                <w:bCs w:val="0"/>
                <w:color w:val="auto"/>
                <w:sz w:val="21"/>
                <w:szCs w:val="21"/>
                <w:highlight w:val="none"/>
              </w:rPr>
              <w:t>开展商用密码应用安全性评估,</w:t>
            </w:r>
            <w:r>
              <w:rPr>
                <w:rFonts w:hint="eastAsia" w:ascii="宋体" w:hAnsi="宋体" w:cs="宋体"/>
                <w:b w:val="0"/>
                <w:bCs w:val="0"/>
                <w:color w:val="auto"/>
                <w:sz w:val="21"/>
                <w:szCs w:val="21"/>
                <w:highlight w:val="none"/>
                <w:lang w:eastAsia="zh-CN"/>
              </w:rPr>
              <w:t>并出具商用密码应用安全性评估报告</w:t>
            </w:r>
            <w:r>
              <w:rPr>
                <w:rFonts w:hint="eastAsia" w:ascii="宋体" w:hAnsi="宋体" w:cs="宋体"/>
                <w:b w:val="0"/>
                <w:bCs w:val="0"/>
                <w:color w:val="auto"/>
                <w:sz w:val="21"/>
                <w:szCs w:val="21"/>
                <w:highlight w:val="none"/>
              </w:rPr>
              <w:t>。</w:t>
            </w:r>
          </w:p>
          <w:p w14:paraId="01E65520">
            <w:pPr>
              <w:pStyle w:val="7"/>
              <w:keepNext w:val="0"/>
              <w:keepLines w:val="0"/>
              <w:pageBreakBefore w:val="0"/>
              <w:widowControl w:val="0"/>
              <w:kinsoku/>
              <w:wordWrap/>
              <w:overflowPunct/>
              <w:topLinePunct w:val="0"/>
              <w:autoSpaceDE/>
              <w:autoSpaceDN/>
              <w:bidi w:val="0"/>
              <w:adjustRightInd/>
              <w:snapToGrid w:val="0"/>
              <w:spacing w:line="440" w:lineRule="exact"/>
              <w:ind w:left="0" w:leftChars="0" w:firstLine="0" w:firstLineChars="0"/>
              <w:textAlignment w:val="auto"/>
              <w:rPr>
                <w:rFonts w:ascii="宋体" w:hAnsi="宋体" w:cs="宋体"/>
                <w:b w:val="0"/>
                <w:bCs w:val="0"/>
                <w:color w:val="auto"/>
                <w:sz w:val="21"/>
                <w:szCs w:val="21"/>
                <w:highlight w:val="none"/>
              </w:rPr>
            </w:pPr>
            <w:r>
              <w:rPr>
                <w:rFonts w:hint="eastAsia" w:ascii="宋体" w:hAnsi="宋体" w:cs="宋体"/>
                <w:b w:val="0"/>
                <w:bCs w:val="0"/>
                <w:color w:val="auto"/>
                <w:sz w:val="21"/>
                <w:szCs w:val="21"/>
                <w:highlight w:val="none"/>
              </w:rPr>
              <w:t>2、</w:t>
            </w:r>
            <w:r>
              <w:rPr>
                <w:rFonts w:hint="eastAsia" w:ascii="宋体" w:hAnsi="宋体" w:eastAsia="宋体" w:cs="Times New Roman"/>
                <w:b w:val="0"/>
                <w:bCs w:val="0"/>
                <w:sz w:val="21"/>
                <w:szCs w:val="21"/>
              </w:rPr>
              <w:t>标准依据</w:t>
            </w:r>
          </w:p>
          <w:p w14:paraId="1B8D830A">
            <w:pPr>
              <w:pStyle w:val="7"/>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hAnsi="宋体" w:eastAsia="宋体" w:cs="宋体"/>
                <w:b w:val="0"/>
                <w:bCs w:val="0"/>
                <w:color w:val="auto"/>
                <w:sz w:val="21"/>
                <w:szCs w:val="21"/>
                <w:highlight w:val="none"/>
                <w:lang w:eastAsia="zh-CN"/>
              </w:rPr>
            </w:pPr>
            <w:r>
              <w:rPr>
                <w:rFonts w:hint="eastAsia" w:ascii="宋体" w:hAnsi="宋体" w:cs="宋体"/>
                <w:b w:val="0"/>
                <w:bCs w:val="0"/>
                <w:color w:val="auto"/>
                <w:sz w:val="21"/>
                <w:szCs w:val="21"/>
                <w:highlight w:val="none"/>
              </w:rPr>
              <w:t>《信息安全技术信息系统密码应用基本要求》</w:t>
            </w:r>
            <w:r>
              <w:rPr>
                <w:rFonts w:hint="eastAsia" w:ascii="宋体" w:hAnsi="宋体" w:cs="宋体"/>
                <w:b w:val="0"/>
                <w:bCs w:val="0"/>
                <w:color w:val="auto"/>
                <w:sz w:val="21"/>
                <w:szCs w:val="21"/>
                <w:highlight w:val="none"/>
                <w:lang w:eastAsia="zh-CN"/>
              </w:rPr>
              <w:t>（</w:t>
            </w:r>
            <w:r>
              <w:rPr>
                <w:rFonts w:hint="eastAsia" w:ascii="宋体" w:hAnsi="宋体" w:cs="宋体"/>
                <w:b w:val="0"/>
                <w:bCs w:val="0"/>
                <w:color w:val="auto"/>
                <w:sz w:val="21"/>
                <w:szCs w:val="21"/>
                <w:highlight w:val="none"/>
              </w:rPr>
              <w:t>GBT 39786—2021</w:t>
            </w:r>
            <w:r>
              <w:rPr>
                <w:rFonts w:hint="eastAsia" w:ascii="宋体" w:hAnsi="宋体" w:cs="宋体"/>
                <w:b w:val="0"/>
                <w:bCs w:val="0"/>
                <w:color w:val="auto"/>
                <w:sz w:val="21"/>
                <w:szCs w:val="21"/>
                <w:highlight w:val="none"/>
                <w:lang w:eastAsia="zh-CN"/>
              </w:rPr>
              <w:t>）</w:t>
            </w:r>
          </w:p>
          <w:p w14:paraId="66656332">
            <w:pPr>
              <w:pStyle w:val="7"/>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hAnsi="宋体" w:cs="宋体"/>
                <w:b w:val="0"/>
                <w:bCs w:val="0"/>
                <w:color w:val="auto"/>
                <w:sz w:val="21"/>
                <w:szCs w:val="21"/>
                <w:highlight w:val="none"/>
              </w:rPr>
            </w:pPr>
            <w:r>
              <w:rPr>
                <w:rFonts w:hint="eastAsia" w:ascii="宋体" w:hAnsi="宋体" w:cs="宋体"/>
                <w:b w:val="0"/>
                <w:bCs w:val="0"/>
                <w:color w:val="auto"/>
                <w:sz w:val="21"/>
                <w:szCs w:val="21"/>
                <w:highlight w:val="none"/>
              </w:rPr>
              <w:t>《信息系统密码应用测评要求》</w:t>
            </w:r>
          </w:p>
          <w:p w14:paraId="212ECCF8">
            <w:pPr>
              <w:pStyle w:val="7"/>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hAnsi="宋体" w:cs="宋体"/>
                <w:b w:val="0"/>
                <w:bCs w:val="0"/>
                <w:color w:val="auto"/>
                <w:sz w:val="21"/>
                <w:szCs w:val="21"/>
                <w:highlight w:val="none"/>
              </w:rPr>
            </w:pPr>
            <w:r>
              <w:rPr>
                <w:rFonts w:hint="eastAsia" w:ascii="宋体" w:hAnsi="宋体" w:cs="宋体"/>
                <w:b w:val="0"/>
                <w:bCs w:val="0"/>
                <w:color w:val="auto"/>
                <w:sz w:val="21"/>
                <w:szCs w:val="21"/>
                <w:highlight w:val="none"/>
              </w:rPr>
              <w:t>《信息系统密码应用测评过程指南》</w:t>
            </w:r>
          </w:p>
          <w:p w14:paraId="6296EE19">
            <w:pPr>
              <w:pStyle w:val="7"/>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hAnsi="宋体" w:cs="宋体"/>
                <w:b w:val="0"/>
                <w:bCs w:val="0"/>
                <w:color w:val="auto"/>
                <w:sz w:val="21"/>
                <w:szCs w:val="21"/>
                <w:highlight w:val="none"/>
              </w:rPr>
            </w:pPr>
            <w:r>
              <w:rPr>
                <w:rFonts w:hint="eastAsia" w:ascii="宋体" w:hAnsi="宋体" w:cs="宋体"/>
                <w:b w:val="0"/>
                <w:bCs w:val="0"/>
                <w:color w:val="auto"/>
                <w:sz w:val="21"/>
                <w:szCs w:val="21"/>
                <w:highlight w:val="none"/>
              </w:rPr>
              <w:t>《信息系统密码应用高风险判定指引》</w:t>
            </w:r>
          </w:p>
          <w:p w14:paraId="6565204D">
            <w:pPr>
              <w:pStyle w:val="7"/>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hAnsi="宋体" w:cs="宋体"/>
                <w:b w:val="0"/>
                <w:bCs w:val="0"/>
                <w:color w:val="auto"/>
                <w:sz w:val="21"/>
                <w:szCs w:val="21"/>
                <w:highlight w:val="none"/>
              </w:rPr>
            </w:pPr>
            <w:r>
              <w:rPr>
                <w:rFonts w:hint="eastAsia" w:ascii="宋体" w:hAnsi="宋体" w:cs="宋体"/>
                <w:b w:val="0"/>
                <w:bCs w:val="0"/>
                <w:color w:val="auto"/>
                <w:sz w:val="21"/>
                <w:szCs w:val="21"/>
                <w:highlight w:val="none"/>
              </w:rPr>
              <w:t>《商用密码应用安全性评估量化评估规则》</w:t>
            </w:r>
          </w:p>
          <w:p w14:paraId="0EA0641A">
            <w:pPr>
              <w:pStyle w:val="7"/>
              <w:keepNext w:val="0"/>
              <w:keepLines w:val="0"/>
              <w:pageBreakBefore w:val="0"/>
              <w:widowControl w:val="0"/>
              <w:kinsoku/>
              <w:wordWrap/>
              <w:overflowPunct/>
              <w:topLinePunct w:val="0"/>
              <w:autoSpaceDE/>
              <w:autoSpaceDN/>
              <w:bidi w:val="0"/>
              <w:adjustRightInd/>
              <w:snapToGrid w:val="0"/>
              <w:spacing w:line="440" w:lineRule="exact"/>
              <w:ind w:left="0" w:leftChars="0" w:firstLine="0" w:firstLineChars="0"/>
              <w:textAlignment w:val="auto"/>
              <w:rPr>
                <w:rFonts w:ascii="宋体" w:hAnsi="宋体" w:cs="宋体"/>
                <w:b w:val="0"/>
                <w:bCs w:val="0"/>
                <w:color w:val="auto"/>
                <w:sz w:val="21"/>
                <w:szCs w:val="21"/>
                <w:highlight w:val="none"/>
              </w:rPr>
            </w:pPr>
            <w:r>
              <w:rPr>
                <w:rFonts w:hint="eastAsia" w:ascii="宋体" w:hAnsi="宋体" w:cs="宋体"/>
                <w:b w:val="0"/>
                <w:bCs w:val="0"/>
                <w:color w:val="auto"/>
                <w:sz w:val="21"/>
                <w:szCs w:val="21"/>
                <w:highlight w:val="none"/>
              </w:rPr>
              <w:t>3、评估原则</w:t>
            </w:r>
          </w:p>
          <w:p w14:paraId="61618F5D">
            <w:pPr>
              <w:pStyle w:val="7"/>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hAnsi="宋体" w:cs="宋体"/>
                <w:b w:val="0"/>
                <w:bCs w:val="0"/>
                <w:color w:val="auto"/>
                <w:sz w:val="21"/>
                <w:szCs w:val="21"/>
                <w:highlight w:val="none"/>
              </w:rPr>
            </w:pPr>
            <w:r>
              <w:rPr>
                <w:rFonts w:hint="eastAsia" w:ascii="宋体" w:hAnsi="宋体" w:cs="宋体"/>
                <w:b w:val="0"/>
                <w:bCs w:val="0"/>
                <w:color w:val="auto"/>
                <w:sz w:val="21"/>
                <w:szCs w:val="21"/>
                <w:highlight w:val="none"/>
              </w:rPr>
              <w:t>本次密评工作中严格遵循以下原则</w:t>
            </w:r>
          </w:p>
          <w:p w14:paraId="0C364B5A">
            <w:pPr>
              <w:pStyle w:val="7"/>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hAnsi="宋体" w:cs="宋体"/>
                <w:b w:val="0"/>
                <w:bCs w:val="0"/>
                <w:color w:val="auto"/>
                <w:sz w:val="21"/>
                <w:szCs w:val="21"/>
                <w:highlight w:val="none"/>
              </w:rPr>
            </w:pPr>
            <w:r>
              <w:rPr>
                <w:rFonts w:hint="eastAsia" w:ascii="宋体" w:hAnsi="宋体" w:cs="宋体"/>
                <w:b w:val="0"/>
                <w:bCs w:val="0"/>
                <w:color w:val="auto"/>
                <w:sz w:val="21"/>
                <w:szCs w:val="21"/>
                <w:highlight w:val="none"/>
              </w:rPr>
              <w:t>（1）客观公正原则：密评人员在最小主观判断情况下,按照双方认可的密评方案，基于明确定义的评估方式和解释实施密评活动。</w:t>
            </w:r>
          </w:p>
          <w:p w14:paraId="6E1ADCE1">
            <w:pPr>
              <w:pStyle w:val="7"/>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hAnsi="宋体" w:cs="宋体"/>
                <w:b w:val="0"/>
                <w:bCs w:val="0"/>
                <w:color w:val="auto"/>
                <w:sz w:val="21"/>
                <w:szCs w:val="21"/>
                <w:highlight w:val="none"/>
              </w:rPr>
            </w:pPr>
            <w:r>
              <w:rPr>
                <w:rFonts w:hint="eastAsia" w:ascii="宋体" w:hAnsi="宋体" w:cs="宋体"/>
                <w:b w:val="0"/>
                <w:bCs w:val="0"/>
                <w:color w:val="auto"/>
                <w:sz w:val="21"/>
                <w:szCs w:val="21"/>
                <w:highlight w:val="none"/>
              </w:rPr>
              <w:t>（2）经济及重用性原则：密评工作可重用包括商用密码安全产品评估结果和信息系统密码评估结果在内的已有评估结果。重用结果应适用于受测系统，并且能够</w:t>
            </w:r>
            <w:r>
              <w:rPr>
                <w:rFonts w:hint="eastAsia" w:ascii="宋体" w:hAnsi="宋体" w:cs="宋体"/>
                <w:b w:val="0"/>
                <w:bCs w:val="0"/>
                <w:color w:val="auto"/>
                <w:sz w:val="21"/>
                <w:szCs w:val="21"/>
                <w:highlight w:val="none"/>
                <w:lang w:eastAsia="zh-CN"/>
              </w:rPr>
              <w:t>反映</w:t>
            </w:r>
            <w:r>
              <w:rPr>
                <w:rFonts w:hint="eastAsia" w:ascii="宋体" w:hAnsi="宋体" w:cs="宋体"/>
                <w:b w:val="0"/>
                <w:bCs w:val="0"/>
                <w:color w:val="auto"/>
                <w:sz w:val="21"/>
                <w:szCs w:val="21"/>
                <w:highlight w:val="none"/>
              </w:rPr>
              <w:t>出当前系统的安全状态。</w:t>
            </w:r>
          </w:p>
          <w:p w14:paraId="2A945DA8">
            <w:pPr>
              <w:pStyle w:val="7"/>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hAnsi="宋体" w:cs="宋体"/>
                <w:b w:val="0"/>
                <w:bCs w:val="0"/>
                <w:color w:val="auto"/>
                <w:sz w:val="21"/>
                <w:szCs w:val="21"/>
                <w:highlight w:val="none"/>
              </w:rPr>
            </w:pPr>
            <w:r>
              <w:rPr>
                <w:rFonts w:hint="eastAsia" w:ascii="宋体" w:hAnsi="宋体" w:cs="宋体"/>
                <w:b w:val="0"/>
                <w:bCs w:val="0"/>
                <w:color w:val="auto"/>
                <w:sz w:val="21"/>
                <w:szCs w:val="21"/>
                <w:highlight w:val="none"/>
              </w:rPr>
              <w:t>（3）可重复、可再现性原则：任何密评人员，依照同样的要求，使用同样的评估方法，对每个密评实施过程的重复执行均应得到相同的密评结果。</w:t>
            </w:r>
          </w:p>
          <w:p w14:paraId="705E7432">
            <w:pPr>
              <w:pStyle w:val="7"/>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hAnsi="宋体" w:cs="宋体"/>
                <w:b w:val="0"/>
                <w:bCs w:val="0"/>
                <w:color w:val="auto"/>
                <w:sz w:val="21"/>
                <w:szCs w:val="21"/>
                <w:highlight w:val="none"/>
              </w:rPr>
            </w:pPr>
            <w:r>
              <w:rPr>
                <w:rFonts w:hint="eastAsia" w:ascii="宋体" w:hAnsi="宋体" w:cs="宋体"/>
                <w:b w:val="0"/>
                <w:bCs w:val="0"/>
                <w:color w:val="auto"/>
                <w:sz w:val="21"/>
                <w:szCs w:val="21"/>
                <w:highlight w:val="none"/>
              </w:rPr>
              <w:t>（4）规范性原则：项目实施过程中，在人员、质量和时间进度等方面进行严格管控,在保证测试</w:t>
            </w:r>
            <w:r>
              <w:rPr>
                <w:rFonts w:hint="eastAsia" w:ascii="宋体" w:hAnsi="宋体" w:cs="宋体"/>
                <w:b w:val="0"/>
                <w:bCs w:val="0"/>
                <w:color w:val="auto"/>
                <w:sz w:val="21"/>
                <w:szCs w:val="21"/>
                <w:highlight w:val="none"/>
                <w:lang w:eastAsia="zh-CN"/>
              </w:rPr>
              <w:t>质量</w:t>
            </w:r>
            <w:r>
              <w:rPr>
                <w:rFonts w:hint="eastAsia" w:ascii="宋体" w:hAnsi="宋体" w:cs="宋体"/>
                <w:b w:val="0"/>
                <w:bCs w:val="0"/>
                <w:color w:val="auto"/>
                <w:sz w:val="21"/>
                <w:szCs w:val="21"/>
                <w:highlight w:val="none"/>
              </w:rPr>
              <w:t>的前提下，按计划进度执行。评估工具、方法和过程要在双方认可的范围之内合法进行。</w:t>
            </w:r>
          </w:p>
          <w:p w14:paraId="6D010797">
            <w:pPr>
              <w:pStyle w:val="7"/>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hAnsi="宋体" w:cs="宋体"/>
                <w:b w:val="0"/>
                <w:bCs w:val="0"/>
                <w:color w:val="auto"/>
                <w:sz w:val="21"/>
                <w:szCs w:val="21"/>
                <w:highlight w:val="none"/>
              </w:rPr>
            </w:pPr>
            <w:r>
              <w:rPr>
                <w:rFonts w:hint="eastAsia" w:ascii="宋体" w:hAnsi="宋体" w:cs="宋体"/>
                <w:b w:val="0"/>
                <w:bCs w:val="0"/>
                <w:color w:val="auto"/>
                <w:sz w:val="21"/>
                <w:szCs w:val="21"/>
                <w:highlight w:val="none"/>
              </w:rPr>
              <w:t>（5）完整性原则：密评过程中，确保密评数据、过程记录的完整性。</w:t>
            </w:r>
          </w:p>
          <w:p w14:paraId="591F6FB5">
            <w:pPr>
              <w:pStyle w:val="7"/>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hAnsi="宋体" w:cs="宋体"/>
                <w:b w:val="0"/>
                <w:bCs w:val="0"/>
                <w:color w:val="auto"/>
                <w:sz w:val="21"/>
                <w:szCs w:val="21"/>
                <w:highlight w:val="none"/>
              </w:rPr>
            </w:pPr>
            <w:r>
              <w:rPr>
                <w:rFonts w:hint="eastAsia" w:ascii="宋体" w:hAnsi="宋体" w:cs="宋体"/>
                <w:b w:val="0"/>
                <w:bCs w:val="0"/>
                <w:color w:val="auto"/>
                <w:sz w:val="21"/>
                <w:szCs w:val="21"/>
                <w:highlight w:val="none"/>
              </w:rPr>
              <w:t>（6）最小影响原则：应充分考虑密评活动对受测系统的影响，采取必要的措施，避免影响受测系统正常运行。</w:t>
            </w:r>
          </w:p>
          <w:p w14:paraId="0232F3E6">
            <w:pPr>
              <w:pStyle w:val="7"/>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hAnsi="宋体" w:cs="宋体"/>
                <w:b w:val="0"/>
                <w:bCs w:val="0"/>
                <w:color w:val="auto"/>
                <w:sz w:val="21"/>
                <w:szCs w:val="21"/>
                <w:highlight w:val="none"/>
              </w:rPr>
            </w:pPr>
            <w:r>
              <w:rPr>
                <w:rFonts w:hint="eastAsia" w:ascii="宋体" w:hAnsi="宋体" w:cs="宋体"/>
                <w:b w:val="0"/>
                <w:bCs w:val="0"/>
                <w:color w:val="auto"/>
                <w:sz w:val="21"/>
                <w:szCs w:val="21"/>
                <w:highlight w:val="none"/>
              </w:rPr>
              <w:t>（7）保密原则：应确保密评项目涉及的所有信息，不会泄露给第三方单位或个人，不擅自利用这些信息。</w:t>
            </w:r>
          </w:p>
          <w:p w14:paraId="5F1D5554">
            <w:pPr>
              <w:pStyle w:val="7"/>
              <w:keepNext w:val="0"/>
              <w:keepLines w:val="0"/>
              <w:pageBreakBefore w:val="0"/>
              <w:widowControl w:val="0"/>
              <w:kinsoku/>
              <w:wordWrap/>
              <w:overflowPunct/>
              <w:topLinePunct w:val="0"/>
              <w:autoSpaceDE/>
              <w:autoSpaceDN/>
              <w:bidi w:val="0"/>
              <w:adjustRightInd/>
              <w:snapToGrid w:val="0"/>
              <w:spacing w:line="440" w:lineRule="exact"/>
              <w:ind w:left="0" w:leftChars="0" w:firstLine="0" w:firstLineChars="0"/>
              <w:textAlignment w:val="auto"/>
              <w:rPr>
                <w:rFonts w:ascii="宋体" w:hAnsi="宋体" w:cs="宋体"/>
                <w:b w:val="0"/>
                <w:bCs w:val="0"/>
                <w:color w:val="auto"/>
                <w:sz w:val="21"/>
                <w:szCs w:val="21"/>
                <w:highlight w:val="none"/>
              </w:rPr>
            </w:pPr>
            <w:r>
              <w:rPr>
                <w:rFonts w:hint="eastAsia" w:ascii="宋体" w:hAnsi="宋体" w:cs="宋体"/>
                <w:b w:val="0"/>
                <w:bCs w:val="0"/>
                <w:color w:val="auto"/>
                <w:sz w:val="21"/>
                <w:szCs w:val="21"/>
                <w:highlight w:val="none"/>
              </w:rPr>
              <w:t>4、评估内容</w:t>
            </w:r>
          </w:p>
          <w:p w14:paraId="0388CB12">
            <w:pPr>
              <w:pStyle w:val="7"/>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hAnsi="宋体" w:cs="宋体"/>
                <w:b w:val="0"/>
                <w:bCs w:val="0"/>
                <w:color w:val="auto"/>
                <w:sz w:val="21"/>
                <w:szCs w:val="21"/>
                <w:highlight w:val="none"/>
              </w:rPr>
            </w:pPr>
            <w:r>
              <w:rPr>
                <w:rFonts w:hint="eastAsia" w:ascii="宋体" w:hAnsi="宋体" w:cs="宋体"/>
                <w:b w:val="0"/>
                <w:bCs w:val="0"/>
                <w:color w:val="auto"/>
                <w:sz w:val="21"/>
                <w:szCs w:val="21"/>
                <w:highlight w:val="none"/>
              </w:rPr>
              <w:t>商用密码应用安全性评估要求依据国家有关最新标准和规范对包括(但不限于)物理和环境安全、网络和通信安全、设备和计算安全、应用和数据安全、管理制度、人员管理、建设运行、应急处置等方面进行评估。</w:t>
            </w:r>
          </w:p>
          <w:p w14:paraId="472E359C">
            <w:pPr>
              <w:pStyle w:val="7"/>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hAnsi="宋体" w:cs="宋体"/>
                <w:b w:val="0"/>
                <w:bCs w:val="0"/>
                <w:color w:val="auto"/>
                <w:sz w:val="21"/>
                <w:szCs w:val="21"/>
                <w:highlight w:val="none"/>
              </w:rPr>
            </w:pPr>
            <w:r>
              <w:rPr>
                <w:rFonts w:hint="eastAsia" w:ascii="宋体" w:hAnsi="宋体" w:cs="宋体"/>
                <w:b w:val="0"/>
                <w:bCs w:val="0"/>
                <w:color w:val="auto"/>
                <w:sz w:val="21"/>
                <w:szCs w:val="21"/>
                <w:highlight w:val="none"/>
              </w:rPr>
              <w:t>（1）物理和环境安全包括身份鉴别、电子门禁记录数据完整性、视频记录数据完整性、密码服务、密码产品等评估项。</w:t>
            </w:r>
          </w:p>
          <w:p w14:paraId="128211CA">
            <w:pPr>
              <w:pStyle w:val="7"/>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hAnsi="宋体" w:cs="宋体"/>
                <w:b w:val="0"/>
                <w:bCs w:val="0"/>
                <w:color w:val="auto"/>
                <w:sz w:val="21"/>
                <w:szCs w:val="21"/>
                <w:highlight w:val="none"/>
              </w:rPr>
            </w:pPr>
            <w:r>
              <w:rPr>
                <w:rFonts w:hint="eastAsia" w:ascii="宋体" w:hAnsi="宋体" w:cs="宋体"/>
                <w:b w:val="0"/>
                <w:bCs w:val="0"/>
                <w:color w:val="auto"/>
                <w:sz w:val="21"/>
                <w:szCs w:val="21"/>
                <w:highlight w:val="none"/>
              </w:rPr>
              <w:t>（2）网络和通信安全包括身份鉴别、通信数据完整性、通信过程中重要数据的机密性、网络边界访问控制信息的完整性、安全接入认证、密码服务、密码产品等评估项。</w:t>
            </w:r>
          </w:p>
          <w:p w14:paraId="110C47CC">
            <w:pPr>
              <w:pStyle w:val="7"/>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hAnsi="宋体" w:cs="宋体"/>
                <w:b w:val="0"/>
                <w:bCs w:val="0"/>
                <w:color w:val="auto"/>
                <w:sz w:val="21"/>
                <w:szCs w:val="21"/>
                <w:highlight w:val="none"/>
              </w:rPr>
            </w:pPr>
            <w:r>
              <w:rPr>
                <w:rFonts w:hint="eastAsia" w:ascii="宋体" w:hAnsi="宋体" w:cs="宋体"/>
                <w:b w:val="0"/>
                <w:bCs w:val="0"/>
                <w:color w:val="auto"/>
                <w:sz w:val="21"/>
                <w:szCs w:val="21"/>
                <w:highlight w:val="none"/>
              </w:rPr>
              <w:t>（3）设备和计算安全包括身份鉴别、远程管理通道安全、系统资源访问控制信息完整性、重要信息资源安全标记完整性、日志记录完整性、重要可执行程序来源真实性、密码服务、密码产品等评估项。</w:t>
            </w:r>
          </w:p>
          <w:p w14:paraId="4B56B7C1">
            <w:pPr>
              <w:pStyle w:val="7"/>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hAnsi="宋体" w:cs="宋体"/>
                <w:b w:val="0"/>
                <w:bCs w:val="0"/>
                <w:color w:val="auto"/>
                <w:sz w:val="21"/>
                <w:szCs w:val="21"/>
                <w:highlight w:val="none"/>
              </w:rPr>
            </w:pPr>
            <w:r>
              <w:rPr>
                <w:rFonts w:hint="eastAsia" w:ascii="宋体" w:hAnsi="宋体" w:cs="宋体"/>
                <w:b w:val="0"/>
                <w:bCs w:val="0"/>
                <w:color w:val="auto"/>
                <w:sz w:val="21"/>
                <w:szCs w:val="21"/>
                <w:highlight w:val="none"/>
              </w:rPr>
              <w:t>（4）应用和数据安全包括身份鉴别、访问控制信息完整性、重要信息资源安全标记完整性、重要数据传输机密性、重要数据存储机密性、重要数据传输完整性、重要数据存储完整性、不可否认性、密码服务、密码产品等评估项。</w:t>
            </w:r>
          </w:p>
          <w:p w14:paraId="230F1BB5">
            <w:pPr>
              <w:pStyle w:val="7"/>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hAnsi="宋体" w:cs="宋体"/>
                <w:b w:val="0"/>
                <w:bCs w:val="0"/>
                <w:color w:val="auto"/>
                <w:sz w:val="21"/>
                <w:szCs w:val="21"/>
                <w:highlight w:val="none"/>
              </w:rPr>
            </w:pPr>
            <w:r>
              <w:rPr>
                <w:rFonts w:hint="eastAsia" w:ascii="宋体" w:hAnsi="宋体" w:cs="宋体"/>
                <w:b w:val="0"/>
                <w:bCs w:val="0"/>
                <w:color w:val="auto"/>
                <w:sz w:val="21"/>
                <w:szCs w:val="21"/>
                <w:highlight w:val="none"/>
              </w:rPr>
              <w:t>（5）管理制度包括具备密码应用安全管理制度、密钥管理规制、建立操作规程、定期修订安全管理制度、明确管理制度发布流程、制度执行过程记录留存等评估项。</w:t>
            </w:r>
          </w:p>
          <w:p w14:paraId="0A02F64A">
            <w:pPr>
              <w:pStyle w:val="7"/>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hAnsi="宋体" w:cs="宋体"/>
                <w:b w:val="0"/>
                <w:bCs w:val="0"/>
                <w:color w:val="auto"/>
                <w:sz w:val="21"/>
                <w:szCs w:val="21"/>
                <w:highlight w:val="none"/>
              </w:rPr>
            </w:pPr>
            <w:r>
              <w:rPr>
                <w:rFonts w:hint="eastAsia" w:ascii="宋体" w:hAnsi="宋体" w:cs="宋体"/>
                <w:b w:val="0"/>
                <w:bCs w:val="0"/>
                <w:color w:val="auto"/>
                <w:sz w:val="21"/>
                <w:szCs w:val="21"/>
                <w:highlight w:val="none"/>
              </w:rPr>
              <w:t>（6）人员管理包括了解并遵守密码相关法律法规和密码管理制度、建立密码应用岗位责任制度、建立上岗人员培训制度、定期进行安全岗位人员考核、建立关键岗位人员保密制度和调离制度等评估项。</w:t>
            </w:r>
          </w:p>
          <w:p w14:paraId="3344611A">
            <w:pPr>
              <w:pStyle w:val="7"/>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hAnsi="宋体" w:cs="宋体"/>
                <w:b w:val="0"/>
                <w:bCs w:val="0"/>
                <w:color w:val="auto"/>
                <w:sz w:val="21"/>
                <w:szCs w:val="21"/>
                <w:highlight w:val="none"/>
              </w:rPr>
            </w:pPr>
            <w:r>
              <w:rPr>
                <w:rFonts w:hint="eastAsia" w:ascii="宋体" w:hAnsi="宋体" w:cs="宋体"/>
                <w:b w:val="0"/>
                <w:bCs w:val="0"/>
                <w:color w:val="auto"/>
                <w:sz w:val="21"/>
                <w:szCs w:val="21"/>
                <w:highlight w:val="none"/>
              </w:rPr>
              <w:t>（7）建设运行包括制定密码应用方案、制定密钥安全管理策略、制定实施方案、投入运行前进行密码应用安全性评估、定期开展密码应用安全性评估及攻防对抗演习等评估项。</w:t>
            </w:r>
          </w:p>
          <w:p w14:paraId="59561D64">
            <w:pPr>
              <w:pStyle w:val="7"/>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hAnsi="宋体" w:cs="宋体"/>
                <w:b w:val="0"/>
                <w:bCs w:val="0"/>
                <w:color w:val="auto"/>
                <w:sz w:val="21"/>
                <w:szCs w:val="21"/>
                <w:highlight w:val="none"/>
              </w:rPr>
            </w:pPr>
            <w:r>
              <w:rPr>
                <w:rFonts w:hint="eastAsia" w:ascii="宋体" w:hAnsi="宋体" w:cs="宋体"/>
                <w:b w:val="0"/>
                <w:bCs w:val="0"/>
                <w:color w:val="auto"/>
                <w:sz w:val="21"/>
                <w:szCs w:val="21"/>
                <w:highlight w:val="none"/>
              </w:rPr>
              <w:t>（8）应急处置包括应急策略、事件处置、向有关主管部门上报处置情况等评估项。</w:t>
            </w:r>
          </w:p>
          <w:p w14:paraId="6F1557BE">
            <w:pPr>
              <w:pStyle w:val="7"/>
              <w:keepNext w:val="0"/>
              <w:keepLines w:val="0"/>
              <w:pageBreakBefore w:val="0"/>
              <w:widowControl w:val="0"/>
              <w:kinsoku/>
              <w:wordWrap/>
              <w:overflowPunct/>
              <w:topLinePunct w:val="0"/>
              <w:autoSpaceDE/>
              <w:autoSpaceDN/>
              <w:bidi w:val="0"/>
              <w:adjustRightInd/>
              <w:snapToGrid w:val="0"/>
              <w:spacing w:line="440" w:lineRule="exact"/>
              <w:ind w:left="0" w:leftChars="0" w:firstLine="0" w:firstLineChars="0"/>
              <w:textAlignment w:val="auto"/>
              <w:rPr>
                <w:rFonts w:ascii="宋体" w:hAnsi="宋体" w:cs="宋体"/>
                <w:b w:val="0"/>
                <w:bCs w:val="0"/>
                <w:color w:val="auto"/>
                <w:sz w:val="21"/>
                <w:szCs w:val="21"/>
                <w:highlight w:val="none"/>
              </w:rPr>
            </w:pPr>
            <w:r>
              <w:rPr>
                <w:rFonts w:hint="eastAsia" w:ascii="宋体" w:hAnsi="宋体" w:cs="宋体"/>
                <w:b w:val="0"/>
                <w:bCs w:val="0"/>
                <w:color w:val="auto"/>
                <w:sz w:val="21"/>
                <w:szCs w:val="21"/>
                <w:highlight w:val="none"/>
              </w:rPr>
              <w:t>5、服务成果</w:t>
            </w:r>
          </w:p>
          <w:p w14:paraId="1D69E12C">
            <w:pPr>
              <w:keepNext w:val="0"/>
              <w:keepLines w:val="0"/>
              <w:pageBreakBefore w:val="0"/>
              <w:widowControl w:val="0"/>
              <w:kinsoku/>
              <w:wordWrap/>
              <w:overflowPunct/>
              <w:topLinePunct w:val="0"/>
              <w:autoSpaceDE/>
              <w:autoSpaceDN/>
              <w:bidi w:val="0"/>
              <w:adjustRightInd/>
              <w:spacing w:line="400" w:lineRule="exact"/>
              <w:ind w:firstLine="420" w:firstLineChars="200"/>
              <w:jc w:val="both"/>
              <w:textAlignment w:val="auto"/>
              <w:rPr>
                <w:rFonts w:hint="eastAsia" w:ascii="宋体" w:hAnsi="宋体" w:eastAsia="宋体" w:cs="Times New Roman"/>
                <w:b w:val="0"/>
                <w:bCs w:val="0"/>
                <w:sz w:val="21"/>
                <w:szCs w:val="21"/>
                <w:lang w:val="en-US" w:eastAsia="zh-CN"/>
              </w:rPr>
            </w:pPr>
            <w:r>
              <w:rPr>
                <w:rFonts w:hint="eastAsia" w:ascii="宋体" w:hAnsi="宋体" w:eastAsia="宋体" w:cs="Times New Roman"/>
                <w:b w:val="0"/>
                <w:bCs w:val="0"/>
                <w:sz w:val="21"/>
                <w:szCs w:val="21"/>
                <w:lang w:val="en-US" w:eastAsia="zh-CN"/>
              </w:rPr>
              <w:t>评估完成后，对相应信息系统分别出具符合商用密码相关技术标准要求、国家商用密码保护管理部门规范要求的商用密码应用安全性评估报告。</w:t>
            </w:r>
          </w:p>
          <w:p w14:paraId="049B2FCD">
            <w:pPr>
              <w:rPr>
                <w:rFonts w:hint="eastAsia"/>
                <w:b w:val="0"/>
                <w:bCs w:val="0"/>
                <w:lang w:eastAsia="zh-CN"/>
              </w:rPr>
            </w:pPr>
          </w:p>
        </w:tc>
      </w:tr>
      <w:tr w14:paraId="638FA7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5000" w:type="pct"/>
            <w:gridSpan w:val="5"/>
            <w:tcBorders>
              <w:top w:val="single" w:color="auto" w:sz="4" w:space="0"/>
              <w:left w:val="single" w:color="auto" w:sz="4" w:space="0"/>
              <w:bottom w:val="single" w:color="auto" w:sz="4" w:space="0"/>
              <w:right w:val="single" w:color="auto" w:sz="4" w:space="0"/>
            </w:tcBorders>
            <w:noWrap w:val="0"/>
            <w:vAlign w:val="center"/>
          </w:tcPr>
          <w:p w14:paraId="2E1ACA78">
            <w:pPr>
              <w:keepNext w:val="0"/>
              <w:keepLines w:val="0"/>
              <w:pageBreakBefore w:val="0"/>
              <w:widowControl w:val="0"/>
              <w:kinsoku/>
              <w:wordWrap/>
              <w:overflowPunct/>
              <w:topLinePunct w:val="0"/>
              <w:autoSpaceDE/>
              <w:autoSpaceDN/>
              <w:bidi w:val="0"/>
              <w:adjustRightInd/>
              <w:spacing w:line="400" w:lineRule="exact"/>
              <w:textAlignment w:val="auto"/>
              <w:rPr>
                <w:rFonts w:hint="eastAsia" w:ascii="宋体" w:hAnsi="宋体" w:eastAsia="宋体"/>
                <w:b/>
                <w:szCs w:val="21"/>
                <w:lang w:eastAsia="zh-CN"/>
              </w:rPr>
            </w:pPr>
            <w:r>
              <w:rPr>
                <w:rFonts w:hint="eastAsia" w:ascii="宋体" w:hAnsi="宋体"/>
                <w:b/>
                <w:szCs w:val="21"/>
              </w:rPr>
              <w:t>二、商务</w:t>
            </w:r>
            <w:r>
              <w:rPr>
                <w:rFonts w:hint="eastAsia" w:ascii="宋体" w:hAnsi="宋体"/>
                <w:b/>
                <w:szCs w:val="21"/>
                <w:lang w:val="en-US" w:eastAsia="zh-CN"/>
              </w:rPr>
              <w:t>需求</w:t>
            </w:r>
          </w:p>
        </w:tc>
      </w:tr>
      <w:tr w14:paraId="5A2C4E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 w:hRule="atLeast"/>
          <w:jc w:val="center"/>
        </w:trPr>
        <w:tc>
          <w:tcPr>
            <w:tcW w:w="1016" w:type="pct"/>
            <w:gridSpan w:val="3"/>
            <w:tcBorders>
              <w:top w:val="single" w:color="auto" w:sz="4" w:space="0"/>
              <w:left w:val="single" w:color="auto" w:sz="4" w:space="0"/>
              <w:bottom w:val="single" w:color="auto" w:sz="4" w:space="0"/>
              <w:right w:val="single" w:color="auto" w:sz="4" w:space="0"/>
            </w:tcBorders>
            <w:noWrap w:val="0"/>
            <w:vAlign w:val="center"/>
          </w:tcPr>
          <w:p w14:paraId="4C510B0F">
            <w:pPr>
              <w:keepNext w:val="0"/>
              <w:keepLines w:val="0"/>
              <w:pageBreakBefore w:val="0"/>
              <w:widowControl w:val="0"/>
              <w:kinsoku/>
              <w:wordWrap/>
              <w:overflowPunct/>
              <w:topLinePunct w:val="0"/>
              <w:autoSpaceDE/>
              <w:autoSpaceDN/>
              <w:bidi w:val="0"/>
              <w:adjustRightInd/>
              <w:spacing w:line="400" w:lineRule="exact"/>
              <w:jc w:val="center"/>
              <w:textAlignment w:val="auto"/>
              <w:rPr>
                <w:rFonts w:hint="eastAsia" w:ascii="宋体" w:hAnsi="宋体"/>
                <w:szCs w:val="21"/>
                <w:lang w:eastAsia="zh-CN"/>
              </w:rPr>
            </w:pPr>
            <w:r>
              <w:rPr>
                <w:rFonts w:hint="eastAsia" w:ascii="宋体" w:hAnsi="宋体"/>
                <w:szCs w:val="21"/>
                <w:lang w:eastAsia="zh-CN"/>
              </w:rPr>
              <w:t>供应商资质</w:t>
            </w:r>
          </w:p>
        </w:tc>
        <w:tc>
          <w:tcPr>
            <w:tcW w:w="3983" w:type="pct"/>
            <w:gridSpan w:val="2"/>
            <w:tcBorders>
              <w:top w:val="single" w:color="auto" w:sz="4" w:space="0"/>
              <w:left w:val="single" w:color="auto" w:sz="4" w:space="0"/>
              <w:bottom w:val="single" w:color="auto" w:sz="4" w:space="0"/>
              <w:right w:val="single" w:color="auto" w:sz="4" w:space="0"/>
            </w:tcBorders>
            <w:noWrap w:val="0"/>
            <w:vAlign w:val="center"/>
          </w:tcPr>
          <w:p w14:paraId="0B8188D6">
            <w:pPr>
              <w:keepNext w:val="0"/>
              <w:keepLines w:val="0"/>
              <w:pageBreakBefore w:val="0"/>
              <w:widowControl w:val="0"/>
              <w:kinsoku/>
              <w:wordWrap/>
              <w:overflowPunct/>
              <w:topLinePunct w:val="0"/>
              <w:autoSpaceDE/>
              <w:autoSpaceDN/>
              <w:bidi w:val="0"/>
              <w:adjustRightInd/>
              <w:spacing w:line="400" w:lineRule="exact"/>
              <w:textAlignment w:val="auto"/>
              <w:rPr>
                <w:rFonts w:hint="eastAsia" w:ascii="宋体" w:hAnsi="宋体"/>
                <w:szCs w:val="21"/>
                <w:lang w:val="en-US" w:eastAsia="zh-CN"/>
              </w:rPr>
            </w:pPr>
            <w:r>
              <w:rPr>
                <w:rFonts w:hint="eastAsia" w:ascii="宋体" w:hAnsi="宋体"/>
                <w:szCs w:val="21"/>
                <w:lang w:val="en-US" w:eastAsia="zh-CN"/>
              </w:rPr>
              <w:t>具有公安部第三研究所颁发的《网络安全服务认证证书等级保护测评服务认证》及国家密码管理局颁发的《商用密码检测机构资质证书》（业务范围：商用密码应用安全性评估）。</w:t>
            </w:r>
          </w:p>
        </w:tc>
      </w:tr>
      <w:tr w14:paraId="0BBEDD5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 w:hRule="atLeast"/>
          <w:jc w:val="center"/>
        </w:trPr>
        <w:tc>
          <w:tcPr>
            <w:tcW w:w="1016" w:type="pct"/>
            <w:gridSpan w:val="3"/>
            <w:tcBorders>
              <w:top w:val="single" w:color="auto" w:sz="4" w:space="0"/>
              <w:left w:val="single" w:color="auto" w:sz="4" w:space="0"/>
              <w:bottom w:val="single" w:color="auto" w:sz="4" w:space="0"/>
              <w:right w:val="single" w:color="auto" w:sz="4" w:space="0"/>
            </w:tcBorders>
            <w:noWrap w:val="0"/>
            <w:vAlign w:val="center"/>
          </w:tcPr>
          <w:p w14:paraId="6F158348">
            <w:pPr>
              <w:keepNext w:val="0"/>
              <w:keepLines w:val="0"/>
              <w:pageBreakBefore w:val="0"/>
              <w:widowControl w:val="0"/>
              <w:kinsoku/>
              <w:wordWrap/>
              <w:overflowPunct/>
              <w:topLinePunct w:val="0"/>
              <w:autoSpaceDE/>
              <w:autoSpaceDN/>
              <w:bidi w:val="0"/>
              <w:adjustRightInd/>
              <w:spacing w:line="400" w:lineRule="exact"/>
              <w:jc w:val="center"/>
              <w:textAlignment w:val="auto"/>
              <w:rPr>
                <w:rFonts w:hint="eastAsia" w:ascii="宋体" w:hAnsi="宋体"/>
                <w:szCs w:val="21"/>
              </w:rPr>
            </w:pPr>
          </w:p>
          <w:p w14:paraId="570E6EFB">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宋体" w:hAnsi="宋体"/>
                <w:szCs w:val="21"/>
              </w:rPr>
            </w:pPr>
            <w:r>
              <w:rPr>
                <w:rFonts w:hint="eastAsia" w:ascii="宋体" w:hAnsi="宋体"/>
                <w:szCs w:val="21"/>
                <w:lang w:eastAsia="zh-CN"/>
              </w:rPr>
              <w:t>服务期限</w:t>
            </w:r>
            <w:r>
              <w:rPr>
                <w:rFonts w:hint="eastAsia" w:ascii="宋体" w:hAnsi="宋体"/>
                <w:szCs w:val="21"/>
              </w:rPr>
              <w:t>及地点</w:t>
            </w:r>
          </w:p>
        </w:tc>
        <w:tc>
          <w:tcPr>
            <w:tcW w:w="3983" w:type="pct"/>
            <w:gridSpan w:val="2"/>
            <w:tcBorders>
              <w:top w:val="single" w:color="auto" w:sz="4" w:space="0"/>
              <w:left w:val="single" w:color="auto" w:sz="4" w:space="0"/>
              <w:bottom w:val="single" w:color="auto" w:sz="4" w:space="0"/>
              <w:right w:val="single" w:color="auto" w:sz="4" w:space="0"/>
            </w:tcBorders>
            <w:noWrap w:val="0"/>
            <w:vAlign w:val="center"/>
          </w:tcPr>
          <w:p w14:paraId="42B402E3">
            <w:pPr>
              <w:keepNext w:val="0"/>
              <w:keepLines w:val="0"/>
              <w:pageBreakBefore w:val="0"/>
              <w:widowControl w:val="0"/>
              <w:numPr>
                <w:ilvl w:val="0"/>
                <w:numId w:val="1"/>
              </w:numPr>
              <w:kinsoku/>
              <w:wordWrap/>
              <w:overflowPunct/>
              <w:topLinePunct w:val="0"/>
              <w:autoSpaceDE/>
              <w:autoSpaceDN/>
              <w:bidi w:val="0"/>
              <w:adjustRightInd/>
              <w:spacing w:line="400" w:lineRule="exact"/>
              <w:textAlignment w:val="auto"/>
              <w:rPr>
                <w:rFonts w:hint="eastAsia" w:ascii="宋体" w:hAnsi="宋体" w:cs="Times New Roman"/>
                <w:szCs w:val="21"/>
                <w:lang w:val="en-US" w:eastAsia="zh-CN"/>
              </w:rPr>
            </w:pPr>
            <w:r>
              <w:rPr>
                <w:rFonts w:hint="eastAsia" w:ascii="宋体" w:hAnsi="宋体"/>
                <w:szCs w:val="21"/>
                <w:lang w:eastAsia="zh-CN"/>
              </w:rPr>
              <w:t>服务期限：</w:t>
            </w:r>
            <w:r>
              <w:rPr>
                <w:rFonts w:hint="eastAsia" w:ascii="宋体" w:hAnsi="宋体" w:cs="Times New Roman"/>
                <w:szCs w:val="21"/>
                <w:lang w:val="en-US" w:eastAsia="zh-CN"/>
              </w:rPr>
              <w:t>5</w:t>
            </w:r>
            <w:r>
              <w:rPr>
                <w:rFonts w:hint="eastAsia" w:ascii="宋体" w:hAnsi="宋体" w:eastAsia="宋体" w:cs="Times New Roman"/>
                <w:szCs w:val="21"/>
                <w:lang w:val="en-US" w:eastAsia="zh-CN"/>
              </w:rPr>
              <w:t>0个日历日之内完成</w:t>
            </w:r>
            <w:r>
              <w:rPr>
                <w:rFonts w:hint="eastAsia" w:ascii="宋体" w:hAnsi="宋体" w:cs="Times New Roman"/>
                <w:szCs w:val="21"/>
                <w:lang w:val="en-US" w:eastAsia="zh-CN"/>
              </w:rPr>
              <w:t>。如因采购人开展系统建设或整改，最终测评报告出具时间由双方协商确定。</w:t>
            </w:r>
          </w:p>
          <w:p w14:paraId="5C716651">
            <w:pPr>
              <w:keepNext w:val="0"/>
              <w:keepLines w:val="0"/>
              <w:pageBreakBefore w:val="0"/>
              <w:widowControl w:val="0"/>
              <w:numPr>
                <w:ilvl w:val="0"/>
                <w:numId w:val="1"/>
              </w:numPr>
              <w:kinsoku/>
              <w:wordWrap/>
              <w:overflowPunct/>
              <w:topLinePunct w:val="0"/>
              <w:autoSpaceDE/>
              <w:autoSpaceDN/>
              <w:bidi w:val="0"/>
              <w:adjustRightInd/>
              <w:spacing w:line="400" w:lineRule="exact"/>
              <w:textAlignment w:val="auto"/>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最终成果文档应包括但不限于：网络安全等级保护测评报告</w:t>
            </w:r>
            <w:r>
              <w:rPr>
                <w:rFonts w:hint="eastAsia" w:ascii="宋体" w:hAnsi="宋体" w:cs="Times New Roman"/>
                <w:szCs w:val="21"/>
                <w:lang w:val="en-US" w:eastAsia="zh-CN"/>
              </w:rPr>
              <w:t>和商用密码应用安全性评估报告</w:t>
            </w:r>
            <w:r>
              <w:rPr>
                <w:rFonts w:hint="eastAsia" w:ascii="宋体" w:hAnsi="宋体" w:eastAsia="宋体" w:cs="Times New Roman"/>
                <w:szCs w:val="21"/>
                <w:lang w:val="en-US" w:eastAsia="zh-CN"/>
              </w:rPr>
              <w:t>。</w:t>
            </w:r>
          </w:p>
          <w:p w14:paraId="2FF9A0B3">
            <w:pPr>
              <w:keepNext w:val="0"/>
              <w:keepLines w:val="0"/>
              <w:pageBreakBefore w:val="0"/>
              <w:widowControl w:val="0"/>
              <w:kinsoku/>
              <w:wordWrap/>
              <w:overflowPunct/>
              <w:topLinePunct w:val="0"/>
              <w:autoSpaceDE/>
              <w:autoSpaceDN/>
              <w:bidi w:val="0"/>
              <w:adjustRightInd/>
              <w:spacing w:line="400" w:lineRule="exact"/>
              <w:textAlignment w:val="auto"/>
              <w:rPr>
                <w:rFonts w:ascii="宋体" w:hAnsi="宋体"/>
                <w:szCs w:val="21"/>
              </w:rPr>
            </w:pPr>
            <w:r>
              <w:rPr>
                <w:rFonts w:hint="eastAsia" w:ascii="宋体" w:hAnsi="宋体"/>
                <w:szCs w:val="21"/>
                <w:lang w:val="en-US" w:eastAsia="zh-CN"/>
              </w:rPr>
              <w:t>3、服务</w:t>
            </w:r>
            <w:r>
              <w:rPr>
                <w:rFonts w:hint="eastAsia" w:ascii="宋体" w:hAnsi="宋体"/>
                <w:szCs w:val="21"/>
              </w:rPr>
              <w:t>地点：广西南宁市采购人指定地点。</w:t>
            </w:r>
          </w:p>
        </w:tc>
      </w:tr>
      <w:tr w14:paraId="5193D39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 w:hRule="atLeast"/>
          <w:jc w:val="center"/>
        </w:trPr>
        <w:tc>
          <w:tcPr>
            <w:tcW w:w="1016" w:type="pct"/>
            <w:gridSpan w:val="3"/>
            <w:tcBorders>
              <w:top w:val="single" w:color="auto" w:sz="4" w:space="0"/>
              <w:left w:val="single" w:color="auto" w:sz="4" w:space="0"/>
              <w:bottom w:val="single" w:color="auto" w:sz="4" w:space="0"/>
              <w:right w:val="single" w:color="auto" w:sz="4" w:space="0"/>
            </w:tcBorders>
            <w:noWrap w:val="0"/>
            <w:vAlign w:val="center"/>
          </w:tcPr>
          <w:p w14:paraId="03376B69">
            <w:pPr>
              <w:keepNext w:val="0"/>
              <w:keepLines w:val="0"/>
              <w:pageBreakBefore w:val="0"/>
              <w:widowControl w:val="0"/>
              <w:kinsoku/>
              <w:wordWrap/>
              <w:overflowPunct/>
              <w:topLinePunct w:val="0"/>
              <w:autoSpaceDE/>
              <w:autoSpaceDN/>
              <w:bidi w:val="0"/>
              <w:adjustRightInd/>
              <w:spacing w:line="400" w:lineRule="exact"/>
              <w:jc w:val="center"/>
              <w:textAlignment w:val="auto"/>
              <w:rPr>
                <w:rFonts w:hint="eastAsia" w:ascii="宋体" w:hAnsi="宋体" w:eastAsia="宋体" w:cs="Times New Roman"/>
                <w:szCs w:val="21"/>
                <w:lang w:eastAsia="zh-CN"/>
              </w:rPr>
            </w:pPr>
            <w:r>
              <w:rPr>
                <w:rFonts w:hint="eastAsia" w:ascii="宋体" w:hAnsi="宋体" w:eastAsia="宋体" w:cs="Times New Roman"/>
                <w:szCs w:val="21"/>
              </w:rPr>
              <w:t>验收标准</w:t>
            </w:r>
          </w:p>
        </w:tc>
        <w:tc>
          <w:tcPr>
            <w:tcW w:w="3983" w:type="pct"/>
            <w:gridSpan w:val="2"/>
            <w:tcBorders>
              <w:top w:val="single" w:color="auto" w:sz="4" w:space="0"/>
              <w:left w:val="single" w:color="auto" w:sz="4" w:space="0"/>
              <w:bottom w:val="single" w:color="auto" w:sz="4" w:space="0"/>
              <w:right w:val="single" w:color="auto" w:sz="4" w:space="0"/>
            </w:tcBorders>
            <w:noWrap w:val="0"/>
            <w:vAlign w:val="center"/>
          </w:tcPr>
          <w:p w14:paraId="2FD3919A">
            <w:pPr>
              <w:keepNext w:val="0"/>
              <w:keepLines w:val="0"/>
              <w:pageBreakBefore w:val="0"/>
              <w:widowControl w:val="0"/>
              <w:kinsoku/>
              <w:wordWrap/>
              <w:overflowPunct/>
              <w:topLinePunct w:val="0"/>
              <w:autoSpaceDE/>
              <w:autoSpaceDN/>
              <w:bidi w:val="0"/>
              <w:adjustRightInd/>
              <w:spacing w:line="400" w:lineRule="exact"/>
              <w:jc w:val="left"/>
              <w:textAlignment w:val="auto"/>
              <w:rPr>
                <w:rFonts w:hint="eastAsia" w:ascii="宋体" w:hAnsi="宋体" w:eastAsia="宋体" w:cs="Times New Roman"/>
                <w:szCs w:val="21"/>
                <w:lang w:eastAsia="zh-CN"/>
              </w:rPr>
            </w:pPr>
            <w:r>
              <w:rPr>
                <w:rFonts w:hint="eastAsia" w:ascii="宋体" w:hAnsi="宋体" w:eastAsia="宋体" w:cs="Times New Roman"/>
                <w:szCs w:val="21"/>
              </w:rPr>
              <w:t>1</w:t>
            </w:r>
            <w:r>
              <w:rPr>
                <w:rFonts w:hint="eastAsia" w:ascii="宋体" w:hAnsi="宋体" w:eastAsia="宋体" w:cs="Times New Roman"/>
                <w:szCs w:val="21"/>
                <w:lang w:eastAsia="zh-CN"/>
              </w:rPr>
              <w:t>、</w:t>
            </w:r>
            <w:r>
              <w:rPr>
                <w:rFonts w:hint="eastAsia" w:ascii="宋体" w:hAnsi="宋体" w:eastAsia="宋体" w:cs="Times New Roman"/>
                <w:szCs w:val="21"/>
              </w:rPr>
              <w:t>验收工作由采购人组织，包括但不限于以下形式：</w:t>
            </w:r>
            <w:r>
              <w:rPr>
                <w:rFonts w:hint="eastAsia" w:ascii="宋体" w:hAnsi="宋体" w:cs="Times New Roman"/>
                <w:szCs w:val="21"/>
                <w:lang w:eastAsia="zh-CN"/>
              </w:rPr>
              <w:t>成交</w:t>
            </w:r>
            <w:r>
              <w:rPr>
                <w:rFonts w:hint="eastAsia" w:ascii="宋体" w:hAnsi="宋体" w:eastAsia="宋体" w:cs="Times New Roman"/>
                <w:szCs w:val="21"/>
                <w:lang w:eastAsia="zh-CN"/>
              </w:rPr>
              <w:t>供应商检测</w:t>
            </w:r>
            <w:r>
              <w:rPr>
                <w:rFonts w:hint="eastAsia" w:ascii="宋体" w:hAnsi="宋体" w:eastAsia="宋体" w:cs="Times New Roman"/>
                <w:szCs w:val="21"/>
              </w:rPr>
              <w:t>完毕后，向采购人提供</w:t>
            </w:r>
            <w:r>
              <w:rPr>
                <w:rFonts w:hint="eastAsia" w:ascii="宋体" w:hAnsi="宋体" w:cs="Times New Roman"/>
                <w:szCs w:val="21"/>
                <w:lang w:eastAsia="zh-CN"/>
              </w:rPr>
              <w:t>服务成果</w:t>
            </w:r>
            <w:r>
              <w:rPr>
                <w:rFonts w:hint="eastAsia" w:ascii="宋体" w:hAnsi="宋体" w:eastAsia="宋体" w:cs="Times New Roman"/>
                <w:szCs w:val="21"/>
              </w:rPr>
              <w:t>，采购人派人进行验收，并在</w:t>
            </w:r>
            <w:r>
              <w:rPr>
                <w:rFonts w:hint="eastAsia" w:ascii="宋体" w:hAnsi="宋体" w:eastAsia="宋体" w:cs="Times New Roman"/>
                <w:szCs w:val="21"/>
                <w:lang w:eastAsia="zh-CN"/>
              </w:rPr>
              <w:t>验收</w:t>
            </w:r>
            <w:r>
              <w:rPr>
                <w:rFonts w:hint="eastAsia" w:ascii="宋体" w:hAnsi="宋体" w:eastAsia="宋体" w:cs="Times New Roman"/>
                <w:szCs w:val="21"/>
              </w:rPr>
              <w:t>单上签字确认</w:t>
            </w:r>
            <w:r>
              <w:rPr>
                <w:rFonts w:hint="eastAsia" w:ascii="宋体" w:hAnsi="宋体" w:eastAsia="宋体" w:cs="Times New Roman"/>
                <w:szCs w:val="21"/>
                <w:lang w:eastAsia="zh-CN"/>
              </w:rPr>
              <w:t>。</w:t>
            </w:r>
          </w:p>
          <w:p w14:paraId="7D445337">
            <w:pPr>
              <w:keepNext w:val="0"/>
              <w:keepLines w:val="0"/>
              <w:pageBreakBefore w:val="0"/>
              <w:widowControl w:val="0"/>
              <w:kinsoku/>
              <w:wordWrap/>
              <w:overflowPunct/>
              <w:topLinePunct w:val="0"/>
              <w:autoSpaceDE/>
              <w:autoSpaceDN/>
              <w:bidi w:val="0"/>
              <w:adjustRightInd/>
              <w:spacing w:line="400" w:lineRule="exact"/>
              <w:jc w:val="left"/>
              <w:textAlignment w:val="auto"/>
              <w:rPr>
                <w:rFonts w:hint="eastAsia" w:ascii="宋体" w:hAnsi="宋体" w:eastAsia="宋体" w:cs="Times New Roman"/>
                <w:szCs w:val="21"/>
                <w:lang w:val="en-US" w:eastAsia="zh-CN"/>
              </w:rPr>
            </w:pPr>
            <w:r>
              <w:rPr>
                <w:rFonts w:hint="eastAsia" w:ascii="宋体" w:hAnsi="宋体" w:eastAsia="宋体" w:cs="Times New Roman"/>
                <w:szCs w:val="21"/>
              </w:rPr>
              <w:t>2</w:t>
            </w:r>
            <w:r>
              <w:rPr>
                <w:rFonts w:hint="eastAsia" w:ascii="宋体" w:hAnsi="宋体" w:eastAsia="宋体" w:cs="Times New Roman"/>
                <w:szCs w:val="21"/>
                <w:lang w:eastAsia="zh-CN"/>
              </w:rPr>
              <w:t>、</w:t>
            </w:r>
            <w:r>
              <w:rPr>
                <w:rFonts w:hint="eastAsia" w:ascii="宋体" w:hAnsi="宋体" w:eastAsia="宋体" w:cs="Times New Roman"/>
                <w:szCs w:val="21"/>
              </w:rPr>
              <w:t>验收不通过的，根据采购人意见进行整改，直到验收通过为止，期间产生相关费用由成</w:t>
            </w:r>
            <w:r>
              <w:rPr>
                <w:rFonts w:hint="eastAsia" w:ascii="宋体" w:hAnsi="宋体" w:eastAsia="宋体" w:cs="Times New Roman"/>
                <w:szCs w:val="21"/>
                <w:lang w:eastAsia="zh-CN"/>
              </w:rPr>
              <w:t>交供应商</w:t>
            </w:r>
            <w:r>
              <w:rPr>
                <w:rFonts w:hint="eastAsia" w:ascii="宋体" w:hAnsi="宋体" w:eastAsia="宋体" w:cs="Times New Roman"/>
                <w:szCs w:val="21"/>
              </w:rPr>
              <w:t>承担。</w:t>
            </w:r>
          </w:p>
        </w:tc>
      </w:tr>
      <w:tr w14:paraId="43DAD54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 w:hRule="atLeast"/>
          <w:jc w:val="center"/>
        </w:trPr>
        <w:tc>
          <w:tcPr>
            <w:tcW w:w="1016" w:type="pct"/>
            <w:gridSpan w:val="3"/>
            <w:tcBorders>
              <w:top w:val="single" w:color="auto" w:sz="4" w:space="0"/>
              <w:left w:val="single" w:color="auto" w:sz="4" w:space="0"/>
              <w:bottom w:val="single" w:color="auto" w:sz="4" w:space="0"/>
              <w:right w:val="single" w:color="auto" w:sz="4" w:space="0"/>
            </w:tcBorders>
            <w:noWrap w:val="0"/>
            <w:vAlign w:val="center"/>
          </w:tcPr>
          <w:p w14:paraId="55105B63">
            <w:pPr>
              <w:keepNext w:val="0"/>
              <w:keepLines w:val="0"/>
              <w:pageBreakBefore w:val="0"/>
              <w:widowControl w:val="0"/>
              <w:kinsoku/>
              <w:wordWrap/>
              <w:overflowPunct/>
              <w:topLinePunct w:val="0"/>
              <w:autoSpaceDE/>
              <w:autoSpaceDN/>
              <w:bidi w:val="0"/>
              <w:adjustRightInd/>
              <w:spacing w:line="400" w:lineRule="exact"/>
              <w:jc w:val="center"/>
              <w:textAlignment w:val="auto"/>
              <w:rPr>
                <w:rFonts w:hint="eastAsia" w:ascii="宋体" w:hAnsi="宋体"/>
                <w:szCs w:val="21"/>
              </w:rPr>
            </w:pPr>
            <w:r>
              <w:rPr>
                <w:rFonts w:hint="eastAsia" w:ascii="宋体" w:hAnsi="宋体"/>
                <w:szCs w:val="21"/>
              </w:rPr>
              <w:t>付款方式</w:t>
            </w:r>
          </w:p>
        </w:tc>
        <w:tc>
          <w:tcPr>
            <w:tcW w:w="3983" w:type="pct"/>
            <w:gridSpan w:val="2"/>
            <w:tcBorders>
              <w:top w:val="single" w:color="auto" w:sz="4" w:space="0"/>
              <w:left w:val="single" w:color="auto" w:sz="4" w:space="0"/>
              <w:bottom w:val="single" w:color="auto" w:sz="4" w:space="0"/>
              <w:right w:val="single" w:color="auto" w:sz="4" w:space="0"/>
            </w:tcBorders>
            <w:noWrap w:val="0"/>
            <w:vAlign w:val="center"/>
          </w:tcPr>
          <w:p w14:paraId="11E08040">
            <w:pPr>
              <w:keepNext w:val="0"/>
              <w:keepLines w:val="0"/>
              <w:pageBreakBefore w:val="0"/>
              <w:widowControl w:val="0"/>
              <w:numPr>
                <w:ilvl w:val="0"/>
                <w:numId w:val="0"/>
              </w:numPr>
              <w:kinsoku/>
              <w:wordWrap/>
              <w:overflowPunct/>
              <w:topLinePunct w:val="0"/>
              <w:autoSpaceDE/>
              <w:autoSpaceDN/>
              <w:bidi w:val="0"/>
              <w:adjustRightInd/>
              <w:spacing w:line="400" w:lineRule="exact"/>
              <w:textAlignment w:val="auto"/>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1、本项目无预付款。</w:t>
            </w:r>
          </w:p>
          <w:p w14:paraId="3FB42243">
            <w:pPr>
              <w:keepNext w:val="0"/>
              <w:keepLines w:val="0"/>
              <w:pageBreakBefore w:val="0"/>
              <w:widowControl w:val="0"/>
              <w:numPr>
                <w:ilvl w:val="0"/>
                <w:numId w:val="0"/>
              </w:numPr>
              <w:kinsoku/>
              <w:wordWrap/>
              <w:overflowPunct/>
              <w:topLinePunct w:val="0"/>
              <w:autoSpaceDE/>
              <w:autoSpaceDN/>
              <w:bidi w:val="0"/>
              <w:adjustRightInd/>
              <w:spacing w:line="400" w:lineRule="exact"/>
              <w:textAlignment w:val="auto"/>
              <w:rPr>
                <w:rFonts w:hint="default" w:ascii="宋体" w:hAnsi="宋体" w:eastAsia="宋体" w:cs="Times New Roman"/>
                <w:szCs w:val="21"/>
                <w:lang w:val="en-US" w:eastAsia="zh-CN"/>
              </w:rPr>
            </w:pPr>
            <w:r>
              <w:rPr>
                <w:rFonts w:hint="eastAsia" w:ascii="宋体" w:hAnsi="宋体" w:eastAsia="宋体" w:cs="Times New Roman"/>
                <w:szCs w:val="21"/>
                <w:lang w:val="en-US" w:eastAsia="zh-CN"/>
              </w:rPr>
              <w:t>2、成交供应商出具</w:t>
            </w:r>
            <w:r>
              <w:rPr>
                <w:rFonts w:hint="eastAsia" w:ascii="宋体" w:hAnsi="宋体" w:cs="Times New Roman"/>
                <w:szCs w:val="21"/>
                <w:lang w:val="en-US" w:eastAsia="zh-CN"/>
              </w:rPr>
              <w:t>服务成果</w:t>
            </w:r>
            <w:r>
              <w:rPr>
                <w:rFonts w:hint="eastAsia" w:ascii="宋体" w:hAnsi="宋体" w:eastAsia="宋体" w:cs="Times New Roman"/>
                <w:szCs w:val="21"/>
                <w:lang w:val="en-US" w:eastAsia="zh-CN"/>
              </w:rPr>
              <w:t>并经采购人验收合格后，成交供应商开</w:t>
            </w:r>
            <w:r>
              <w:rPr>
                <w:rFonts w:hint="eastAsia" w:ascii="宋体" w:hAnsi="宋体" w:eastAsia="宋体" w:cs="Times New Roman"/>
                <w:szCs w:val="21"/>
                <w:highlight w:val="none"/>
                <w:lang w:val="en-US" w:eastAsia="zh-CN"/>
              </w:rPr>
              <w:t>具全额增值税普通发票给采购</w:t>
            </w:r>
            <w:r>
              <w:rPr>
                <w:rFonts w:hint="eastAsia" w:ascii="宋体" w:hAnsi="宋体" w:eastAsia="宋体" w:cs="Times New Roman"/>
                <w:szCs w:val="21"/>
                <w:lang w:val="en-US" w:eastAsia="zh-CN"/>
              </w:rPr>
              <w:t>人后，采购人收到有效票据10个工作日内以转账方式支付到成交供应商指定银行账户。</w:t>
            </w:r>
          </w:p>
          <w:p w14:paraId="4ECD6A90">
            <w:pPr>
              <w:keepNext w:val="0"/>
              <w:keepLines w:val="0"/>
              <w:pageBreakBefore w:val="0"/>
              <w:widowControl w:val="0"/>
              <w:numPr>
                <w:ilvl w:val="0"/>
                <w:numId w:val="0"/>
              </w:numPr>
              <w:kinsoku/>
              <w:wordWrap/>
              <w:overflowPunct/>
              <w:topLinePunct w:val="0"/>
              <w:autoSpaceDE/>
              <w:autoSpaceDN/>
              <w:bidi w:val="0"/>
              <w:adjustRightInd/>
              <w:spacing w:line="400" w:lineRule="exact"/>
              <w:textAlignment w:val="auto"/>
              <w:rPr>
                <w:rFonts w:hint="eastAsia" w:ascii="宋体" w:hAnsi="宋体"/>
                <w:sz w:val="21"/>
                <w:szCs w:val="21"/>
                <w:lang w:eastAsia="zh-CN"/>
              </w:rPr>
            </w:pPr>
            <w:r>
              <w:rPr>
                <w:rFonts w:hint="eastAsia" w:ascii="宋体" w:hAnsi="宋体" w:eastAsia="宋体" w:cs="Times New Roman"/>
                <w:szCs w:val="21"/>
                <w:lang w:val="en-US" w:eastAsia="zh-CN"/>
              </w:rPr>
              <w:t>3、</w:t>
            </w:r>
            <w:r>
              <w:rPr>
                <w:rFonts w:hint="eastAsia" w:ascii="宋体" w:hAnsi="宋体" w:cs="宋体"/>
                <w:szCs w:val="21"/>
                <w:highlight w:val="none"/>
                <w:lang w:val="en-US" w:eastAsia="zh-CN"/>
              </w:rPr>
              <w:t>采购人</w:t>
            </w:r>
            <w:r>
              <w:rPr>
                <w:rFonts w:hint="eastAsia" w:ascii="宋体" w:hAnsi="宋体" w:cs="宋体"/>
                <w:szCs w:val="21"/>
                <w:highlight w:val="none"/>
              </w:rPr>
              <w:t>未收到发票的，有权不予支付相应款项，直至</w:t>
            </w:r>
            <w:r>
              <w:rPr>
                <w:rFonts w:hint="eastAsia" w:ascii="宋体" w:hAnsi="宋体" w:cs="宋体"/>
                <w:szCs w:val="21"/>
                <w:highlight w:val="none"/>
                <w:lang w:val="en-US" w:eastAsia="zh-CN"/>
              </w:rPr>
              <w:t>成交供应商</w:t>
            </w:r>
            <w:r>
              <w:rPr>
                <w:rFonts w:hint="eastAsia" w:ascii="宋体" w:hAnsi="宋体" w:cs="宋体"/>
                <w:szCs w:val="21"/>
                <w:highlight w:val="none"/>
              </w:rPr>
              <w:t>提供合格票据，</w:t>
            </w:r>
            <w:r>
              <w:rPr>
                <w:rFonts w:hint="eastAsia" w:ascii="宋体" w:hAnsi="宋体" w:cs="宋体"/>
                <w:szCs w:val="21"/>
                <w:highlight w:val="none"/>
                <w:lang w:val="en-US" w:eastAsia="zh-CN"/>
              </w:rPr>
              <w:t>采购人</w:t>
            </w:r>
            <w:r>
              <w:rPr>
                <w:rFonts w:hint="eastAsia" w:ascii="宋体" w:hAnsi="宋体" w:cs="宋体"/>
                <w:szCs w:val="21"/>
                <w:highlight w:val="none"/>
              </w:rPr>
              <w:t>不承担延迟付款责任。</w:t>
            </w:r>
          </w:p>
        </w:tc>
      </w:tr>
      <w:tr w14:paraId="6E84FB1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 w:hRule="atLeast"/>
          <w:jc w:val="center"/>
        </w:trPr>
        <w:tc>
          <w:tcPr>
            <w:tcW w:w="1016" w:type="pct"/>
            <w:gridSpan w:val="3"/>
            <w:tcBorders>
              <w:top w:val="single" w:color="auto" w:sz="4" w:space="0"/>
              <w:left w:val="single" w:color="auto" w:sz="4" w:space="0"/>
              <w:bottom w:val="single" w:color="auto" w:sz="4" w:space="0"/>
              <w:right w:val="single" w:color="auto" w:sz="4" w:space="0"/>
            </w:tcBorders>
            <w:noWrap w:val="0"/>
            <w:vAlign w:val="center"/>
          </w:tcPr>
          <w:p w14:paraId="2A724E4A">
            <w:pPr>
              <w:keepNext w:val="0"/>
              <w:keepLines w:val="0"/>
              <w:pageBreakBefore w:val="0"/>
              <w:widowControl w:val="0"/>
              <w:kinsoku/>
              <w:wordWrap/>
              <w:overflowPunct/>
              <w:topLinePunct w:val="0"/>
              <w:autoSpaceDE/>
              <w:autoSpaceDN/>
              <w:bidi w:val="0"/>
              <w:adjustRightInd/>
              <w:spacing w:line="400" w:lineRule="exact"/>
              <w:jc w:val="center"/>
              <w:textAlignment w:val="auto"/>
              <w:rPr>
                <w:rFonts w:hint="eastAsia" w:ascii="宋体" w:hAnsi="宋体"/>
                <w:szCs w:val="21"/>
                <w:lang w:eastAsia="zh-CN"/>
              </w:rPr>
            </w:pPr>
            <w:r>
              <w:rPr>
                <w:rFonts w:hint="eastAsia" w:ascii="宋体" w:hAnsi="宋体"/>
                <w:szCs w:val="21"/>
                <w:lang w:eastAsia="zh-CN"/>
              </w:rPr>
              <w:t>保密要求</w:t>
            </w:r>
          </w:p>
        </w:tc>
        <w:tc>
          <w:tcPr>
            <w:tcW w:w="3983" w:type="pct"/>
            <w:gridSpan w:val="2"/>
            <w:tcBorders>
              <w:top w:val="single" w:color="auto" w:sz="4" w:space="0"/>
              <w:left w:val="single" w:color="auto" w:sz="4" w:space="0"/>
              <w:bottom w:val="single" w:color="auto" w:sz="4" w:space="0"/>
              <w:right w:val="single" w:color="auto" w:sz="4" w:space="0"/>
            </w:tcBorders>
            <w:noWrap w:val="0"/>
            <w:vAlign w:val="center"/>
          </w:tcPr>
          <w:p w14:paraId="23B1793B">
            <w:pPr>
              <w:keepNext w:val="0"/>
              <w:keepLines w:val="0"/>
              <w:pageBreakBefore w:val="0"/>
              <w:widowControl w:val="0"/>
              <w:numPr>
                <w:ilvl w:val="0"/>
                <w:numId w:val="0"/>
              </w:numPr>
              <w:kinsoku/>
              <w:wordWrap/>
              <w:overflowPunct/>
              <w:topLinePunct w:val="0"/>
              <w:autoSpaceDE/>
              <w:autoSpaceDN/>
              <w:bidi w:val="0"/>
              <w:adjustRightInd/>
              <w:spacing w:line="400" w:lineRule="exact"/>
              <w:ind w:firstLine="420" w:firstLineChars="200"/>
              <w:jc w:val="both"/>
              <w:textAlignment w:val="auto"/>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成交供应商应对整个项目建设和维护过程中获知的任何采购方系统信息均不得泄露给第三方单位或个人，不得利用这些信息进行任何侵害客户的行为；对系统各类报告和资料不得扩散给第三方单位或个人。</w:t>
            </w:r>
          </w:p>
        </w:tc>
      </w:tr>
    </w:tbl>
    <w:p w14:paraId="0A86C9B2">
      <w:pPr>
        <w:spacing w:line="440" w:lineRule="exact"/>
        <w:jc w:val="center"/>
        <w:rPr>
          <w:rFonts w:hint="eastAsia" w:ascii="宋体" w:hAnsi="宋体"/>
          <w:szCs w:val="21"/>
        </w:rPr>
      </w:pPr>
    </w:p>
    <w:p w14:paraId="5FEFF48B">
      <w:pPr>
        <w:spacing w:line="440" w:lineRule="exact"/>
        <w:jc w:val="center"/>
        <w:rPr>
          <w:rFonts w:hint="eastAsia" w:ascii="宋体" w:hAnsi="宋体"/>
          <w:szCs w:val="21"/>
        </w:rPr>
      </w:pPr>
    </w:p>
    <w:p w14:paraId="2643D77F">
      <w:pPr>
        <w:spacing w:line="440" w:lineRule="exact"/>
        <w:jc w:val="center"/>
        <w:rPr>
          <w:rFonts w:hint="eastAsia" w:ascii="宋体" w:hAnsi="宋体"/>
          <w:szCs w:val="21"/>
        </w:rPr>
      </w:pPr>
    </w:p>
    <w:p w14:paraId="6D45D76F">
      <w:pPr>
        <w:spacing w:line="440" w:lineRule="exact"/>
        <w:jc w:val="center"/>
        <w:rPr>
          <w:rFonts w:hint="eastAsia" w:ascii="宋体" w:hAnsi="宋体"/>
          <w:szCs w:val="21"/>
        </w:rPr>
      </w:pPr>
    </w:p>
    <w:p w14:paraId="3DB350F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2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B525842"/>
    <w:multiLevelType w:val="singleLevel"/>
    <w:tmpl w:val="CB525842"/>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09D4673"/>
    <w:rsid w:val="189B1E27"/>
    <w:rsid w:val="462B7D71"/>
    <w:rsid w:val="5D4445B1"/>
    <w:rsid w:val="62740327"/>
    <w:rsid w:val="72D20D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2"/>
    <w:basedOn w:val="1"/>
    <w:next w:val="1"/>
    <w:qFormat/>
    <w:uiPriority w:val="9"/>
    <w:pPr>
      <w:keepNext/>
      <w:keepLines/>
      <w:spacing w:before="260" w:after="260" w:line="416" w:lineRule="auto"/>
      <w:outlineLvl w:val="1"/>
    </w:pPr>
    <w:rPr>
      <w:rFonts w:ascii="Cambria" w:hAnsi="Cambria"/>
      <w:b/>
      <w:bCs/>
      <w:sz w:val="32"/>
      <w:szCs w:val="32"/>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Indent 2"/>
    <w:basedOn w:val="1"/>
    <w:unhideWhenUsed/>
    <w:qFormat/>
    <w:uiPriority w:val="0"/>
    <w:pPr>
      <w:spacing w:after="120" w:line="480" w:lineRule="auto"/>
      <w:ind w:left="420" w:leftChars="200"/>
    </w:pPr>
  </w:style>
  <w:style w:type="paragraph" w:styleId="4">
    <w:name w:val="annotation text"/>
    <w:basedOn w:val="1"/>
    <w:qFormat/>
    <w:uiPriority w:val="0"/>
    <w:pPr>
      <w:jc w:val="left"/>
    </w:pPr>
  </w:style>
  <w:style w:type="paragraph" w:styleId="5">
    <w:name w:val="Body Text Indent"/>
    <w:basedOn w:val="1"/>
    <w:qFormat/>
    <w:uiPriority w:val="0"/>
    <w:pPr>
      <w:ind w:firstLine="830" w:firstLineChars="352"/>
    </w:pPr>
    <w:rPr>
      <w:rFonts w:ascii="仿宋_GB2312" w:eastAsia="仿宋_GB2312"/>
      <w:kern w:val="0"/>
      <w:sz w:val="32"/>
      <w:szCs w:val="20"/>
    </w:rPr>
  </w:style>
  <w:style w:type="paragraph" w:styleId="6">
    <w:name w:val="Plain Text"/>
    <w:basedOn w:val="1"/>
    <w:next w:val="1"/>
    <w:qFormat/>
    <w:uiPriority w:val="0"/>
    <w:rPr>
      <w:rFonts w:ascii="宋体" w:hAnsi="Courier New"/>
      <w:kern w:val="0"/>
      <w:sz w:val="20"/>
      <w:szCs w:val="21"/>
    </w:rPr>
  </w:style>
  <w:style w:type="paragraph" w:styleId="7">
    <w:name w:val="footer"/>
    <w:basedOn w:val="1"/>
    <w:unhideWhenUsed/>
    <w:qFormat/>
    <w:uiPriority w:val="0"/>
    <w:pPr>
      <w:tabs>
        <w:tab w:val="center" w:pos="4153"/>
        <w:tab w:val="right" w:pos="8306"/>
      </w:tabs>
      <w:snapToGrid w:val="0"/>
      <w:jc w:val="left"/>
    </w:pPr>
    <w:rPr>
      <w:rFonts w:ascii="Calibri" w:hAnsi="Calibri"/>
      <w:kern w:val="0"/>
      <w:sz w:val="18"/>
      <w:szCs w:val="18"/>
    </w:rPr>
  </w:style>
  <w:style w:type="paragraph" w:styleId="8">
    <w:name w:val="Title"/>
    <w:basedOn w:val="1"/>
    <w:next w:val="1"/>
    <w:qFormat/>
    <w:uiPriority w:val="10"/>
    <w:pPr>
      <w:ind w:firstLine="0" w:firstLineChars="0"/>
      <w:jc w:val="center"/>
      <w:outlineLvl w:val="0"/>
    </w:pPr>
    <w:rPr>
      <w:rFonts w:ascii="Cambria" w:hAnsi="Cambria" w:cs="Times New Roman"/>
      <w:b/>
      <w:bCs/>
      <w:sz w:val="44"/>
      <w:szCs w:val="32"/>
    </w:rPr>
  </w:style>
  <w:style w:type="paragraph" w:styleId="9">
    <w:name w:val="Body Text First Indent 2"/>
    <w:basedOn w:val="5"/>
    <w:next w:val="1"/>
    <w:qFormat/>
    <w:uiPriority w:val="0"/>
    <w:pPr>
      <w:spacing w:line="360" w:lineRule="auto"/>
      <w:ind w:firstLine="0"/>
    </w:pPr>
    <w:rPr>
      <w:sz w:val="24"/>
    </w:rPr>
  </w:style>
  <w:style w:type="paragraph" w:customStyle="1" w:styleId="12">
    <w:name w:val="Default"/>
    <w:basedOn w:val="8"/>
    <w:qFormat/>
    <w:uiPriority w:val="0"/>
    <w:pPr>
      <w:widowControl w:val="0"/>
      <w:autoSpaceDE w:val="0"/>
      <w:autoSpaceDN w:val="0"/>
      <w:adjustRightInd w:val="0"/>
    </w:pPr>
    <w:rPr>
      <w:rFonts w:ascii="微软雅黑" w:hAnsi="微软雅黑" w:cs="微软雅黑"/>
      <w:color w:val="000000"/>
      <w:sz w:val="24"/>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432941c7-e7fb-4157-86d7-6d3e69699166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4F3BAA7D</paraID>
      <start>0</start>
      <end>2</end>
      <status>unmodified</status>
      <modifiedWord/>
      <trackRevisions>false</trackRevisions>
    </reviewItem>
    <reviewItem>
      <errorID>fc5f8cef-10bd-4dd3-a724-b612441e0ccc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2BF6F9A2</paraID>
      <start>0</start>
      <end>2</end>
      <status>unmodified</status>
      <modifiedWord/>
      <trackRevisions>false</trackRevisions>
    </reviewItem>
    <reviewItem>
      <errorID>3c703a88-5888-4953-a497-432378aff942</errorID>
      <errorWord>）</errorWord>
      <group>L1_Word</group>
      <groupName>字词问题</groupName>
      <ability>L2_Typo</ability>
      <abilityName>字词错误</abilityName>
      <candidateList>
        <item>）等</item>
      </candidateList>
      <explain/>
      <paraID>35B31556</paraID>
      <start>46</start>
      <end>47</end>
      <status>unmodified</status>
      <modifiedWord/>
      <trackRevisions>false</trackRevisions>
    </reviewItem>
    <reviewItem>
      <errorID>61f79c3f-c6ec-4f9b-a85f-ffb2f99f0a79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AFA7925</paraID>
      <start>0</start>
      <end>2</end>
      <status>unmodified</status>
      <modifiedWord/>
      <trackRevisions>false</trackRevisions>
    </reviewItem>
    <reviewItem>
      <errorID>205df135-f525-4dfa-916c-2b5b1f4db509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4FF43116</paraID>
      <start>0</start>
      <end>2</end>
      <status>unmodified</status>
      <modifiedWord/>
      <trackRevisions>false</trackRevisions>
    </reviewItem>
    <reviewItem>
      <errorID>454706ad-03eb-41de-a7e4-42c6dc618cbd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8CD5B67</paraID>
      <start>0</start>
      <end>2</end>
      <status>unmodified</status>
      <modifiedWord/>
      <trackRevisions>false</trackRevisions>
    </reviewItem>
    <reviewItem>
      <errorID>b8c5991e-5cc0-4fdb-b7ee-af8bb2e49cc2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3160DE0B</paraID>
      <start>0</start>
      <end>2</end>
      <status>unmodified</status>
      <modifiedWord/>
      <trackRevisions>false</trackRevisions>
    </reviewItem>
    <reviewItem>
      <errorID>17c2d322-a2aa-44e0-be53-42bd6b6e7194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47156A04</paraID>
      <start>0</start>
      <end>2</end>
      <status>unmodified</status>
      <modifiedWord/>
      <trackRevisions>false</trackRevisions>
    </reviewItem>
    <reviewItem>
      <errorID>35bbca52-154c-4290-afa8-bf1ee94dceb3</errorID>
      <errorWord>反应</errorWord>
      <group>L1_Word</group>
      <groupName>字词问题</groupName>
      <ability>L2_Typo</ability>
      <abilityName>字词错误</abilityName>
      <candidateList>
        <item>反映</item>
      </candidateList>
      <explain/>
      <paraID>71F808B9</paraID>
      <start>71</start>
      <end>73</end>
      <status>modified</status>
      <modifiedWord>反映</modifiedWord>
      <trackRevisions>false</trackRevisions>
    </reviewItem>
    <reviewItem>
      <errorID>2fe82c7a-3626-46fe-bbdb-6754576fe37a</errorID>
      <errorWord>质童</errorWord>
      <group>L1_Word</group>
      <groupName>字词问题</groupName>
      <ability>L2_Typo</ability>
      <abilityName>字词错误</abilityName>
      <candidateList>
        <item>质量</item>
      </candidateList>
      <explain/>
      <paraID>2F5283BD</paraID>
      <start>43</start>
      <end>45</end>
      <status>modified</status>
      <modifiedWord>质量</modifiedWord>
      <trackRevisions>false</trackRevisions>
    </reviewItem>
    <reviewItem>
      <errorID>cd638aea-c6f0-48d7-9fb3-2d5f5bc2f1c1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C03DE17</paraID>
      <start>0</start>
      <end>2</end>
      <status>unmodified</status>
      <modifiedWord/>
      <trackRevisions>false</trackRevisions>
    </reviewItem>
    <reviewItem>
      <errorID>2374684f-d89f-4a6c-8115-bc4b47f9a9a4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759AA081</paraID>
      <start>0</start>
      <end>2</end>
      <status>unmodified</status>
      <modifiedWord/>
      <trackRevisions>false</trackRevisions>
    </reviewItem>
    <reviewItem>
      <errorID>d4f38c41-a6c3-4141-8345-651f6b59d3cd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65F1ED9B</paraID>
      <start>0</start>
      <end>2</end>
      <status>unmodified</status>
      <modifiedWord/>
      <trackRevisions>false</trackRevisions>
    </reviewItem>
    <reviewItem>
      <errorID>07108bd1-3848-44f4-8896-906bfe8b03e5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5C716651</paraID>
      <start>0</start>
      <end>2</end>
      <status>unmodified</status>
      <modifiedWord/>
      <trackRevisions>false</trackRevisions>
    </reviewItem>
    <reviewItem>
      <errorID>201e1e0b-cfcb-4fb1-826d-57ccff53c910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2FF9A0B3</paraID>
      <start>0</start>
      <end>2</end>
      <status>unmodified</status>
      <modifiedWord/>
      <trackRevisions>false</trackRevisions>
    </reviewItem>
    <reviewItem>
      <errorID>2eaec171-84e5-453d-a282-d4a91d4222dd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2FD3919A</paraID>
      <start>0</start>
      <end>2</end>
      <status>unmodified</status>
      <modifiedWord/>
      <trackRevisions>false</trackRevisions>
    </reviewItem>
    <reviewItem>
      <errorID>f5fdadb1-daad-4cde-af35-494570eaadee</errorID>
      <errorWord>，</errorWord>
      <group>L1_Word</group>
      <groupName>字词问题</groupName>
      <ability>L2_Typo</ability>
      <abilityName>字词错误</abilityName>
      <candidateList>
        <item>，由</item>
      </candidateList>
      <explain/>
      <paraID>2FD3919A</paraID>
      <start>45</start>
      <end>46</end>
      <status>unmodified</status>
      <modifiedWord/>
      <trackRevisions>false</trackRevisions>
    </reviewItem>
    <reviewItem>
      <errorID>c2997dc9-dc02-4a17-8cef-6b9ee423ed3c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7D445337</paraID>
      <start>0</start>
      <end>2</end>
      <status>unmodified</status>
      <modifiedWord/>
      <trackRevisions>false</trackRevisions>
    </reviewItem>
    <reviewItem>
      <errorID>506bf5d5-4c4c-455a-a974-9881f8629fe1</errorID>
      <errorWord>期间</errorWord>
      <group>L1_Word</group>
      <groupName>字词问题</groupName>
      <ability>L2_Typo</ability>
      <abilityName>字词错误</abilityName>
      <candidateList>
        <item>其间</item>
      </candidateList>
      <explain/>
      <paraID>7D445337</paraID>
      <start>30</start>
      <end>32</end>
      <status>unmodified</status>
      <modifiedWord/>
      <trackRevisions>false</trackRevisions>
    </reviewItem>
    <reviewItem>
      <errorID>5d4930c6-783b-429d-8b98-e0d76ced59bf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11E08040</paraID>
      <start>0</start>
      <end>2</end>
      <status>unmodified</status>
      <modifiedWord/>
      <trackRevisions>false</trackRevisions>
    </reviewItem>
    <reviewItem>
      <errorID>1cdfe9fe-9c2f-4028-a210-00aaa8bad72f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3FB42243</paraID>
      <start>0</start>
      <end>2</end>
      <status>unmodified</status>
      <modifiedWord/>
      <trackRevisions>false</trackRevisions>
    </reviewItem>
    <reviewItem>
      <errorID>0a3a8803-0993-45d5-9bab-94ef4cae1bfe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4ECD6A90</paraID>
      <start>0</start>
      <end>2</end>
      <status>unmodified</status>
      <modifiedWord/>
      <trackRevisions>false</trackRevisions>
    </reviewItem>
    <reviewItem>
      <errorID>74440501-96b1-4644-a9aa-0ba40ae1766e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1E92E23E</paraID>
      <start>0</start>
      <end>2</end>
      <status>unmodified</status>
      <modifiedWord/>
      <trackRevisions>false</trackRevisions>
    </reviewItem>
    <reviewItem>
      <errorID>68cb1d67-5617-4de9-a71c-1802b218df4e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70FFC16E</paraID>
      <start>0</start>
      <end>2</end>
      <status>unmodified</status>
      <modifiedWord/>
      <trackRevisions>false</trackRevisions>
    </reviewItem>
    <reviewItem>
      <errorID>79954c2f-06eb-4c75-a952-3e237194d1c6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60AAF2AF</paraID>
      <start>0</start>
      <end>2</end>
      <status>unmodified</status>
      <modifiedWord/>
      <trackRevisions>false</trackRevisions>
    </reviewItem>
    <reviewItem>
      <errorID>e35ee0bb-43fc-4d2b-8eec-c6a559fbee0b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618F3635</paraID>
      <start>0</start>
      <end>2</end>
      <status>unmodified</status>
      <modifiedWord/>
      <trackRevisions>false</trackRevisions>
    </reviewItem>
    <reviewItem>
      <errorID>ca4e71ff-bb6a-4a83-9927-9f556b3e8858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1583087D</paraID>
      <start>0</start>
      <end>2</end>
      <status>unmodified</status>
      <modifiedWord/>
      <trackRevisions>false</trackRevisions>
    </reviewItem>
    <reviewItem>
      <errorID>83384fe6-d092-4351-a113-f9117dcd851d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19BE62AC</paraID>
      <start>0</start>
      <end>2</end>
      <status>unmodified</status>
      <modifiedWord/>
      <trackRevisions>false</trackRevisions>
    </reviewItem>
    <reviewItem>
      <errorID>91e73f8b-c28d-4eff-a189-495b64076d0b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10014A78</paraID>
      <start>0</start>
      <end>2</end>
      <status>unmodified</status>
      <modifiedWord/>
      <trackRevisions>false</trackRevisions>
    </reviewItem>
    <reviewItem>
      <errorID>49d7577c-4251-4fc0-818c-3043f6b995e8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D6C49F</paraID>
      <start>0</start>
      <end>2</end>
      <status>unmodified</status>
      <modifiedWord/>
      <trackRevisions>false</trackRevisions>
    </reviewItem>
    <reviewItem>
      <errorID>d9f61d52-e049-4260-8008-421d47bf189c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3FB3CDFB</paraID>
      <start>0</start>
      <end>2</end>
      <status>unmodified</status>
      <modifiedWord/>
      <trackRevisions>false</trackRevisions>
    </reviewItem>
    <reviewItem>
      <errorID>d6434924-df34-45a5-a31b-cd3fc7f2c429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1BD7C14E</paraID>
      <start>0</start>
      <end>2</end>
      <status>unmodified</status>
      <modifiedWord/>
      <trackRevisions>false</trackRevisions>
    </reviewItem>
    <reviewItem>
      <errorID>de21be62-c039-4a3e-bb95-c0f3ec35c2d7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13AEAE8</paraID>
      <start>0</start>
      <end>2</end>
      <status>unmodified</status>
      <modifiedWord/>
      <trackRevisions>false</trackRevisions>
    </reviewItem>
    <reviewItem>
      <errorID>e40efa5f-05ea-48a9-bec7-8400ee5ab945</errorID>
      <errorWord>任何的</errorWord>
      <group>L1_Word</group>
      <groupName>字词问题</groupName>
      <ability>L2_Typo</ability>
      <abilityName>字词错误</abilityName>
      <candidateList>
        <item>任何</item>
      </candidateList>
      <explain/>
      <paraID> 13AEAE8</paraID>
      <start>23</start>
      <end>26</end>
      <status>unmodified</status>
      <modifiedWord/>
      <trackRevisions>false</trackRevisions>
    </reviewItem>
    <reviewItem>
      <errorID>f0d2c290-23e6-4c60-994f-8ba2f9792984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F60BE41</paraID>
      <start>0</start>
      <end>2</end>
      <status>unmodified</status>
      <modifiedWord/>
      <trackRevisions>false</trackRevisions>
    </reviewItem>
    <reviewItem>
      <errorID>ee931648-f94b-4f3e-a222-c48c2a68c27d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664CD1FE</paraID>
      <start>0</start>
      <end>2</end>
      <status>unmodified</status>
      <modifiedWord/>
      <trackRevisions>false</trackRevisions>
    </reviewItem>
    <reviewItem>
      <errorID>362acb0a-0ed1-4e29-bb08-5353584ba8c2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52268E3</paraID>
      <start>0</start>
      <end>2</end>
      <status>unmodified</status>
      <modifiedWord/>
      <trackRevisions>false</trackRevisions>
    </reviewItem>
    <reviewItem>
      <errorID>9fabf210-8664-43aa-9dfd-4d73d4145a1a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7D9274FA</paraID>
      <start>0</start>
      <end>2</end>
      <status>unmodified</status>
      <modifiedWord/>
      <trackRevisions>false</trackRevisions>
    </reviewItem>
    <reviewItem>
      <errorID>c93bb411-0327-44ec-bba9-ba104d6f0fe3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214253DA</paraID>
      <start>0</start>
      <end>2</end>
      <status>unmodified</status>
      <modifiedWord/>
      <trackRevisions>false</trackRevisions>
    </reviewItem>
    <reviewItem>
      <errorID>5882235d-1f26-431a-a42d-6af24cef1f42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31F8BCFB</paraID>
      <start>0</start>
      <end>2</end>
      <status>unmodified</status>
      <modifiedWord/>
      <trackRevisions>false</trackRevisions>
    </reviewItem>
  </reviewItems>
  <config/>
</contractReview>
</file>

<file path=customXml/itemProps1.xml><?xml version="1.0" encoding="utf-8"?>
<ds:datastoreItem xmlns:ds="http://schemas.openxmlformats.org/officeDocument/2006/customXml" ds:itemID="{e3dccbb3-70ea-46ba-bffc-22bc9b5d141f}">
  <ds:schemaRefs/>
</ds:datastoreItem>
</file>

<file path=docProps/app.xml><?xml version="1.0" encoding="utf-8"?>
<Properties xmlns="http://schemas.openxmlformats.org/officeDocument/2006/extended-properties" xmlns:vt="http://schemas.openxmlformats.org/officeDocument/2006/docPropsVTypes">
  <Template>Normal.dotm</Template>
  <Pages>5</Pages>
  <Words>4040</Words>
  <Characters>4181</Characters>
  <Lines>0</Lines>
  <Paragraphs>0</Paragraphs>
  <TotalTime>93</TotalTime>
  <ScaleCrop>false</ScaleCrop>
  <LinksUpToDate>false</LinksUpToDate>
  <CharactersWithSpaces>4203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2026-07-22T01:12:00Z</dcterms:created>
  <dc:creator>86182</dc:creator>
  <cp:lastModifiedBy>梁璟</cp:lastModifiedBy>
  <dcterms:modified xsi:type="dcterms:W3CDTF">2026-07-22T08:10:46Z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eyJoZGlkIjoiMWNkOGFlZDM1NTkzMTg4MjViOWI4YWFhZWMzYTg5ODMiLCJ1c2VySWQiOiI4NzE5NjYxNDQifQ==</vt:lpwstr>
  </property>
  <property fmtid="{D5CDD505-2E9C-101B-9397-08002B2CF9AE}" pid="4" name="ICV">
    <vt:lpwstr>C786F4BC029C4A839AE586AE1F2DA49C_12</vt:lpwstr>
  </property>
</Properties>
</file>