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810C7F">
      <w:r>
        <w:rPr>
          <w:rFonts w:hint="eastAsia"/>
        </w:rPr>
        <w:t>附件1</w:t>
      </w:r>
    </w:p>
    <w:p w14:paraId="77C94038"/>
    <w:tbl>
      <w:tblPr>
        <w:tblStyle w:val="5"/>
        <w:tblpPr w:leftFromText="180" w:rightFromText="180" w:vertAnchor="text" w:tblpXSpec="center" w:tblpY="1"/>
        <w:tblOverlap w:val="never"/>
        <w:tblW w:w="9541"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9"/>
        <w:gridCol w:w="1048"/>
        <w:gridCol w:w="541"/>
        <w:gridCol w:w="1006"/>
        <w:gridCol w:w="720"/>
        <w:gridCol w:w="5707"/>
      </w:tblGrid>
      <w:tr w14:paraId="015E30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9541" w:type="dxa"/>
            <w:gridSpan w:val="6"/>
            <w:tcBorders>
              <w:top w:val="single" w:color="auto" w:sz="4" w:space="0"/>
              <w:left w:val="single" w:color="auto" w:sz="4" w:space="0"/>
              <w:right w:val="single" w:color="auto" w:sz="4" w:space="0"/>
            </w:tcBorders>
            <w:vAlign w:val="center"/>
          </w:tcPr>
          <w:p w14:paraId="7EB1AD9C">
            <w:pPr>
              <w:spacing w:line="360" w:lineRule="auto"/>
              <w:jc w:val="center"/>
              <w:rPr>
                <w:rFonts w:hint="eastAsia" w:ascii="宋体" w:hAnsi="宋体" w:cs="宋体"/>
                <w:b/>
                <w:bCs/>
                <w:szCs w:val="21"/>
              </w:rPr>
            </w:pPr>
            <w:r>
              <w:rPr>
                <w:rFonts w:hint="eastAsia" w:ascii="宋体" w:hAnsi="宋体" w:cs="宋体"/>
                <w:b/>
                <w:bCs/>
                <w:szCs w:val="21"/>
              </w:rPr>
              <w:t>服务需求一览表</w:t>
            </w:r>
          </w:p>
        </w:tc>
      </w:tr>
      <w:tr w14:paraId="4A99DC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19" w:type="dxa"/>
            <w:tcBorders>
              <w:top w:val="single" w:color="auto" w:sz="4" w:space="0"/>
              <w:left w:val="single" w:color="auto" w:sz="4" w:space="0"/>
              <w:right w:val="single" w:color="auto" w:sz="4" w:space="0"/>
            </w:tcBorders>
            <w:vAlign w:val="center"/>
          </w:tcPr>
          <w:p w14:paraId="158627A5">
            <w:pPr>
              <w:spacing w:line="360" w:lineRule="auto"/>
              <w:jc w:val="center"/>
              <w:rPr>
                <w:rFonts w:hint="eastAsia" w:ascii="宋体" w:hAnsi="宋体" w:cs="宋体"/>
                <w:szCs w:val="21"/>
              </w:rPr>
            </w:pPr>
            <w:r>
              <w:rPr>
                <w:rFonts w:hint="eastAsia" w:ascii="宋体" w:hAnsi="宋体" w:cs="宋体"/>
                <w:szCs w:val="21"/>
              </w:rPr>
              <w:t>序号</w:t>
            </w:r>
          </w:p>
        </w:tc>
        <w:tc>
          <w:tcPr>
            <w:tcW w:w="1589" w:type="dxa"/>
            <w:gridSpan w:val="2"/>
            <w:tcBorders>
              <w:top w:val="single" w:color="auto" w:sz="4" w:space="0"/>
              <w:left w:val="single" w:color="auto" w:sz="4" w:space="0"/>
              <w:right w:val="single" w:color="auto" w:sz="4" w:space="0"/>
            </w:tcBorders>
            <w:vAlign w:val="center"/>
          </w:tcPr>
          <w:p w14:paraId="56AB9ABD">
            <w:pPr>
              <w:spacing w:line="360" w:lineRule="auto"/>
              <w:jc w:val="center"/>
              <w:rPr>
                <w:rFonts w:hint="eastAsia" w:ascii="宋体" w:hAnsi="宋体" w:cs="宋体"/>
                <w:szCs w:val="21"/>
              </w:rPr>
            </w:pPr>
            <w:r>
              <w:rPr>
                <w:rFonts w:hint="eastAsia" w:ascii="宋体" w:hAnsi="宋体" w:cs="宋体"/>
                <w:szCs w:val="21"/>
              </w:rPr>
              <w:t>所需试剂耗材名称</w:t>
            </w:r>
          </w:p>
        </w:tc>
        <w:tc>
          <w:tcPr>
            <w:tcW w:w="1006" w:type="dxa"/>
            <w:tcBorders>
              <w:top w:val="single" w:color="auto" w:sz="4" w:space="0"/>
              <w:left w:val="single" w:color="auto" w:sz="4" w:space="0"/>
              <w:right w:val="single" w:color="auto" w:sz="4" w:space="0"/>
            </w:tcBorders>
            <w:vAlign w:val="center"/>
          </w:tcPr>
          <w:p w14:paraId="105C3A0A">
            <w:pPr>
              <w:spacing w:line="360" w:lineRule="auto"/>
              <w:jc w:val="center"/>
              <w:rPr>
                <w:rFonts w:hint="eastAsia" w:cs="宋体" w:asciiTheme="minorEastAsia" w:hAnsiTheme="minorEastAsia" w:eastAsiaTheme="minorEastAsia"/>
                <w:szCs w:val="21"/>
              </w:rPr>
            </w:pPr>
          </w:p>
          <w:p w14:paraId="3D2B46AF">
            <w:pPr>
              <w:pStyle w:val="2"/>
              <w:jc w:val="center"/>
              <w:rPr>
                <w:rFonts w:hint="eastAsia" w:asciiTheme="minorEastAsia" w:hAnsiTheme="minorEastAsia" w:eastAsiaTheme="minorEastAsia"/>
                <w:b w:val="0"/>
                <w:sz w:val="21"/>
                <w:szCs w:val="21"/>
              </w:rPr>
            </w:pPr>
            <w:r>
              <w:rPr>
                <w:rFonts w:hint="eastAsia" w:asciiTheme="minorEastAsia" w:hAnsiTheme="minorEastAsia" w:eastAsiaTheme="minorEastAsia"/>
                <w:b w:val="0"/>
                <w:sz w:val="21"/>
                <w:szCs w:val="21"/>
              </w:rPr>
              <w:t>单位</w:t>
            </w:r>
          </w:p>
        </w:tc>
        <w:tc>
          <w:tcPr>
            <w:tcW w:w="720" w:type="dxa"/>
            <w:tcBorders>
              <w:top w:val="single" w:color="auto" w:sz="4" w:space="0"/>
              <w:left w:val="single" w:color="auto" w:sz="4" w:space="0"/>
              <w:right w:val="single" w:color="auto" w:sz="4" w:space="0"/>
            </w:tcBorders>
            <w:vAlign w:val="center"/>
          </w:tcPr>
          <w:p w14:paraId="40437221">
            <w:pPr>
              <w:jc w:val="center"/>
              <w:rPr>
                <w:rFonts w:hint="eastAsia" w:cs="宋体" w:asciiTheme="minorEastAsia" w:hAnsiTheme="minorEastAsia" w:eastAsiaTheme="minorEastAsia"/>
                <w:szCs w:val="21"/>
              </w:rPr>
            </w:pPr>
          </w:p>
          <w:p w14:paraId="767E2B8F">
            <w:pPr>
              <w:pStyle w:val="2"/>
              <w:jc w:val="center"/>
              <w:rPr>
                <w:rFonts w:hint="eastAsia" w:asciiTheme="minorEastAsia" w:hAnsiTheme="minorEastAsia" w:eastAsiaTheme="minorEastAsia"/>
                <w:b w:val="0"/>
                <w:sz w:val="21"/>
                <w:szCs w:val="21"/>
              </w:rPr>
            </w:pPr>
            <w:r>
              <w:rPr>
                <w:rFonts w:hint="eastAsia" w:asciiTheme="minorEastAsia" w:hAnsiTheme="minorEastAsia" w:eastAsiaTheme="minorEastAsia"/>
                <w:b w:val="0"/>
                <w:sz w:val="21"/>
                <w:szCs w:val="21"/>
              </w:rPr>
              <w:t>预估数量</w:t>
            </w:r>
          </w:p>
        </w:tc>
        <w:tc>
          <w:tcPr>
            <w:tcW w:w="5707" w:type="dxa"/>
            <w:tcBorders>
              <w:top w:val="single" w:color="auto" w:sz="4" w:space="0"/>
              <w:left w:val="single" w:color="auto" w:sz="4" w:space="0"/>
              <w:right w:val="single" w:color="auto" w:sz="4" w:space="0"/>
            </w:tcBorders>
            <w:vAlign w:val="center"/>
          </w:tcPr>
          <w:p w14:paraId="5627A961">
            <w:pPr>
              <w:spacing w:line="360" w:lineRule="auto"/>
              <w:jc w:val="center"/>
              <w:rPr>
                <w:rFonts w:hint="eastAsia" w:ascii="宋体" w:hAnsi="宋体" w:cs="宋体"/>
                <w:szCs w:val="21"/>
              </w:rPr>
            </w:pPr>
            <w:r>
              <w:rPr>
                <w:rFonts w:hint="eastAsia" w:ascii="宋体" w:hAnsi="宋体" w:cs="宋体"/>
                <w:szCs w:val="21"/>
              </w:rPr>
              <w:t>货物参数</w:t>
            </w:r>
          </w:p>
        </w:tc>
      </w:tr>
      <w:tr w14:paraId="598C8C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trPr>
        <w:tc>
          <w:tcPr>
            <w:tcW w:w="9541" w:type="dxa"/>
            <w:gridSpan w:val="6"/>
            <w:tcBorders>
              <w:top w:val="single" w:color="auto" w:sz="4" w:space="0"/>
              <w:left w:val="single" w:color="auto" w:sz="4" w:space="0"/>
              <w:right w:val="single" w:color="auto" w:sz="4" w:space="0"/>
            </w:tcBorders>
            <w:vAlign w:val="center"/>
          </w:tcPr>
          <w:p w14:paraId="6E65FC4A">
            <w:pPr>
              <w:spacing w:line="360" w:lineRule="auto"/>
              <w:jc w:val="center"/>
              <w:rPr>
                <w:rFonts w:hint="eastAsia" w:ascii="宋体" w:hAnsi="宋体" w:cs="宋体"/>
                <w:szCs w:val="21"/>
              </w:rPr>
            </w:pPr>
            <w:r>
              <w:rPr>
                <w:rFonts w:hint="eastAsia" w:ascii="宋体" w:hAnsi="宋体" w:cs="宋体"/>
                <w:szCs w:val="21"/>
              </w:rPr>
              <w:t>PGT试剂配送供应商服务1项</w:t>
            </w:r>
          </w:p>
        </w:tc>
      </w:tr>
      <w:tr w14:paraId="4C219D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19" w:type="dxa"/>
            <w:tcBorders>
              <w:top w:val="single" w:color="auto" w:sz="4" w:space="0"/>
              <w:left w:val="single" w:color="auto" w:sz="4" w:space="0"/>
              <w:right w:val="single" w:color="auto" w:sz="4" w:space="0"/>
            </w:tcBorders>
            <w:vAlign w:val="center"/>
          </w:tcPr>
          <w:p w14:paraId="7FE9BC4F">
            <w:pPr>
              <w:spacing w:line="360" w:lineRule="auto"/>
              <w:jc w:val="center"/>
              <w:rPr>
                <w:rFonts w:hint="eastAsia" w:ascii="宋体" w:hAnsi="宋体" w:cs="宋体"/>
                <w:szCs w:val="21"/>
              </w:rPr>
            </w:pPr>
            <w:r>
              <w:rPr>
                <w:rFonts w:hint="eastAsia" w:ascii="宋体" w:hAnsi="宋体" w:cs="宋体"/>
                <w:szCs w:val="21"/>
              </w:rPr>
              <w:t>1</w:t>
            </w:r>
          </w:p>
        </w:tc>
        <w:tc>
          <w:tcPr>
            <w:tcW w:w="1589" w:type="dxa"/>
            <w:gridSpan w:val="2"/>
            <w:tcBorders>
              <w:top w:val="single" w:color="auto" w:sz="4" w:space="0"/>
              <w:left w:val="single" w:color="auto" w:sz="4" w:space="0"/>
              <w:right w:val="single" w:color="auto" w:sz="4" w:space="0"/>
            </w:tcBorders>
            <w:vAlign w:val="center"/>
          </w:tcPr>
          <w:p w14:paraId="44EA247A">
            <w:pPr>
              <w:spacing w:line="360" w:lineRule="auto"/>
              <w:jc w:val="center"/>
              <w:rPr>
                <w:rFonts w:hint="eastAsia" w:ascii="宋体" w:hAnsi="宋体" w:cs="宋体"/>
                <w:szCs w:val="21"/>
              </w:rPr>
            </w:pPr>
            <w:r>
              <w:rPr>
                <w:rFonts w:hint="eastAsia" w:ascii="宋体" w:hAnsi="宋体" w:cs="宋体"/>
                <w:szCs w:val="21"/>
              </w:rPr>
              <w:t>PGT-A试剂</w:t>
            </w:r>
          </w:p>
        </w:tc>
        <w:tc>
          <w:tcPr>
            <w:tcW w:w="1006" w:type="dxa"/>
            <w:tcBorders>
              <w:top w:val="single" w:color="auto" w:sz="4" w:space="0"/>
              <w:left w:val="single" w:color="auto" w:sz="4" w:space="0"/>
              <w:right w:val="single" w:color="auto" w:sz="4" w:space="0"/>
            </w:tcBorders>
            <w:vAlign w:val="center"/>
          </w:tcPr>
          <w:p w14:paraId="658626DF">
            <w:pPr>
              <w:spacing w:line="360" w:lineRule="auto"/>
              <w:jc w:val="left"/>
              <w:rPr>
                <w:rFonts w:hint="eastAsia" w:ascii="宋体" w:hAnsi="宋体" w:cs="宋体"/>
                <w:szCs w:val="21"/>
              </w:rPr>
            </w:pPr>
            <w:r>
              <w:rPr>
                <w:rFonts w:hint="eastAsia" w:ascii="宋体" w:hAnsi="宋体" w:cs="宋体"/>
                <w:szCs w:val="21"/>
              </w:rPr>
              <w:t>次</w:t>
            </w:r>
          </w:p>
        </w:tc>
        <w:tc>
          <w:tcPr>
            <w:tcW w:w="720" w:type="dxa"/>
            <w:tcBorders>
              <w:top w:val="single" w:color="auto" w:sz="4" w:space="0"/>
              <w:left w:val="single" w:color="auto" w:sz="4" w:space="0"/>
              <w:right w:val="single" w:color="auto" w:sz="4" w:space="0"/>
            </w:tcBorders>
            <w:vAlign w:val="center"/>
          </w:tcPr>
          <w:p w14:paraId="668E2EF2">
            <w:pPr>
              <w:spacing w:line="360" w:lineRule="auto"/>
              <w:jc w:val="left"/>
              <w:rPr>
                <w:rFonts w:hint="eastAsia" w:ascii="宋体" w:hAnsi="宋体" w:cs="宋体"/>
                <w:szCs w:val="21"/>
              </w:rPr>
            </w:pPr>
            <w:r>
              <w:rPr>
                <w:rFonts w:hint="eastAsia"/>
              </w:rPr>
              <w:t>2000</w:t>
            </w:r>
          </w:p>
        </w:tc>
        <w:tc>
          <w:tcPr>
            <w:tcW w:w="5707" w:type="dxa"/>
            <w:tcBorders>
              <w:top w:val="single" w:color="auto" w:sz="4" w:space="0"/>
              <w:left w:val="single" w:color="auto" w:sz="4" w:space="0"/>
              <w:right w:val="single" w:color="auto" w:sz="4" w:space="0"/>
            </w:tcBorders>
            <w:vAlign w:val="center"/>
          </w:tcPr>
          <w:p w14:paraId="45A305C2">
            <w:pPr>
              <w:spacing w:line="360" w:lineRule="auto"/>
              <w:jc w:val="left"/>
              <w:rPr>
                <w:rFonts w:hint="eastAsia" w:ascii="宋体" w:hAnsi="宋体" w:eastAsia="宋体" w:cs="宋体"/>
                <w:szCs w:val="21"/>
                <w:lang w:eastAsia="zh-CN"/>
              </w:rPr>
            </w:pPr>
            <w:r>
              <w:rPr>
                <w:rFonts w:hint="eastAsia" w:ascii="宋体" w:hAnsi="宋体" w:eastAsia="宋体" w:cs="宋体"/>
                <w:szCs w:val="21"/>
                <w:lang w:eastAsia="zh-CN"/>
              </w:rPr>
              <w:t>1.▲试剂盒可检测23对染色体非整倍体异常、4Mb以上未知的缺失或重复、10Mb以上且比例大于30%的胚胎嵌合体异常；</w:t>
            </w:r>
          </w:p>
          <w:p w14:paraId="5E0B23CA">
            <w:pPr>
              <w:spacing w:line="360" w:lineRule="auto"/>
              <w:jc w:val="left"/>
              <w:rPr>
                <w:rFonts w:hint="eastAsia" w:ascii="宋体" w:hAnsi="宋体" w:eastAsia="宋体" w:cs="宋体"/>
                <w:szCs w:val="21"/>
                <w:lang w:eastAsia="zh-CN"/>
              </w:rPr>
            </w:pPr>
            <w:r>
              <w:rPr>
                <w:rFonts w:hint="eastAsia" w:ascii="宋体" w:hAnsi="宋体" w:eastAsia="宋体" w:cs="宋体"/>
                <w:szCs w:val="21"/>
                <w:lang w:eastAsia="zh-CN"/>
              </w:rPr>
              <w:t>2.试剂盒可检测1Mb以上已知的缺失或重复；</w:t>
            </w:r>
          </w:p>
          <w:p w14:paraId="6026766A">
            <w:pPr>
              <w:spacing w:line="360" w:lineRule="auto"/>
              <w:jc w:val="left"/>
              <w:rPr>
                <w:rFonts w:hint="eastAsia" w:ascii="宋体" w:hAnsi="宋体" w:eastAsia="宋体" w:cs="宋体"/>
                <w:szCs w:val="21"/>
                <w:lang w:eastAsia="zh-CN"/>
              </w:rPr>
            </w:pPr>
            <w:r>
              <w:rPr>
                <w:rFonts w:hint="eastAsia" w:ascii="宋体" w:hAnsi="宋体" w:eastAsia="宋体" w:cs="宋体"/>
                <w:szCs w:val="21"/>
                <w:lang w:eastAsia="zh-CN"/>
              </w:rPr>
              <w:t>3.试剂盒可检测三倍体异常、整条染色体ROH；</w:t>
            </w:r>
          </w:p>
          <w:p w14:paraId="19A012EF">
            <w:pPr>
              <w:spacing w:line="360" w:lineRule="auto"/>
              <w:jc w:val="left"/>
              <w:rPr>
                <w:rFonts w:hint="eastAsia" w:ascii="宋体" w:hAnsi="宋体" w:eastAsia="宋体" w:cs="宋体"/>
                <w:szCs w:val="21"/>
                <w:lang w:eastAsia="zh-CN"/>
              </w:rPr>
            </w:pPr>
            <w:r>
              <w:rPr>
                <w:rFonts w:hint="eastAsia" w:ascii="宋体" w:hAnsi="宋体" w:eastAsia="宋体" w:cs="宋体"/>
                <w:szCs w:val="21"/>
                <w:lang w:eastAsia="zh-CN"/>
              </w:rPr>
              <w:t>4.单细胞扩增技术需满足：脱扣率低于10%；</w:t>
            </w:r>
          </w:p>
          <w:p w14:paraId="44F6E9FA">
            <w:pPr>
              <w:spacing w:line="360" w:lineRule="auto"/>
              <w:jc w:val="left"/>
              <w:rPr>
                <w:rFonts w:hint="eastAsia" w:ascii="宋体" w:hAnsi="宋体" w:eastAsia="宋体" w:cs="宋体"/>
                <w:szCs w:val="21"/>
                <w:lang w:eastAsia="zh-CN"/>
              </w:rPr>
            </w:pPr>
            <w:r>
              <w:rPr>
                <w:rFonts w:hint="eastAsia" w:ascii="宋体" w:hAnsi="宋体" w:eastAsia="宋体" w:cs="宋体"/>
                <w:szCs w:val="21"/>
                <w:lang w:eastAsia="zh-CN"/>
              </w:rPr>
              <w:t>5.▲试剂盒存在多种规格灵活适用于MGISEQ-200和MGISEQ-2000测序仪；</w:t>
            </w:r>
          </w:p>
          <w:p w14:paraId="13BC3E78">
            <w:pPr>
              <w:spacing w:line="360" w:lineRule="auto"/>
              <w:jc w:val="left"/>
              <w:rPr>
                <w:rFonts w:hint="eastAsia" w:ascii="宋体" w:hAnsi="宋体" w:eastAsia="宋体" w:cs="宋体"/>
                <w:szCs w:val="21"/>
                <w:lang w:eastAsia="zh-CN"/>
              </w:rPr>
            </w:pPr>
            <w:r>
              <w:rPr>
                <w:rFonts w:hint="eastAsia" w:ascii="宋体" w:hAnsi="宋体" w:eastAsia="宋体" w:cs="宋体"/>
                <w:szCs w:val="21"/>
                <w:lang w:eastAsia="zh-CN"/>
              </w:rPr>
              <w:t>6.能够同时提供本地化单机版和云端云平台分析软件</w:t>
            </w:r>
          </w:p>
          <w:p w14:paraId="5126CA5D">
            <w:pPr>
              <w:spacing w:line="360" w:lineRule="auto"/>
              <w:jc w:val="left"/>
              <w:rPr>
                <w:rFonts w:hint="eastAsia" w:ascii="宋体" w:hAnsi="宋体" w:eastAsia="宋体" w:cs="宋体"/>
                <w:szCs w:val="21"/>
                <w:lang w:eastAsia="zh-CN"/>
              </w:rPr>
            </w:pPr>
            <w:r>
              <w:rPr>
                <w:rFonts w:hint="eastAsia" w:ascii="宋体" w:hAnsi="宋体" w:eastAsia="宋体" w:cs="宋体"/>
                <w:szCs w:val="21"/>
                <w:lang w:eastAsia="zh-CN"/>
              </w:rPr>
              <w:t>7.检测质控：检测流程有明确、详细、可行的质控方案和指标；</w:t>
            </w:r>
          </w:p>
          <w:p w14:paraId="1C939D2E">
            <w:pPr>
              <w:spacing w:line="360" w:lineRule="auto"/>
              <w:jc w:val="left"/>
              <w:rPr>
                <w:rFonts w:hint="eastAsia" w:ascii="宋体" w:hAnsi="宋体" w:eastAsia="宋体" w:cs="宋体"/>
                <w:szCs w:val="21"/>
                <w:lang w:eastAsia="zh-CN"/>
              </w:rPr>
            </w:pPr>
            <w:r>
              <w:rPr>
                <w:rFonts w:hint="eastAsia" w:ascii="宋体" w:hAnsi="宋体" w:eastAsia="宋体" w:cs="宋体"/>
                <w:szCs w:val="21"/>
                <w:lang w:eastAsia="zh-CN"/>
              </w:rPr>
              <w:t>8.本地化能力：可协助医院实现本地化检测分析，并提供技术支持、遗传咨询培训及实验室体系管理培训等；</w:t>
            </w:r>
          </w:p>
          <w:p w14:paraId="35A31321">
            <w:pPr>
              <w:spacing w:line="360" w:lineRule="auto"/>
              <w:jc w:val="center"/>
              <w:rPr>
                <w:rFonts w:hint="eastAsia" w:ascii="宋体" w:hAnsi="宋体" w:cs="宋体"/>
                <w:szCs w:val="21"/>
              </w:rPr>
            </w:pPr>
            <w:r>
              <w:rPr>
                <w:rFonts w:hint="eastAsia" w:ascii="宋体" w:hAnsi="宋体" w:eastAsia="宋体" w:cs="宋体"/>
                <w:szCs w:val="21"/>
                <w:lang w:eastAsia="zh-CN"/>
              </w:rPr>
              <w:t>9.▲提供进行 PGT-A 检测必要的配套试剂及耗材等，以完成胚胎植入前染色体非整倍体检测。</w:t>
            </w:r>
          </w:p>
        </w:tc>
      </w:tr>
      <w:tr w14:paraId="6FA546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19" w:type="dxa"/>
            <w:tcBorders>
              <w:top w:val="single" w:color="auto" w:sz="4" w:space="0"/>
              <w:left w:val="single" w:color="auto" w:sz="4" w:space="0"/>
              <w:right w:val="single" w:color="auto" w:sz="4" w:space="0"/>
            </w:tcBorders>
            <w:vAlign w:val="center"/>
          </w:tcPr>
          <w:p w14:paraId="40978610">
            <w:pPr>
              <w:spacing w:line="360" w:lineRule="auto"/>
              <w:jc w:val="center"/>
              <w:rPr>
                <w:rFonts w:hint="eastAsia" w:ascii="宋体" w:hAnsi="宋体" w:cs="宋体"/>
                <w:szCs w:val="21"/>
              </w:rPr>
            </w:pPr>
            <w:r>
              <w:rPr>
                <w:rFonts w:hint="eastAsia" w:ascii="宋体" w:hAnsi="宋体" w:cs="宋体"/>
                <w:szCs w:val="21"/>
              </w:rPr>
              <w:t>2</w:t>
            </w:r>
          </w:p>
        </w:tc>
        <w:tc>
          <w:tcPr>
            <w:tcW w:w="1589" w:type="dxa"/>
            <w:gridSpan w:val="2"/>
            <w:tcBorders>
              <w:top w:val="single" w:color="auto" w:sz="4" w:space="0"/>
              <w:left w:val="single" w:color="auto" w:sz="4" w:space="0"/>
              <w:right w:val="single" w:color="auto" w:sz="4" w:space="0"/>
            </w:tcBorders>
            <w:vAlign w:val="center"/>
          </w:tcPr>
          <w:p w14:paraId="0FFEEEEE">
            <w:pPr>
              <w:spacing w:line="360" w:lineRule="auto"/>
              <w:jc w:val="center"/>
              <w:rPr>
                <w:rFonts w:hint="eastAsia" w:ascii="宋体" w:hAnsi="宋体" w:cs="宋体"/>
                <w:szCs w:val="21"/>
              </w:rPr>
            </w:pPr>
            <w:r>
              <w:rPr>
                <w:rFonts w:ascii="宋体" w:hAnsi="宋体" w:cs="宋体"/>
                <w:szCs w:val="21"/>
              </w:rPr>
              <w:t>PGT-A+PGT-M</w:t>
            </w:r>
            <w:r>
              <w:rPr>
                <w:rFonts w:hint="eastAsia" w:ascii="宋体" w:hAnsi="宋体" w:cs="宋体"/>
                <w:szCs w:val="21"/>
              </w:rPr>
              <w:t>试剂</w:t>
            </w:r>
          </w:p>
        </w:tc>
        <w:tc>
          <w:tcPr>
            <w:tcW w:w="1006" w:type="dxa"/>
            <w:tcBorders>
              <w:top w:val="single" w:color="auto" w:sz="4" w:space="0"/>
              <w:left w:val="single" w:color="auto" w:sz="4" w:space="0"/>
              <w:right w:val="single" w:color="auto" w:sz="4" w:space="0"/>
            </w:tcBorders>
            <w:vAlign w:val="center"/>
          </w:tcPr>
          <w:p w14:paraId="4220CF24">
            <w:pPr>
              <w:spacing w:line="360" w:lineRule="auto"/>
              <w:jc w:val="left"/>
              <w:rPr>
                <w:rFonts w:hint="eastAsia" w:ascii="宋体" w:hAnsi="宋体" w:cs="宋体"/>
                <w:szCs w:val="21"/>
              </w:rPr>
            </w:pPr>
            <w:r>
              <w:rPr>
                <w:rFonts w:hint="eastAsia" w:ascii="宋体" w:hAnsi="宋体" w:cs="宋体"/>
                <w:szCs w:val="21"/>
              </w:rPr>
              <w:t>次</w:t>
            </w:r>
          </w:p>
        </w:tc>
        <w:tc>
          <w:tcPr>
            <w:tcW w:w="720" w:type="dxa"/>
            <w:tcBorders>
              <w:top w:val="single" w:color="auto" w:sz="4" w:space="0"/>
              <w:left w:val="single" w:color="auto" w:sz="4" w:space="0"/>
              <w:right w:val="single" w:color="auto" w:sz="4" w:space="0"/>
            </w:tcBorders>
            <w:vAlign w:val="center"/>
          </w:tcPr>
          <w:p w14:paraId="7FB77822">
            <w:pPr>
              <w:spacing w:line="360" w:lineRule="auto"/>
              <w:jc w:val="left"/>
              <w:rPr>
                <w:rFonts w:hint="default" w:ascii="宋体" w:hAnsi="宋体" w:eastAsia="宋体" w:cs="宋体"/>
                <w:szCs w:val="21"/>
                <w:lang w:val="en-US" w:eastAsia="zh-CN"/>
              </w:rPr>
            </w:pPr>
            <w:r>
              <w:rPr>
                <w:rFonts w:hint="eastAsia" w:ascii="宋体" w:hAnsi="宋体" w:cs="宋体"/>
                <w:szCs w:val="21"/>
                <w:lang w:val="en-US" w:eastAsia="zh-CN"/>
              </w:rPr>
              <w:t>1300</w:t>
            </w:r>
          </w:p>
        </w:tc>
        <w:tc>
          <w:tcPr>
            <w:tcW w:w="5707" w:type="dxa"/>
            <w:tcBorders>
              <w:top w:val="single" w:color="auto" w:sz="4" w:space="0"/>
              <w:left w:val="single" w:color="auto" w:sz="4" w:space="0"/>
              <w:right w:val="single" w:color="auto" w:sz="4" w:space="0"/>
            </w:tcBorders>
            <w:vAlign w:val="center"/>
          </w:tcPr>
          <w:p w14:paraId="0063B96F">
            <w:pPr>
              <w:spacing w:line="360" w:lineRule="auto"/>
              <w:jc w:val="left"/>
              <w:rPr>
                <w:rFonts w:hint="eastAsia" w:ascii="宋体" w:hAnsi="宋体" w:cs="宋体"/>
                <w:szCs w:val="21"/>
              </w:rPr>
            </w:pPr>
            <w:r>
              <w:rPr>
                <w:rFonts w:hint="eastAsia" w:ascii="宋体" w:hAnsi="宋体" w:cs="宋体"/>
                <w:szCs w:val="21"/>
              </w:rPr>
              <w:t>一、PGT-A胚胎植入前染色体非整倍体检测项目技术参数</w:t>
            </w:r>
          </w:p>
          <w:p w14:paraId="72F2FE45">
            <w:pPr>
              <w:spacing w:line="360" w:lineRule="auto"/>
              <w:jc w:val="left"/>
              <w:rPr>
                <w:rFonts w:hint="eastAsia" w:ascii="宋体" w:hAnsi="宋体" w:cs="宋体"/>
                <w:szCs w:val="21"/>
              </w:rPr>
            </w:pPr>
            <w:r>
              <w:rPr>
                <w:rFonts w:hint="eastAsia" w:ascii="宋体" w:hAnsi="宋体" w:cs="宋体"/>
                <w:szCs w:val="21"/>
              </w:rPr>
              <w:t>1.▲试剂盒可检测23对染色体非整倍体异常、4Mb以上未知的缺失或重复、10Mb以上且比例大于30%的胚胎嵌合体异常；</w:t>
            </w:r>
          </w:p>
          <w:p w14:paraId="0106F2D8">
            <w:pPr>
              <w:spacing w:line="360" w:lineRule="auto"/>
              <w:jc w:val="left"/>
              <w:rPr>
                <w:rFonts w:hint="eastAsia" w:ascii="宋体" w:hAnsi="宋体" w:cs="宋体"/>
                <w:szCs w:val="21"/>
              </w:rPr>
            </w:pPr>
            <w:r>
              <w:rPr>
                <w:rFonts w:hint="eastAsia" w:ascii="宋体" w:hAnsi="宋体" w:cs="宋体"/>
                <w:szCs w:val="21"/>
              </w:rPr>
              <w:t>2.试剂盒可检测1Mb以上已知的缺失或重复；</w:t>
            </w:r>
          </w:p>
          <w:p w14:paraId="177026A3">
            <w:pPr>
              <w:spacing w:line="360" w:lineRule="auto"/>
              <w:jc w:val="left"/>
              <w:rPr>
                <w:rFonts w:hint="eastAsia" w:ascii="宋体" w:hAnsi="宋体" w:cs="宋体"/>
                <w:szCs w:val="21"/>
              </w:rPr>
            </w:pPr>
            <w:r>
              <w:rPr>
                <w:rFonts w:hint="eastAsia" w:ascii="宋体" w:hAnsi="宋体" w:cs="宋体"/>
                <w:szCs w:val="21"/>
              </w:rPr>
              <w:t>3.试剂盒可检测三倍体异常、整条染色体ROH；</w:t>
            </w:r>
          </w:p>
          <w:p w14:paraId="77026322">
            <w:pPr>
              <w:spacing w:line="360" w:lineRule="auto"/>
              <w:jc w:val="left"/>
              <w:rPr>
                <w:rFonts w:hint="eastAsia" w:ascii="宋体" w:hAnsi="宋体" w:cs="宋体"/>
                <w:szCs w:val="21"/>
              </w:rPr>
            </w:pPr>
            <w:r>
              <w:rPr>
                <w:rFonts w:hint="eastAsia" w:ascii="宋体" w:hAnsi="宋体" w:cs="宋体"/>
                <w:szCs w:val="21"/>
              </w:rPr>
              <w:t>4.单细胞扩增技术需满足：脱扣率低于10%；</w:t>
            </w:r>
          </w:p>
          <w:p w14:paraId="6CD594F8">
            <w:pPr>
              <w:spacing w:line="360" w:lineRule="auto"/>
              <w:jc w:val="left"/>
              <w:rPr>
                <w:rFonts w:hint="eastAsia" w:ascii="宋体" w:hAnsi="宋体" w:cs="宋体"/>
                <w:szCs w:val="21"/>
              </w:rPr>
            </w:pPr>
            <w:r>
              <w:rPr>
                <w:rFonts w:hint="eastAsia" w:ascii="宋体" w:hAnsi="宋体" w:cs="宋体"/>
                <w:szCs w:val="21"/>
              </w:rPr>
              <w:t>5.▲试剂盒存在多种规格灵活适用于MGISEQ-200和MGISEQ-2000测序仪；</w:t>
            </w:r>
          </w:p>
          <w:p w14:paraId="36B94EFC">
            <w:pPr>
              <w:spacing w:line="360" w:lineRule="auto"/>
              <w:jc w:val="left"/>
              <w:rPr>
                <w:rFonts w:hint="eastAsia" w:ascii="宋体" w:hAnsi="宋体" w:cs="宋体"/>
                <w:szCs w:val="21"/>
              </w:rPr>
            </w:pPr>
            <w:r>
              <w:rPr>
                <w:rFonts w:hint="eastAsia" w:ascii="宋体" w:hAnsi="宋体" w:cs="宋体"/>
                <w:szCs w:val="21"/>
              </w:rPr>
              <w:t>6.能够同时提供本地化单机版和云端云平台分析软件</w:t>
            </w:r>
          </w:p>
          <w:p w14:paraId="70A3D711">
            <w:pPr>
              <w:spacing w:line="360" w:lineRule="auto"/>
              <w:jc w:val="left"/>
              <w:rPr>
                <w:rFonts w:hint="eastAsia" w:ascii="宋体" w:hAnsi="宋体" w:cs="宋体"/>
                <w:szCs w:val="21"/>
              </w:rPr>
            </w:pPr>
            <w:r>
              <w:rPr>
                <w:rFonts w:hint="eastAsia" w:ascii="宋体" w:hAnsi="宋体" w:cs="宋体"/>
                <w:szCs w:val="21"/>
              </w:rPr>
              <w:t>7.检测质控：检测流程有明确、详细、可行的质控方案和指标；</w:t>
            </w:r>
          </w:p>
          <w:p w14:paraId="768A97C6">
            <w:pPr>
              <w:spacing w:line="360" w:lineRule="auto"/>
              <w:jc w:val="left"/>
              <w:rPr>
                <w:rFonts w:hint="eastAsia" w:ascii="宋体" w:hAnsi="宋体" w:cs="宋体"/>
                <w:szCs w:val="21"/>
              </w:rPr>
            </w:pPr>
            <w:r>
              <w:rPr>
                <w:rFonts w:hint="eastAsia" w:ascii="宋体" w:hAnsi="宋体" w:cs="宋体"/>
                <w:szCs w:val="21"/>
              </w:rPr>
              <w:t>8.本地化能力：可协助医院实现本地化检测分析，并提供技术支持、遗传咨询培训及实验室体系管理培训等；</w:t>
            </w:r>
          </w:p>
          <w:p w14:paraId="3A83E454">
            <w:pPr>
              <w:spacing w:line="360" w:lineRule="auto"/>
              <w:jc w:val="left"/>
              <w:rPr>
                <w:rFonts w:hint="eastAsia" w:ascii="宋体" w:hAnsi="宋体" w:cs="宋体"/>
                <w:szCs w:val="21"/>
              </w:rPr>
            </w:pPr>
            <w:r>
              <w:rPr>
                <w:rFonts w:hint="eastAsia" w:ascii="宋体" w:hAnsi="宋体" w:cs="宋体"/>
                <w:szCs w:val="21"/>
              </w:rPr>
              <w:t>9.▲提供进行 PGT-A 检测必要的配套试剂及耗材等，以完成胚胎植入前染色体非整倍体检测。</w:t>
            </w:r>
          </w:p>
          <w:p w14:paraId="4230FD1C">
            <w:pPr>
              <w:spacing w:line="360" w:lineRule="auto"/>
              <w:jc w:val="left"/>
              <w:rPr>
                <w:rFonts w:hint="eastAsia" w:ascii="宋体" w:hAnsi="宋体" w:cs="宋体"/>
                <w:szCs w:val="21"/>
              </w:rPr>
            </w:pPr>
            <w:r>
              <w:rPr>
                <w:rFonts w:hint="eastAsia" w:ascii="宋体" w:hAnsi="宋体" w:cs="宋体"/>
                <w:szCs w:val="21"/>
              </w:rPr>
              <w:t>二、PGT-M胚胎植入前单基因病检测项目技术参数</w:t>
            </w:r>
          </w:p>
          <w:p w14:paraId="1549529D">
            <w:pPr>
              <w:spacing w:line="360" w:lineRule="auto"/>
              <w:jc w:val="left"/>
              <w:rPr>
                <w:rFonts w:hint="eastAsia" w:ascii="宋体" w:hAnsi="宋体" w:cs="宋体"/>
                <w:szCs w:val="21"/>
              </w:rPr>
            </w:pPr>
            <w:r>
              <w:rPr>
                <w:rFonts w:hint="eastAsia" w:ascii="宋体" w:hAnsi="宋体" w:cs="宋体"/>
                <w:szCs w:val="21"/>
              </w:rPr>
              <w:t>1.▲试剂盒具备医疗器械备案证或注册证；（投标时，须提供相关有效证明材料）</w:t>
            </w:r>
          </w:p>
          <w:p w14:paraId="3D555040">
            <w:pPr>
              <w:spacing w:line="360" w:lineRule="auto"/>
              <w:jc w:val="left"/>
              <w:rPr>
                <w:rFonts w:hint="eastAsia" w:ascii="宋体" w:hAnsi="宋体" w:cs="宋体"/>
                <w:szCs w:val="21"/>
              </w:rPr>
            </w:pPr>
            <w:r>
              <w:rPr>
                <w:rFonts w:hint="eastAsia" w:ascii="宋体" w:hAnsi="宋体" w:cs="宋体"/>
                <w:szCs w:val="21"/>
              </w:rPr>
              <w:t>2.检测方案：能够利用高通量测序技术，可一次进行单基因病致病位点直接检测和单体型构建两种方法同时检测，保障目标基因检测准确性；</w:t>
            </w:r>
          </w:p>
          <w:p w14:paraId="7D9B959B">
            <w:pPr>
              <w:spacing w:line="360" w:lineRule="auto"/>
              <w:jc w:val="left"/>
              <w:rPr>
                <w:rFonts w:hint="eastAsia" w:ascii="宋体" w:hAnsi="宋体" w:cs="宋体"/>
                <w:szCs w:val="21"/>
              </w:rPr>
            </w:pPr>
            <w:r>
              <w:rPr>
                <w:rFonts w:hint="eastAsia" w:ascii="宋体" w:hAnsi="宋体" w:cs="宋体"/>
                <w:szCs w:val="21"/>
              </w:rPr>
              <w:t>3.可同时完成PGT-A的检测，包括23对染色体非整倍体，4Mb以上染色体片段缺失或重复、可提示1-4Mb致病性/可能致病性染色体片段缺失或重复、10Mb以上且比例大于30%的胚胎嵌合体、三倍体、10Mb以上的ROH</w:t>
            </w:r>
          </w:p>
          <w:p w14:paraId="7F9C370B">
            <w:pPr>
              <w:spacing w:line="360" w:lineRule="auto"/>
              <w:jc w:val="left"/>
              <w:rPr>
                <w:rFonts w:hint="eastAsia" w:ascii="宋体" w:hAnsi="宋体" w:cs="宋体"/>
                <w:szCs w:val="21"/>
              </w:rPr>
            </w:pPr>
            <w:r>
              <w:rPr>
                <w:rFonts w:hint="eastAsia" w:ascii="宋体" w:hAnsi="宋体" w:cs="宋体"/>
                <w:szCs w:val="21"/>
              </w:rPr>
              <w:t>4.针对特殊单基因疾病的家系能够提供有效解决方案，如：可提供无先证者案例单基因病PGT-M诊断方案、可提供生殖腺嵌合/子代新发突变家系解决方案、可提供单精子/极体PGT-M解决方案；</w:t>
            </w:r>
          </w:p>
          <w:p w14:paraId="72BB1DD6">
            <w:pPr>
              <w:spacing w:line="360" w:lineRule="auto"/>
              <w:jc w:val="left"/>
              <w:rPr>
                <w:rFonts w:hint="eastAsia" w:ascii="宋体" w:hAnsi="宋体" w:cs="宋体"/>
                <w:szCs w:val="21"/>
              </w:rPr>
            </w:pPr>
            <w:r>
              <w:rPr>
                <w:rFonts w:hint="eastAsia" w:ascii="宋体" w:hAnsi="宋体" w:cs="宋体"/>
                <w:szCs w:val="21"/>
              </w:rPr>
              <w:t>5.针对基因位于着丝粒附近或染色体末端的特殊常见疾病，如α地贫、甲型血友病F8，可提供SNP+STR双标记等技术方法；</w:t>
            </w:r>
          </w:p>
          <w:p w14:paraId="7BA96BA7">
            <w:pPr>
              <w:spacing w:line="360" w:lineRule="auto"/>
              <w:jc w:val="left"/>
              <w:rPr>
                <w:rFonts w:hint="eastAsia" w:ascii="宋体" w:hAnsi="宋体" w:cs="宋体"/>
                <w:szCs w:val="21"/>
              </w:rPr>
            </w:pPr>
            <w:r>
              <w:rPr>
                <w:rFonts w:hint="eastAsia" w:ascii="宋体" w:hAnsi="宋体" w:cs="宋体"/>
                <w:szCs w:val="21"/>
              </w:rPr>
              <w:t>6.可提供多种遗传病相关的 HLA 单体型分析；</w:t>
            </w:r>
          </w:p>
          <w:p w14:paraId="120525DB">
            <w:pPr>
              <w:spacing w:line="360" w:lineRule="auto"/>
              <w:jc w:val="left"/>
              <w:rPr>
                <w:rFonts w:hint="eastAsia" w:ascii="宋体" w:hAnsi="宋体" w:cs="宋体"/>
                <w:szCs w:val="21"/>
              </w:rPr>
            </w:pPr>
            <w:r>
              <w:rPr>
                <w:rFonts w:hint="eastAsia" w:ascii="宋体" w:hAnsi="宋体" w:cs="宋体"/>
                <w:szCs w:val="21"/>
              </w:rPr>
              <w:t>7.▲试剂盒存在多种规格灵活适用于MGISEQ-200和MGISEQ-2000测序仪；</w:t>
            </w:r>
          </w:p>
          <w:p w14:paraId="3EEEE968">
            <w:pPr>
              <w:spacing w:line="360" w:lineRule="auto"/>
              <w:jc w:val="left"/>
              <w:rPr>
                <w:rFonts w:hint="eastAsia" w:ascii="宋体" w:hAnsi="宋体" w:cs="宋体"/>
                <w:szCs w:val="21"/>
              </w:rPr>
            </w:pPr>
            <w:r>
              <w:rPr>
                <w:rFonts w:hint="eastAsia" w:ascii="宋体" w:hAnsi="宋体" w:cs="宋体"/>
                <w:szCs w:val="21"/>
              </w:rPr>
              <w:t>8.能够同时提供本地化单机版和云端云平台分析软件，供医院根据实际情况灵活选用；</w:t>
            </w:r>
          </w:p>
          <w:p w14:paraId="2F97C128">
            <w:pPr>
              <w:spacing w:line="360" w:lineRule="auto"/>
              <w:jc w:val="left"/>
              <w:rPr>
                <w:rFonts w:hint="eastAsia" w:ascii="宋体" w:hAnsi="宋体" w:cs="宋体"/>
                <w:szCs w:val="21"/>
              </w:rPr>
            </w:pPr>
            <w:r>
              <w:rPr>
                <w:rFonts w:hint="eastAsia" w:ascii="宋体" w:hAnsi="宋体" w:cs="宋体"/>
                <w:szCs w:val="21"/>
              </w:rPr>
              <w:t>9.检测质控：检测流程有明确、详细、可行的质控方案和指标；</w:t>
            </w:r>
          </w:p>
          <w:p w14:paraId="6FF92106">
            <w:pPr>
              <w:spacing w:line="360" w:lineRule="auto"/>
              <w:jc w:val="left"/>
              <w:rPr>
                <w:rFonts w:hint="eastAsia" w:ascii="宋体" w:hAnsi="宋体" w:cs="宋体"/>
                <w:szCs w:val="21"/>
              </w:rPr>
            </w:pPr>
            <w:r>
              <w:rPr>
                <w:rFonts w:hint="eastAsia" w:ascii="宋体" w:hAnsi="宋体" w:cs="宋体"/>
                <w:szCs w:val="21"/>
              </w:rPr>
              <w:t>10.本地化能力：可协助医院实现本地化检测分析，并提供技术支持、遗传咨询培训及实验室体系管理培训等</w:t>
            </w:r>
          </w:p>
          <w:p w14:paraId="39F463CB">
            <w:pPr>
              <w:spacing w:line="360" w:lineRule="auto"/>
              <w:jc w:val="center"/>
              <w:rPr>
                <w:rFonts w:hint="eastAsia" w:ascii="宋体" w:hAnsi="宋体" w:cs="宋体"/>
                <w:szCs w:val="21"/>
              </w:rPr>
            </w:pPr>
            <w:r>
              <w:rPr>
                <w:rFonts w:hint="eastAsia" w:ascii="宋体" w:hAnsi="宋体" w:cs="宋体"/>
                <w:szCs w:val="21"/>
              </w:rPr>
              <w:t>11.▲提供进行 PGT-M 检测必要的配套试剂及耗材等。</w:t>
            </w:r>
          </w:p>
        </w:tc>
      </w:tr>
      <w:tr w14:paraId="2A826A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19" w:type="dxa"/>
            <w:tcBorders>
              <w:top w:val="single" w:color="auto" w:sz="4" w:space="0"/>
              <w:left w:val="single" w:color="auto" w:sz="4" w:space="0"/>
              <w:right w:val="single" w:color="auto" w:sz="4" w:space="0"/>
            </w:tcBorders>
            <w:vAlign w:val="center"/>
          </w:tcPr>
          <w:p w14:paraId="3287C75A">
            <w:pPr>
              <w:spacing w:line="360" w:lineRule="auto"/>
              <w:jc w:val="center"/>
              <w:rPr>
                <w:rFonts w:hint="eastAsia" w:ascii="宋体" w:hAnsi="宋体" w:cs="宋体"/>
                <w:szCs w:val="21"/>
              </w:rPr>
            </w:pPr>
            <w:r>
              <w:rPr>
                <w:rFonts w:hint="eastAsia" w:ascii="宋体" w:hAnsi="宋体" w:cs="宋体"/>
                <w:szCs w:val="21"/>
              </w:rPr>
              <w:t>3</w:t>
            </w:r>
          </w:p>
        </w:tc>
        <w:tc>
          <w:tcPr>
            <w:tcW w:w="1589" w:type="dxa"/>
            <w:gridSpan w:val="2"/>
            <w:tcBorders>
              <w:top w:val="single" w:color="auto" w:sz="4" w:space="0"/>
              <w:left w:val="single" w:color="auto" w:sz="4" w:space="0"/>
              <w:right w:val="single" w:color="auto" w:sz="4" w:space="0"/>
            </w:tcBorders>
            <w:vAlign w:val="center"/>
          </w:tcPr>
          <w:p w14:paraId="1DF7A270">
            <w:pPr>
              <w:spacing w:line="360" w:lineRule="auto"/>
              <w:jc w:val="center"/>
              <w:rPr>
                <w:rFonts w:hint="eastAsia" w:ascii="宋体" w:hAnsi="宋体" w:cs="宋体"/>
                <w:szCs w:val="21"/>
              </w:rPr>
            </w:pPr>
            <w:r>
              <w:rPr>
                <w:rFonts w:hint="eastAsia" w:ascii="宋体" w:hAnsi="宋体" w:cs="宋体"/>
                <w:szCs w:val="21"/>
              </w:rPr>
              <w:t>PGT-A+PGT-M+PGT-SR试剂</w:t>
            </w:r>
          </w:p>
        </w:tc>
        <w:tc>
          <w:tcPr>
            <w:tcW w:w="1006" w:type="dxa"/>
            <w:tcBorders>
              <w:top w:val="single" w:color="auto" w:sz="4" w:space="0"/>
              <w:left w:val="single" w:color="auto" w:sz="4" w:space="0"/>
              <w:right w:val="single" w:color="auto" w:sz="4" w:space="0"/>
            </w:tcBorders>
            <w:vAlign w:val="center"/>
          </w:tcPr>
          <w:p w14:paraId="401F54E4">
            <w:pPr>
              <w:spacing w:line="360" w:lineRule="auto"/>
              <w:jc w:val="left"/>
              <w:rPr>
                <w:rFonts w:hint="eastAsia" w:ascii="宋体" w:hAnsi="宋体" w:cs="宋体"/>
                <w:szCs w:val="21"/>
              </w:rPr>
            </w:pPr>
            <w:r>
              <w:rPr>
                <w:rFonts w:hint="eastAsia" w:ascii="宋体" w:hAnsi="宋体" w:cs="宋体"/>
                <w:szCs w:val="21"/>
              </w:rPr>
              <w:t>次</w:t>
            </w:r>
          </w:p>
        </w:tc>
        <w:tc>
          <w:tcPr>
            <w:tcW w:w="720" w:type="dxa"/>
            <w:tcBorders>
              <w:top w:val="single" w:color="auto" w:sz="4" w:space="0"/>
              <w:left w:val="single" w:color="auto" w:sz="4" w:space="0"/>
              <w:right w:val="single" w:color="auto" w:sz="4" w:space="0"/>
            </w:tcBorders>
            <w:vAlign w:val="center"/>
          </w:tcPr>
          <w:p w14:paraId="0D087D22">
            <w:pPr>
              <w:spacing w:line="360" w:lineRule="auto"/>
              <w:jc w:val="left"/>
              <w:rPr>
                <w:rFonts w:hint="default" w:ascii="宋体" w:hAnsi="宋体" w:eastAsia="宋体" w:cs="宋体"/>
                <w:szCs w:val="21"/>
                <w:lang w:val="en-US" w:eastAsia="zh-CN"/>
              </w:rPr>
            </w:pPr>
            <w:r>
              <w:rPr>
                <w:rFonts w:hint="eastAsia" w:ascii="宋体" w:hAnsi="宋体" w:cs="宋体"/>
                <w:szCs w:val="21"/>
                <w:lang w:val="en-US" w:eastAsia="zh-CN"/>
              </w:rPr>
              <w:t>300</w:t>
            </w:r>
          </w:p>
        </w:tc>
        <w:tc>
          <w:tcPr>
            <w:tcW w:w="5707" w:type="dxa"/>
            <w:tcBorders>
              <w:top w:val="single" w:color="auto" w:sz="4" w:space="0"/>
              <w:left w:val="single" w:color="auto" w:sz="4" w:space="0"/>
              <w:right w:val="single" w:color="auto" w:sz="4" w:space="0"/>
            </w:tcBorders>
            <w:vAlign w:val="center"/>
          </w:tcPr>
          <w:p w14:paraId="46224929">
            <w:pPr>
              <w:spacing w:line="360" w:lineRule="auto"/>
              <w:jc w:val="left"/>
              <w:rPr>
                <w:rFonts w:hint="eastAsia" w:ascii="宋体" w:hAnsi="宋体" w:cs="宋体"/>
                <w:szCs w:val="21"/>
              </w:rPr>
            </w:pPr>
            <w:r>
              <w:rPr>
                <w:rFonts w:hint="eastAsia" w:ascii="宋体" w:hAnsi="宋体" w:cs="宋体"/>
                <w:szCs w:val="21"/>
              </w:rPr>
              <w:t>一、PGT-A胚胎植入前染色体非整倍体检测项目技术参数</w:t>
            </w:r>
          </w:p>
          <w:p w14:paraId="6CCD43D9">
            <w:pPr>
              <w:spacing w:line="360" w:lineRule="auto"/>
              <w:jc w:val="left"/>
              <w:rPr>
                <w:rFonts w:hint="eastAsia" w:ascii="宋体" w:hAnsi="宋体" w:cs="宋体"/>
                <w:szCs w:val="21"/>
              </w:rPr>
            </w:pPr>
            <w:r>
              <w:rPr>
                <w:rFonts w:hint="eastAsia" w:ascii="宋体" w:hAnsi="宋体" w:cs="宋体"/>
                <w:szCs w:val="21"/>
              </w:rPr>
              <w:t>1.▲试剂盒可检测23对染色体非整倍体异常、4Mb以上未知的缺失或重复、10Mb以上且比例大于30%的胚胎嵌合体异常；</w:t>
            </w:r>
          </w:p>
          <w:p w14:paraId="25A398BC">
            <w:pPr>
              <w:spacing w:line="360" w:lineRule="auto"/>
              <w:jc w:val="left"/>
              <w:rPr>
                <w:rFonts w:hint="eastAsia" w:ascii="宋体" w:hAnsi="宋体" w:cs="宋体"/>
                <w:szCs w:val="21"/>
              </w:rPr>
            </w:pPr>
            <w:r>
              <w:rPr>
                <w:rFonts w:hint="eastAsia" w:ascii="宋体" w:hAnsi="宋体" w:cs="宋体"/>
                <w:szCs w:val="21"/>
              </w:rPr>
              <w:t>2.试剂盒可检测1Mb以上已知的缺失或重复；</w:t>
            </w:r>
          </w:p>
          <w:p w14:paraId="2323F333">
            <w:pPr>
              <w:spacing w:line="360" w:lineRule="auto"/>
              <w:jc w:val="left"/>
              <w:rPr>
                <w:rFonts w:hint="eastAsia" w:ascii="宋体" w:hAnsi="宋体" w:cs="宋体"/>
                <w:szCs w:val="21"/>
              </w:rPr>
            </w:pPr>
            <w:r>
              <w:rPr>
                <w:rFonts w:hint="eastAsia" w:ascii="宋体" w:hAnsi="宋体" w:cs="宋体"/>
                <w:szCs w:val="21"/>
              </w:rPr>
              <w:t>3.试剂盒可检测三倍体异常、整条染色体ROH；</w:t>
            </w:r>
          </w:p>
          <w:p w14:paraId="5C2E106D">
            <w:pPr>
              <w:spacing w:line="360" w:lineRule="auto"/>
              <w:jc w:val="left"/>
              <w:rPr>
                <w:rFonts w:hint="eastAsia" w:ascii="宋体" w:hAnsi="宋体" w:cs="宋体"/>
                <w:szCs w:val="21"/>
              </w:rPr>
            </w:pPr>
            <w:r>
              <w:rPr>
                <w:rFonts w:hint="eastAsia" w:ascii="宋体" w:hAnsi="宋体" w:cs="宋体"/>
                <w:szCs w:val="21"/>
              </w:rPr>
              <w:t>4.单细胞扩增技术需满足：脱扣率低于10%；</w:t>
            </w:r>
          </w:p>
          <w:p w14:paraId="6F8CE30D">
            <w:pPr>
              <w:spacing w:line="360" w:lineRule="auto"/>
              <w:jc w:val="left"/>
              <w:rPr>
                <w:rFonts w:hint="eastAsia" w:ascii="宋体" w:hAnsi="宋体" w:cs="宋体"/>
                <w:szCs w:val="21"/>
              </w:rPr>
            </w:pPr>
            <w:r>
              <w:rPr>
                <w:rFonts w:hint="eastAsia" w:ascii="宋体" w:hAnsi="宋体" w:cs="宋体"/>
                <w:szCs w:val="21"/>
              </w:rPr>
              <w:t>5.▲试剂盒存在多种规格灵活适用于MGISEQ-200和MGISEQ-2000测序仪；</w:t>
            </w:r>
          </w:p>
          <w:p w14:paraId="21A77610">
            <w:pPr>
              <w:spacing w:line="360" w:lineRule="auto"/>
              <w:jc w:val="left"/>
              <w:rPr>
                <w:rFonts w:hint="eastAsia" w:ascii="宋体" w:hAnsi="宋体" w:cs="宋体"/>
                <w:szCs w:val="21"/>
              </w:rPr>
            </w:pPr>
            <w:r>
              <w:rPr>
                <w:rFonts w:hint="eastAsia" w:ascii="宋体" w:hAnsi="宋体" w:cs="宋体"/>
                <w:szCs w:val="21"/>
              </w:rPr>
              <w:t>6.能够同时提供本地化单机版和云端云平台分析软件</w:t>
            </w:r>
          </w:p>
          <w:p w14:paraId="1BCE01D4">
            <w:pPr>
              <w:spacing w:line="360" w:lineRule="auto"/>
              <w:jc w:val="left"/>
              <w:rPr>
                <w:rFonts w:hint="eastAsia" w:ascii="宋体" w:hAnsi="宋体" w:cs="宋体"/>
                <w:szCs w:val="21"/>
              </w:rPr>
            </w:pPr>
            <w:r>
              <w:rPr>
                <w:rFonts w:hint="eastAsia" w:ascii="宋体" w:hAnsi="宋体" w:cs="宋体"/>
                <w:szCs w:val="21"/>
              </w:rPr>
              <w:t>7.检测质控：检测流程有明确、详细、可行的质控方案和指标；</w:t>
            </w:r>
          </w:p>
          <w:p w14:paraId="4B5525DB">
            <w:pPr>
              <w:spacing w:line="360" w:lineRule="auto"/>
              <w:jc w:val="left"/>
              <w:rPr>
                <w:rFonts w:hint="eastAsia" w:ascii="宋体" w:hAnsi="宋体" w:cs="宋体"/>
                <w:szCs w:val="21"/>
              </w:rPr>
            </w:pPr>
            <w:r>
              <w:rPr>
                <w:rFonts w:hint="eastAsia" w:ascii="宋体" w:hAnsi="宋体" w:cs="宋体"/>
                <w:szCs w:val="21"/>
              </w:rPr>
              <w:t>8.本地化能力：可协助医院实现本地化检测分析，并提供技术支持、遗传咨询培训及实验室体系管理培训等；</w:t>
            </w:r>
          </w:p>
          <w:p w14:paraId="71C52786">
            <w:pPr>
              <w:spacing w:line="360" w:lineRule="auto"/>
              <w:jc w:val="left"/>
              <w:rPr>
                <w:rFonts w:hint="eastAsia" w:ascii="宋体" w:hAnsi="宋体" w:cs="宋体"/>
                <w:szCs w:val="21"/>
              </w:rPr>
            </w:pPr>
            <w:r>
              <w:rPr>
                <w:rFonts w:hint="eastAsia" w:ascii="宋体" w:hAnsi="宋体" w:cs="宋体"/>
                <w:szCs w:val="21"/>
              </w:rPr>
              <w:t>9.▲提供进行 PGT-A 检测必要的配套试剂及耗材等，以完成胚胎植入前染色体非整倍体检测。</w:t>
            </w:r>
          </w:p>
          <w:p w14:paraId="4A207FC7">
            <w:pPr>
              <w:spacing w:line="360" w:lineRule="auto"/>
              <w:jc w:val="left"/>
              <w:rPr>
                <w:rFonts w:hint="eastAsia" w:ascii="宋体" w:hAnsi="宋体" w:cs="宋体"/>
                <w:szCs w:val="21"/>
              </w:rPr>
            </w:pPr>
            <w:r>
              <w:rPr>
                <w:rFonts w:hint="eastAsia" w:ascii="宋体" w:hAnsi="宋体" w:cs="宋体"/>
                <w:szCs w:val="21"/>
              </w:rPr>
              <w:t>二、PGT-M胚胎植入前单基因病检测项目技术参数</w:t>
            </w:r>
          </w:p>
          <w:p w14:paraId="05C5891D">
            <w:pPr>
              <w:spacing w:line="360" w:lineRule="auto"/>
              <w:jc w:val="left"/>
              <w:rPr>
                <w:rFonts w:hint="eastAsia" w:ascii="宋体" w:hAnsi="宋体" w:cs="宋体"/>
                <w:szCs w:val="21"/>
              </w:rPr>
            </w:pPr>
            <w:r>
              <w:rPr>
                <w:rFonts w:hint="eastAsia" w:ascii="宋体" w:hAnsi="宋体" w:cs="宋体"/>
                <w:szCs w:val="21"/>
              </w:rPr>
              <w:t>1.▲试剂盒具备医疗器械备案证或注册证；（投标时，须提供相关有效证明材料）</w:t>
            </w:r>
          </w:p>
          <w:p w14:paraId="110C2D1E">
            <w:pPr>
              <w:spacing w:line="360" w:lineRule="auto"/>
              <w:jc w:val="left"/>
              <w:rPr>
                <w:rFonts w:hint="eastAsia" w:ascii="宋体" w:hAnsi="宋体" w:cs="宋体"/>
                <w:szCs w:val="21"/>
              </w:rPr>
            </w:pPr>
            <w:r>
              <w:rPr>
                <w:rFonts w:hint="eastAsia" w:ascii="宋体" w:hAnsi="宋体" w:cs="宋体"/>
                <w:szCs w:val="21"/>
              </w:rPr>
              <w:t>2.检测方案：能够利用高通量测序技术，可一次进行单基因病致病位点直接检测和单体型构建两种方法同时检测，保障目标基因检测准确性；</w:t>
            </w:r>
          </w:p>
          <w:p w14:paraId="6A404192">
            <w:pPr>
              <w:spacing w:line="360" w:lineRule="auto"/>
              <w:jc w:val="left"/>
              <w:rPr>
                <w:rFonts w:hint="eastAsia" w:ascii="宋体" w:hAnsi="宋体" w:cs="宋体"/>
                <w:szCs w:val="21"/>
              </w:rPr>
            </w:pPr>
            <w:r>
              <w:rPr>
                <w:rFonts w:hint="eastAsia" w:ascii="宋体" w:hAnsi="宋体" w:cs="宋体"/>
                <w:szCs w:val="21"/>
              </w:rPr>
              <w:t>3.可同时完成PGT-A的检测，包括23对染色体非整倍体，4Mb以上染色体片段缺失或重复、可提示1-4Mb致病性/可能致病性染色体片段缺失或重复、10Mb以上且比例大于30%的胚胎嵌合体、三倍体、10Mb以上的ROH</w:t>
            </w:r>
          </w:p>
          <w:p w14:paraId="009CD9A5">
            <w:pPr>
              <w:spacing w:line="360" w:lineRule="auto"/>
              <w:jc w:val="left"/>
              <w:rPr>
                <w:rFonts w:hint="eastAsia" w:ascii="宋体" w:hAnsi="宋体" w:cs="宋体"/>
                <w:szCs w:val="21"/>
              </w:rPr>
            </w:pPr>
            <w:r>
              <w:rPr>
                <w:rFonts w:hint="eastAsia" w:ascii="宋体" w:hAnsi="宋体" w:cs="宋体"/>
                <w:szCs w:val="21"/>
              </w:rPr>
              <w:t>4.针对特殊单基因疾病的家系能够提供有效解决方案，如：可提供无先证者案例单基因病PGT-M诊断方案、可提供生殖腺嵌合/子代新发突变家系解决方案、可提供单精子/极体PGT-M解决方案；</w:t>
            </w:r>
          </w:p>
          <w:p w14:paraId="0A20B158">
            <w:pPr>
              <w:spacing w:line="360" w:lineRule="auto"/>
              <w:jc w:val="left"/>
              <w:rPr>
                <w:rFonts w:hint="eastAsia" w:ascii="宋体" w:hAnsi="宋体" w:cs="宋体"/>
                <w:szCs w:val="21"/>
              </w:rPr>
            </w:pPr>
            <w:r>
              <w:rPr>
                <w:rFonts w:hint="eastAsia" w:ascii="宋体" w:hAnsi="宋体" w:cs="宋体"/>
                <w:szCs w:val="21"/>
              </w:rPr>
              <w:t>5.针对基因位于着丝粒附近或染色体末端的特殊常见疾病，如α地贫、甲型血友病F8，可提供SNP+STR双标记等技术方法；</w:t>
            </w:r>
          </w:p>
          <w:p w14:paraId="42CB9657">
            <w:pPr>
              <w:spacing w:line="360" w:lineRule="auto"/>
              <w:jc w:val="left"/>
              <w:rPr>
                <w:rFonts w:hint="eastAsia" w:ascii="宋体" w:hAnsi="宋体" w:cs="宋体"/>
                <w:szCs w:val="21"/>
              </w:rPr>
            </w:pPr>
            <w:r>
              <w:rPr>
                <w:rFonts w:hint="eastAsia" w:ascii="宋体" w:hAnsi="宋体" w:cs="宋体"/>
                <w:szCs w:val="21"/>
              </w:rPr>
              <w:t>6.可提供多种遗传病相关的 HLA 单体型分析；</w:t>
            </w:r>
          </w:p>
          <w:p w14:paraId="7BFACB0C">
            <w:pPr>
              <w:spacing w:line="360" w:lineRule="auto"/>
              <w:jc w:val="left"/>
              <w:rPr>
                <w:rFonts w:hint="eastAsia" w:ascii="宋体" w:hAnsi="宋体" w:cs="宋体"/>
                <w:szCs w:val="21"/>
              </w:rPr>
            </w:pPr>
            <w:r>
              <w:rPr>
                <w:rFonts w:hint="eastAsia" w:ascii="宋体" w:hAnsi="宋体" w:cs="宋体"/>
                <w:szCs w:val="21"/>
              </w:rPr>
              <w:t>7.▲试剂盒存在多种规格灵活适用于MGISEQ-200和MGISEQ-2000测序仪；</w:t>
            </w:r>
          </w:p>
          <w:p w14:paraId="6AEE7F18">
            <w:pPr>
              <w:spacing w:line="360" w:lineRule="auto"/>
              <w:jc w:val="left"/>
              <w:rPr>
                <w:rFonts w:hint="eastAsia" w:ascii="宋体" w:hAnsi="宋体" w:cs="宋体"/>
                <w:szCs w:val="21"/>
              </w:rPr>
            </w:pPr>
            <w:r>
              <w:rPr>
                <w:rFonts w:hint="eastAsia" w:ascii="宋体" w:hAnsi="宋体" w:cs="宋体"/>
                <w:szCs w:val="21"/>
              </w:rPr>
              <w:t>8.能够同时提供本地化单机版和云端云平台分析软件，供医院根据实际情况灵活选用；</w:t>
            </w:r>
          </w:p>
          <w:p w14:paraId="0FB18FCF">
            <w:pPr>
              <w:spacing w:line="360" w:lineRule="auto"/>
              <w:jc w:val="left"/>
              <w:rPr>
                <w:rFonts w:hint="eastAsia" w:ascii="宋体" w:hAnsi="宋体" w:cs="宋体"/>
                <w:szCs w:val="21"/>
              </w:rPr>
            </w:pPr>
            <w:r>
              <w:rPr>
                <w:rFonts w:hint="eastAsia" w:ascii="宋体" w:hAnsi="宋体" w:cs="宋体"/>
                <w:szCs w:val="21"/>
              </w:rPr>
              <w:t>9.检测质控：检测流程有明确、详细、可行的质控方案和指标；</w:t>
            </w:r>
          </w:p>
          <w:p w14:paraId="73D19561">
            <w:pPr>
              <w:spacing w:line="360" w:lineRule="auto"/>
              <w:jc w:val="left"/>
              <w:rPr>
                <w:rFonts w:hint="eastAsia" w:ascii="宋体" w:hAnsi="宋体" w:cs="宋体"/>
                <w:szCs w:val="21"/>
              </w:rPr>
            </w:pPr>
            <w:r>
              <w:rPr>
                <w:rFonts w:hint="eastAsia" w:ascii="宋体" w:hAnsi="宋体" w:cs="宋体"/>
                <w:szCs w:val="21"/>
              </w:rPr>
              <w:t>10.本地化能力：可协助医院实现本地化检测分析，并提供技术支持、遗传咨询培训及实验室体系管理培训等</w:t>
            </w:r>
          </w:p>
          <w:p w14:paraId="37CD0E4D">
            <w:pPr>
              <w:spacing w:line="360" w:lineRule="auto"/>
              <w:jc w:val="left"/>
              <w:rPr>
                <w:rFonts w:hint="eastAsia" w:ascii="宋体" w:hAnsi="宋体" w:cs="宋体"/>
                <w:szCs w:val="21"/>
              </w:rPr>
            </w:pPr>
            <w:r>
              <w:rPr>
                <w:rFonts w:hint="eastAsia" w:ascii="宋体" w:hAnsi="宋体" w:cs="宋体"/>
                <w:szCs w:val="21"/>
              </w:rPr>
              <w:t>11.▲提供进行 PGT-M 检测必要的配套试剂及耗材等。</w:t>
            </w:r>
          </w:p>
          <w:p w14:paraId="304777CE">
            <w:pPr>
              <w:spacing w:line="360" w:lineRule="auto"/>
              <w:jc w:val="left"/>
              <w:rPr>
                <w:rFonts w:hint="eastAsia" w:ascii="宋体" w:hAnsi="宋体" w:cs="宋体"/>
                <w:szCs w:val="21"/>
              </w:rPr>
            </w:pPr>
            <w:r>
              <w:rPr>
                <w:rFonts w:hint="eastAsia" w:ascii="宋体" w:hAnsi="宋体" w:cs="宋体"/>
                <w:szCs w:val="21"/>
              </w:rPr>
              <w:t>三、PGT-SR参数</w:t>
            </w:r>
          </w:p>
          <w:p w14:paraId="1E793367">
            <w:pPr>
              <w:spacing w:line="360" w:lineRule="auto"/>
              <w:jc w:val="left"/>
              <w:rPr>
                <w:rFonts w:hint="eastAsia" w:ascii="宋体" w:hAnsi="宋体" w:cs="宋体"/>
                <w:szCs w:val="21"/>
              </w:rPr>
            </w:pPr>
            <w:r>
              <w:rPr>
                <w:rFonts w:hint="eastAsia" w:ascii="宋体" w:hAnsi="宋体" w:cs="宋体"/>
                <w:szCs w:val="21"/>
              </w:rPr>
              <w:t>1.▲检测内容：能够利用二代测序技术对胚胎23对染色体进行检测，能够发现胚胎染色体非整倍体，≥4Mb的染色体缺失/重复异常；能够报出10Mb以上且≥30%的嵌合；能够进行携带者区分；</w:t>
            </w:r>
          </w:p>
          <w:p w14:paraId="6E5D0248">
            <w:pPr>
              <w:spacing w:line="360" w:lineRule="auto"/>
              <w:jc w:val="left"/>
              <w:rPr>
                <w:rFonts w:hint="eastAsia" w:ascii="宋体" w:hAnsi="宋体" w:cs="宋体"/>
                <w:szCs w:val="21"/>
              </w:rPr>
            </w:pPr>
            <w:r>
              <w:rPr>
                <w:rFonts w:hint="eastAsia" w:ascii="宋体" w:hAnsi="宋体" w:cs="宋体"/>
                <w:szCs w:val="21"/>
              </w:rPr>
              <w:t>2.应用二代测序技术可实现在无先证者或参考胚胎或参考家系，仅有夫妇双方样本情况下，对包括平衡易位、罗氏易位、倒位家系的胚胎成功进行携带者区分；</w:t>
            </w:r>
          </w:p>
          <w:p w14:paraId="649ECD4E">
            <w:pPr>
              <w:spacing w:line="360" w:lineRule="auto"/>
              <w:jc w:val="left"/>
              <w:rPr>
                <w:rFonts w:hint="eastAsia" w:ascii="宋体" w:hAnsi="宋体" w:cs="宋体"/>
                <w:szCs w:val="21"/>
              </w:rPr>
            </w:pPr>
            <w:r>
              <w:rPr>
                <w:rFonts w:hint="eastAsia" w:ascii="宋体" w:hAnsi="宋体" w:cs="宋体"/>
                <w:szCs w:val="21"/>
              </w:rPr>
              <w:t>3.具有配套的胚胎植入前染色体非整倍体分析软件；</w:t>
            </w:r>
          </w:p>
          <w:p w14:paraId="0F0D928B">
            <w:pPr>
              <w:spacing w:line="360" w:lineRule="auto"/>
              <w:jc w:val="left"/>
              <w:rPr>
                <w:rFonts w:hint="eastAsia" w:ascii="宋体" w:hAnsi="宋体" w:cs="宋体"/>
                <w:szCs w:val="21"/>
              </w:rPr>
            </w:pPr>
            <w:r>
              <w:rPr>
                <w:rFonts w:hint="eastAsia" w:ascii="宋体" w:hAnsi="宋体" w:cs="宋体"/>
                <w:szCs w:val="21"/>
              </w:rPr>
              <w:t>4.可通过测序平台完成对样本异常染色体片段（含嵌合）进行父母源来源区别，并对异常染色体片段进行有丝分裂或减数分裂来源区分；</w:t>
            </w:r>
          </w:p>
          <w:p w14:paraId="18B54219">
            <w:pPr>
              <w:spacing w:line="360" w:lineRule="auto"/>
              <w:jc w:val="left"/>
              <w:rPr>
                <w:rFonts w:hint="eastAsia" w:ascii="宋体" w:hAnsi="宋体" w:cs="宋体"/>
                <w:szCs w:val="21"/>
              </w:rPr>
            </w:pPr>
            <w:r>
              <w:rPr>
                <w:rFonts w:hint="eastAsia" w:ascii="宋体" w:hAnsi="宋体" w:cs="宋体"/>
                <w:szCs w:val="21"/>
              </w:rPr>
              <w:t>5.▲试剂盒存在多种规格灵活适用于MGISEQ-200和MGISEQ-2000测序仪；</w:t>
            </w:r>
          </w:p>
          <w:p w14:paraId="15F30364">
            <w:pPr>
              <w:spacing w:line="360" w:lineRule="auto"/>
              <w:jc w:val="left"/>
              <w:rPr>
                <w:rFonts w:hint="eastAsia" w:ascii="宋体" w:hAnsi="宋体" w:cs="宋体"/>
                <w:szCs w:val="21"/>
              </w:rPr>
            </w:pPr>
            <w:r>
              <w:rPr>
                <w:rFonts w:hint="eastAsia" w:ascii="宋体" w:hAnsi="宋体" w:cs="宋体"/>
                <w:szCs w:val="21"/>
              </w:rPr>
              <w:t>6.检测质控：检测流程有明确、详细、可行的质控方案和指标；</w:t>
            </w:r>
          </w:p>
          <w:p w14:paraId="6A59EC2E">
            <w:pPr>
              <w:spacing w:line="360" w:lineRule="auto"/>
              <w:jc w:val="left"/>
              <w:rPr>
                <w:rFonts w:hint="eastAsia" w:ascii="宋体" w:hAnsi="宋体" w:cs="宋体"/>
                <w:szCs w:val="21"/>
              </w:rPr>
            </w:pPr>
            <w:r>
              <w:rPr>
                <w:rFonts w:hint="eastAsia" w:ascii="宋体" w:hAnsi="宋体" w:cs="宋体"/>
                <w:szCs w:val="21"/>
              </w:rPr>
              <w:t>7.可提供不同检测技术方案（如二代测序目标区域捕获法、全基因组芯片法、三代测序法），以适应特殊的临床应用；</w:t>
            </w:r>
          </w:p>
          <w:p w14:paraId="03986781">
            <w:pPr>
              <w:spacing w:line="360" w:lineRule="auto"/>
              <w:jc w:val="left"/>
              <w:rPr>
                <w:rFonts w:hint="eastAsia" w:ascii="宋体" w:hAnsi="宋体" w:cs="宋体"/>
                <w:szCs w:val="21"/>
              </w:rPr>
            </w:pPr>
            <w:r>
              <w:rPr>
                <w:rFonts w:hint="eastAsia" w:ascii="宋体" w:hAnsi="宋体" w:cs="宋体"/>
                <w:szCs w:val="21"/>
              </w:rPr>
              <w:t>8.本地化能力：可协助医院实现本地化检测分析，并提供技术支持、遗传咨询培训及实验室体系管理培训等；</w:t>
            </w:r>
          </w:p>
          <w:p w14:paraId="0269A8EE">
            <w:pPr>
              <w:spacing w:line="360" w:lineRule="auto"/>
              <w:jc w:val="center"/>
              <w:rPr>
                <w:rFonts w:hint="eastAsia" w:ascii="宋体" w:hAnsi="宋体" w:cs="宋体"/>
                <w:szCs w:val="21"/>
              </w:rPr>
            </w:pPr>
            <w:r>
              <w:rPr>
                <w:rFonts w:hint="eastAsia" w:ascii="宋体" w:hAnsi="宋体" w:cs="宋体"/>
                <w:szCs w:val="21"/>
              </w:rPr>
              <w:t>9.▲提供进行 PGT-SR 检测必要的配套试剂及耗材等。</w:t>
            </w:r>
          </w:p>
        </w:tc>
      </w:tr>
      <w:tr w14:paraId="27B02A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9541" w:type="dxa"/>
            <w:gridSpan w:val="6"/>
            <w:tcBorders>
              <w:top w:val="single" w:color="auto" w:sz="4" w:space="0"/>
              <w:left w:val="single" w:color="auto" w:sz="4" w:space="0"/>
              <w:right w:val="single" w:color="auto" w:sz="4" w:space="0"/>
            </w:tcBorders>
            <w:vAlign w:val="center"/>
          </w:tcPr>
          <w:p w14:paraId="684B3153">
            <w:pPr>
              <w:spacing w:line="360" w:lineRule="auto"/>
              <w:jc w:val="center"/>
              <w:rPr>
                <w:rFonts w:hint="eastAsia" w:ascii="宋体" w:hAnsi="宋体" w:cs="宋体"/>
                <w:szCs w:val="21"/>
              </w:rPr>
            </w:pPr>
            <w:r>
              <w:rPr>
                <w:rFonts w:hint="eastAsia"/>
              </w:rPr>
              <w:t>备注：以上检测次数为预估数量，具体数量以实际检测次数为准。</w:t>
            </w:r>
          </w:p>
        </w:tc>
      </w:tr>
      <w:tr w14:paraId="75B59A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9541" w:type="dxa"/>
            <w:gridSpan w:val="6"/>
            <w:tcBorders>
              <w:top w:val="single" w:color="auto" w:sz="4" w:space="0"/>
              <w:left w:val="single" w:color="auto" w:sz="4" w:space="0"/>
              <w:bottom w:val="single" w:color="auto" w:sz="4" w:space="0"/>
              <w:right w:val="single" w:color="auto" w:sz="4" w:space="0"/>
            </w:tcBorders>
            <w:vAlign w:val="center"/>
          </w:tcPr>
          <w:p w14:paraId="2C4BDEF8">
            <w:pPr>
              <w:wordWrap w:val="0"/>
              <w:topLinePunct/>
              <w:snapToGrid w:val="0"/>
              <w:spacing w:line="360" w:lineRule="auto"/>
              <w:rPr>
                <w:rFonts w:hint="eastAsia" w:ascii="宋体" w:hAnsi="宋体" w:cs="宋体"/>
                <w:szCs w:val="21"/>
              </w:rPr>
            </w:pPr>
            <w:r>
              <w:rPr>
                <w:rFonts w:hint="eastAsia" w:ascii="宋体" w:hAnsi="宋体" w:cs="宋体"/>
                <w:szCs w:val="21"/>
              </w:rPr>
              <w:t>商务条款</w:t>
            </w:r>
          </w:p>
        </w:tc>
      </w:tr>
      <w:tr w14:paraId="28C74B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1567" w:type="dxa"/>
            <w:gridSpan w:val="2"/>
            <w:tcBorders>
              <w:top w:val="single" w:color="auto" w:sz="4" w:space="0"/>
              <w:left w:val="single" w:color="auto" w:sz="4" w:space="0"/>
              <w:bottom w:val="single" w:color="auto" w:sz="4" w:space="0"/>
              <w:right w:val="single" w:color="auto" w:sz="4" w:space="0"/>
            </w:tcBorders>
            <w:vAlign w:val="center"/>
          </w:tcPr>
          <w:p w14:paraId="52F20244">
            <w:pPr>
              <w:spacing w:line="360" w:lineRule="auto"/>
              <w:jc w:val="center"/>
              <w:rPr>
                <w:szCs w:val="21"/>
              </w:rPr>
            </w:pPr>
            <w:r>
              <w:rPr>
                <w:rFonts w:hint="eastAsia"/>
                <w:szCs w:val="21"/>
              </w:rPr>
              <w:t>合同签订时间</w:t>
            </w:r>
          </w:p>
        </w:tc>
        <w:tc>
          <w:tcPr>
            <w:tcW w:w="7974" w:type="dxa"/>
            <w:gridSpan w:val="4"/>
            <w:tcBorders>
              <w:top w:val="single" w:color="auto" w:sz="4" w:space="0"/>
              <w:left w:val="single" w:color="auto" w:sz="4" w:space="0"/>
              <w:bottom w:val="single" w:color="auto" w:sz="4" w:space="0"/>
              <w:right w:val="single" w:color="auto" w:sz="4" w:space="0"/>
            </w:tcBorders>
          </w:tcPr>
          <w:p w14:paraId="294DCD3C">
            <w:pPr>
              <w:spacing w:line="360" w:lineRule="auto"/>
              <w:rPr>
                <w:szCs w:val="21"/>
              </w:rPr>
            </w:pPr>
            <w:r>
              <w:rPr>
                <w:rFonts w:hint="eastAsia"/>
                <w:szCs w:val="21"/>
              </w:rPr>
              <w:t>自中标通知书发出之日起 25 日内。</w:t>
            </w:r>
          </w:p>
        </w:tc>
      </w:tr>
      <w:tr w14:paraId="0B7207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1567" w:type="dxa"/>
            <w:gridSpan w:val="2"/>
            <w:tcBorders>
              <w:top w:val="single" w:color="auto" w:sz="4" w:space="0"/>
              <w:left w:val="single" w:color="auto" w:sz="4" w:space="0"/>
              <w:bottom w:val="single" w:color="auto" w:sz="4" w:space="0"/>
              <w:right w:val="single" w:color="auto" w:sz="4" w:space="0"/>
            </w:tcBorders>
            <w:vAlign w:val="center"/>
          </w:tcPr>
          <w:p w14:paraId="009B7855">
            <w:pPr>
              <w:spacing w:line="360" w:lineRule="auto"/>
              <w:jc w:val="center"/>
              <w:rPr>
                <w:szCs w:val="21"/>
              </w:rPr>
            </w:pPr>
            <w:r>
              <w:rPr>
                <w:rFonts w:hint="eastAsia"/>
                <w:szCs w:val="21"/>
              </w:rPr>
              <w:t>服务时间及地点</w:t>
            </w:r>
          </w:p>
        </w:tc>
        <w:tc>
          <w:tcPr>
            <w:tcW w:w="7974" w:type="dxa"/>
            <w:gridSpan w:val="4"/>
            <w:tcBorders>
              <w:top w:val="single" w:color="auto" w:sz="4" w:space="0"/>
              <w:left w:val="single" w:color="auto" w:sz="4" w:space="0"/>
              <w:bottom w:val="single" w:color="auto" w:sz="4" w:space="0"/>
              <w:right w:val="single" w:color="auto" w:sz="4" w:space="0"/>
            </w:tcBorders>
          </w:tcPr>
          <w:p w14:paraId="676401D5">
            <w:pPr>
              <w:spacing w:line="360" w:lineRule="auto"/>
              <w:rPr>
                <w:szCs w:val="21"/>
              </w:rPr>
            </w:pPr>
            <w:r>
              <w:rPr>
                <w:rFonts w:hint="eastAsia"/>
                <w:szCs w:val="21"/>
              </w:rPr>
              <w:t>1、 服务期限：自合同签订之日起一年，以合同约定的具体时间为准。</w:t>
            </w:r>
          </w:p>
          <w:p w14:paraId="02A747FD">
            <w:pPr>
              <w:spacing w:line="360" w:lineRule="auto"/>
              <w:rPr>
                <w:szCs w:val="21"/>
              </w:rPr>
            </w:pPr>
            <w:r>
              <w:rPr>
                <w:rFonts w:hint="eastAsia"/>
                <w:szCs w:val="21"/>
              </w:rPr>
              <w:t>2、 配送时间：分批次交货，中标供应商收到采购人通知后，5 天内按采购人要求将货送到指定地点，急需耗材的送货时间以科室届时实际要求为准；服务期限内，中标供应商逾期送货累计超过 2 次（不含本数），采购人有权单方解除合同并按合同约定追究中标供应商的违约责任。</w:t>
            </w:r>
          </w:p>
          <w:p w14:paraId="66815A4C">
            <w:pPr>
              <w:spacing w:line="360" w:lineRule="auto"/>
              <w:rPr>
                <w:szCs w:val="21"/>
              </w:rPr>
            </w:pPr>
            <w:r>
              <w:rPr>
                <w:rFonts w:hint="eastAsia"/>
                <w:szCs w:val="21"/>
              </w:rPr>
              <w:t>3、配送地点：采购人指定地点。</w:t>
            </w:r>
          </w:p>
        </w:tc>
      </w:tr>
      <w:tr w14:paraId="472D2F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1567" w:type="dxa"/>
            <w:gridSpan w:val="2"/>
            <w:tcBorders>
              <w:top w:val="single" w:color="auto" w:sz="4" w:space="0"/>
              <w:left w:val="single" w:color="auto" w:sz="4" w:space="0"/>
              <w:bottom w:val="single" w:color="auto" w:sz="4" w:space="0"/>
              <w:right w:val="single" w:color="auto" w:sz="4" w:space="0"/>
            </w:tcBorders>
            <w:vAlign w:val="center"/>
          </w:tcPr>
          <w:p w14:paraId="30A7ED2A">
            <w:pPr>
              <w:spacing w:line="360" w:lineRule="auto"/>
              <w:jc w:val="center"/>
              <w:rPr>
                <w:rFonts w:hint="eastAsia" w:ascii="宋体" w:hAnsi="宋体" w:cs="宋体"/>
                <w:szCs w:val="21"/>
              </w:rPr>
            </w:pPr>
            <w:r>
              <w:rPr>
                <w:rFonts w:hint="eastAsia"/>
                <w:szCs w:val="21"/>
              </w:rPr>
              <w:t xml:space="preserve">质保期 </w:t>
            </w:r>
          </w:p>
        </w:tc>
        <w:tc>
          <w:tcPr>
            <w:tcW w:w="7974" w:type="dxa"/>
            <w:gridSpan w:val="4"/>
            <w:tcBorders>
              <w:top w:val="single" w:color="auto" w:sz="4" w:space="0"/>
              <w:left w:val="single" w:color="auto" w:sz="4" w:space="0"/>
              <w:bottom w:val="single" w:color="auto" w:sz="4" w:space="0"/>
              <w:right w:val="single" w:color="auto" w:sz="4" w:space="0"/>
            </w:tcBorders>
          </w:tcPr>
          <w:p w14:paraId="35422FB6">
            <w:pPr>
              <w:spacing w:line="360" w:lineRule="auto"/>
              <w:rPr>
                <w:rFonts w:hint="eastAsia" w:ascii="宋体" w:hAnsi="宋体" w:cs="宋体"/>
                <w:szCs w:val="21"/>
              </w:rPr>
            </w:pPr>
            <w:r>
              <w:rPr>
                <w:rFonts w:hint="eastAsia"/>
                <w:szCs w:val="21"/>
              </w:rPr>
              <w:t>按国家有关产品“三包”规定执行“三包”，除特别说明外，质保期为不得少于 1 年，自产品验收合格并能正常使用之日算起。</w:t>
            </w:r>
          </w:p>
        </w:tc>
      </w:tr>
      <w:tr w14:paraId="7F4C04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1567" w:type="dxa"/>
            <w:gridSpan w:val="2"/>
            <w:tcBorders>
              <w:top w:val="single" w:color="auto" w:sz="4" w:space="0"/>
              <w:left w:val="single" w:color="auto" w:sz="4" w:space="0"/>
              <w:bottom w:val="single" w:color="auto" w:sz="4" w:space="0"/>
              <w:right w:val="single" w:color="auto" w:sz="4" w:space="0"/>
            </w:tcBorders>
            <w:vAlign w:val="center"/>
          </w:tcPr>
          <w:p w14:paraId="2B87587F">
            <w:pPr>
              <w:spacing w:line="360" w:lineRule="auto"/>
              <w:jc w:val="center"/>
              <w:rPr>
                <w:szCs w:val="21"/>
              </w:rPr>
            </w:pPr>
            <w:r>
              <w:rPr>
                <w:rFonts w:hint="eastAsia"/>
                <w:szCs w:val="21"/>
              </w:rPr>
              <w:t>售后服务要求</w:t>
            </w:r>
          </w:p>
        </w:tc>
        <w:tc>
          <w:tcPr>
            <w:tcW w:w="7974" w:type="dxa"/>
            <w:gridSpan w:val="4"/>
            <w:tcBorders>
              <w:top w:val="single" w:color="auto" w:sz="4" w:space="0"/>
              <w:left w:val="single" w:color="auto" w:sz="4" w:space="0"/>
              <w:bottom w:val="single" w:color="auto" w:sz="4" w:space="0"/>
              <w:right w:val="single" w:color="auto" w:sz="4" w:space="0"/>
            </w:tcBorders>
          </w:tcPr>
          <w:p w14:paraId="025AD329">
            <w:pPr>
              <w:spacing w:line="360" w:lineRule="auto"/>
              <w:rPr>
                <w:szCs w:val="21"/>
              </w:rPr>
            </w:pPr>
            <w:r>
              <w:rPr>
                <w:rFonts w:hint="eastAsia"/>
                <w:szCs w:val="21"/>
              </w:rPr>
              <w:t>1、免费送货上门，因送货时间延长累计超过 2 次，采购人有权终止合同；</w:t>
            </w:r>
          </w:p>
          <w:p w14:paraId="71638942">
            <w:pPr>
              <w:spacing w:line="360" w:lineRule="auto"/>
              <w:rPr>
                <w:szCs w:val="21"/>
              </w:rPr>
            </w:pPr>
            <w:r>
              <w:rPr>
                <w:rFonts w:hint="eastAsia"/>
                <w:szCs w:val="21"/>
              </w:rPr>
              <w:t>2、试剂在使用过程中，如有任何质量问题，在接到电话通知后，2 小时内做出响应，24 小时内到达现场。遇到突发情况，可在 1 小时内到达现场。一般问题应在 24 小时内解决，重大问题或其它无法迅速解决的问题应在五个工作日内解决，否则须在采购人允许的迅速解决的问题的期限后二个工作日内提供与原试剂参数要求相同或高于原试剂参数要求的备用产品，以保证采购人的正常工作。</w:t>
            </w:r>
          </w:p>
          <w:p w14:paraId="1295A01E">
            <w:pPr>
              <w:spacing w:line="360" w:lineRule="auto"/>
              <w:rPr>
                <w:szCs w:val="21"/>
              </w:rPr>
            </w:pPr>
            <w:r>
              <w:rPr>
                <w:rFonts w:hint="eastAsia"/>
                <w:szCs w:val="21"/>
              </w:rPr>
              <w:t>3、配送的产品必须是全新、未使用过的产品。产品包装必须是未经使用的全新的合格产品，并按照原厂标准包装规格供货，不接受散装或拆包装件。所有货物都提供使用说明书和详细装箱清单及质量合格证，如确定有质量问题，按照正常程序退货；</w:t>
            </w:r>
          </w:p>
          <w:p w14:paraId="112C621D">
            <w:pPr>
              <w:spacing w:line="360" w:lineRule="auto"/>
              <w:rPr>
                <w:szCs w:val="21"/>
              </w:rPr>
            </w:pPr>
            <w:r>
              <w:rPr>
                <w:rFonts w:hint="eastAsia"/>
                <w:szCs w:val="21"/>
              </w:rPr>
              <w:t>4、开箱如有缺货、错装、损坏或质量问题，供应商承担全部责任，到货后，货物及其附属物品与合同规定的数量和质量不符，由此造成的货物退换过程的一切费用供应商承担。</w:t>
            </w:r>
          </w:p>
          <w:p w14:paraId="6EBCA363">
            <w:pPr>
              <w:spacing w:line="360" w:lineRule="auto"/>
              <w:rPr>
                <w:szCs w:val="21"/>
              </w:rPr>
            </w:pPr>
            <w:r>
              <w:rPr>
                <w:rFonts w:hint="eastAsia"/>
                <w:szCs w:val="21"/>
              </w:rPr>
              <w:t>5、响应文件中提供可行的售后服务承诺书：`</w:t>
            </w:r>
          </w:p>
          <w:p w14:paraId="55D4F749">
            <w:pPr>
              <w:spacing w:line="360" w:lineRule="auto"/>
              <w:rPr>
                <w:szCs w:val="21"/>
              </w:rPr>
            </w:pPr>
            <w:r>
              <w:rPr>
                <w:rFonts w:hint="eastAsia"/>
                <w:szCs w:val="21"/>
              </w:rPr>
              <w:t>6、成交供应商要在供货数量达到合同签订数量70%后，及时主动联系采购人告知已送货数量。</w:t>
            </w:r>
          </w:p>
          <w:p w14:paraId="669BBA6E">
            <w:pPr>
              <w:spacing w:line="360" w:lineRule="auto"/>
            </w:pPr>
            <w:r>
              <w:rPr>
                <w:rFonts w:hint="eastAsia"/>
                <w:szCs w:val="21"/>
              </w:rPr>
              <w:t>7、保证货物在合同期限内有相关产品授权，不得以授权到期为由申请 转配送或逾期不供货。</w:t>
            </w:r>
          </w:p>
        </w:tc>
      </w:tr>
      <w:tr w14:paraId="7630E4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1567" w:type="dxa"/>
            <w:gridSpan w:val="2"/>
            <w:tcBorders>
              <w:top w:val="single" w:color="auto" w:sz="4" w:space="0"/>
              <w:left w:val="single" w:color="auto" w:sz="4" w:space="0"/>
              <w:bottom w:val="single" w:color="auto" w:sz="4" w:space="0"/>
              <w:right w:val="single" w:color="auto" w:sz="4" w:space="0"/>
            </w:tcBorders>
            <w:vAlign w:val="center"/>
          </w:tcPr>
          <w:p w14:paraId="22470443">
            <w:pPr>
              <w:spacing w:line="360" w:lineRule="auto"/>
              <w:jc w:val="center"/>
              <w:rPr>
                <w:szCs w:val="21"/>
              </w:rPr>
            </w:pPr>
            <w:r>
              <w:rPr>
                <w:rFonts w:hint="eastAsia"/>
                <w:szCs w:val="21"/>
              </w:rPr>
              <w:t>付款方式</w:t>
            </w:r>
          </w:p>
        </w:tc>
        <w:tc>
          <w:tcPr>
            <w:tcW w:w="7974" w:type="dxa"/>
            <w:gridSpan w:val="4"/>
            <w:tcBorders>
              <w:top w:val="single" w:color="auto" w:sz="4" w:space="0"/>
              <w:left w:val="single" w:color="auto" w:sz="4" w:space="0"/>
              <w:bottom w:val="single" w:color="auto" w:sz="4" w:space="0"/>
              <w:right w:val="single" w:color="auto" w:sz="4" w:space="0"/>
            </w:tcBorders>
          </w:tcPr>
          <w:p w14:paraId="197B4081">
            <w:pPr>
              <w:spacing w:line="360" w:lineRule="auto"/>
              <w:rPr>
                <w:szCs w:val="21"/>
              </w:rPr>
            </w:pPr>
            <w:r>
              <w:rPr>
                <w:rFonts w:hint="eastAsia"/>
                <w:szCs w:val="21"/>
              </w:rPr>
              <w:t>1、中标供应商送货验收合格后，采购人每月根据实际配送产品数量进行结算，结算时，按实际供货数量*中标供应商的中标单价结算。中标供应商据此开具发票（发票必须由中标供应商自行验证真伪随同发票一并提供），采购人于收到发票并验收合格后120日内付款。</w:t>
            </w:r>
          </w:p>
          <w:p w14:paraId="28665740">
            <w:pPr>
              <w:spacing w:line="360" w:lineRule="auto"/>
              <w:rPr>
                <w:szCs w:val="21"/>
              </w:rPr>
            </w:pPr>
            <w:r>
              <w:rPr>
                <w:rFonts w:hint="eastAsia"/>
                <w:szCs w:val="21"/>
              </w:rPr>
              <w:t>2、本合同配送的产品为单价，在合同期内需适时调整。若遇市场（包括但不限于中标供应商及其总代、厂家、政府等）价格下调，中标供应商应主动及时向采购人提交降价函，于次月执行。</w:t>
            </w:r>
          </w:p>
          <w:p w14:paraId="792E098A">
            <w:pPr>
              <w:spacing w:line="360" w:lineRule="auto"/>
              <w:rPr>
                <w:szCs w:val="21"/>
              </w:rPr>
            </w:pPr>
            <w:r>
              <w:rPr>
                <w:rFonts w:hint="eastAsia"/>
                <w:szCs w:val="21"/>
              </w:rPr>
              <w:t>3、中标供应商保证产品价格不高于广西地区同级别公立医疗机构实际供货的最低价格，否则采购人有权终止合同，且未供货的产品的费用从已供货产品货款进行抵扣结算。合同期内中标供应商不得擅自上调供货价格。若特殊原因需要调价，须经采购人书面同意，并按有关程序办理。</w:t>
            </w:r>
          </w:p>
        </w:tc>
      </w:tr>
      <w:tr w14:paraId="0186C7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1567" w:type="dxa"/>
            <w:gridSpan w:val="2"/>
            <w:tcBorders>
              <w:top w:val="single" w:color="auto" w:sz="4" w:space="0"/>
              <w:left w:val="single" w:color="auto" w:sz="4" w:space="0"/>
              <w:bottom w:val="single" w:color="auto" w:sz="4" w:space="0"/>
              <w:right w:val="single" w:color="auto" w:sz="4" w:space="0"/>
            </w:tcBorders>
            <w:vAlign w:val="center"/>
          </w:tcPr>
          <w:p w14:paraId="4CB7F5A6">
            <w:pPr>
              <w:spacing w:line="360" w:lineRule="auto"/>
              <w:jc w:val="center"/>
              <w:rPr>
                <w:szCs w:val="21"/>
              </w:rPr>
            </w:pPr>
            <w:r>
              <w:rPr>
                <w:rFonts w:hint="eastAsia"/>
                <w:szCs w:val="21"/>
              </w:rPr>
              <w:t>验收标准、验收方法</w:t>
            </w:r>
          </w:p>
        </w:tc>
        <w:tc>
          <w:tcPr>
            <w:tcW w:w="7974" w:type="dxa"/>
            <w:gridSpan w:val="4"/>
            <w:tcBorders>
              <w:top w:val="single" w:color="auto" w:sz="4" w:space="0"/>
              <w:left w:val="single" w:color="auto" w:sz="4" w:space="0"/>
              <w:bottom w:val="single" w:color="auto" w:sz="4" w:space="0"/>
              <w:right w:val="single" w:color="auto" w:sz="4" w:space="0"/>
            </w:tcBorders>
          </w:tcPr>
          <w:p w14:paraId="4857C93B">
            <w:pPr>
              <w:spacing w:line="360" w:lineRule="auto"/>
              <w:rPr>
                <w:szCs w:val="21"/>
              </w:rPr>
            </w:pPr>
            <w:r>
              <w:rPr>
                <w:rFonts w:hint="eastAsia"/>
                <w:szCs w:val="21"/>
              </w:rPr>
              <w:t>1、中标供应商提供不符合公告规定的、采购文件、投标文件承诺的或本合同规定的货物，采购人有权拒绝接受。</w:t>
            </w:r>
          </w:p>
          <w:p w14:paraId="6ACFB3CC">
            <w:pPr>
              <w:spacing w:line="360" w:lineRule="auto"/>
              <w:rPr>
                <w:szCs w:val="21"/>
              </w:rPr>
            </w:pPr>
            <w:r>
              <w:rPr>
                <w:rFonts w:hint="eastAsia"/>
                <w:szCs w:val="21"/>
              </w:rPr>
              <w:t>2、中标供应商应将所提供货物的装箱清单、用户手册、合格证明等交付给采购人，如有缺失应在采购人要求的期限内及时补齐，否则视为逾期配送。</w:t>
            </w:r>
          </w:p>
          <w:p w14:paraId="3D31915F">
            <w:pPr>
              <w:spacing w:line="360" w:lineRule="auto"/>
              <w:rPr>
                <w:szCs w:val="21"/>
              </w:rPr>
            </w:pPr>
            <w:r>
              <w:rPr>
                <w:rFonts w:hint="eastAsia"/>
                <w:szCs w:val="21"/>
              </w:rPr>
              <w:t>3、产品到达现场后，中标人应在招标单位人员在场情况下当面开箱，共同清点、检查外观，作出开箱记录，双方签字确认。中标人应保证货物到达采购人所在地完好无损，如有缺漏、损坏，由中标人负责调换、补齐或赔偿。</w:t>
            </w:r>
          </w:p>
          <w:p w14:paraId="31A2B185">
            <w:pPr>
              <w:spacing w:line="360" w:lineRule="auto"/>
              <w:rPr>
                <w:szCs w:val="21"/>
              </w:rPr>
            </w:pPr>
            <w:r>
              <w:rPr>
                <w:rFonts w:hint="eastAsia"/>
                <w:szCs w:val="21"/>
              </w:rPr>
              <w:t>4、采购人对验收有异议的，在验收后以书面形式向中标供应商提出，中标供应商应自收到采购人书面异议后五日内及时予以解决，中标供应商不予答复或未予以实质解决的，视为认可采购人异议及处置意见。</w:t>
            </w:r>
          </w:p>
          <w:p w14:paraId="49810425">
            <w:pPr>
              <w:spacing w:line="360" w:lineRule="auto"/>
              <w:rPr>
                <w:szCs w:val="21"/>
              </w:rPr>
            </w:pPr>
            <w:r>
              <w:rPr>
                <w:rFonts w:hint="eastAsia"/>
                <w:szCs w:val="21"/>
              </w:rPr>
              <w:t>5、若采购人委托第三方组织的验收项目，其验收时间以该项目验收方案确定的验收时间为准，验收结果以该项目验收报告结论为准。在验收过程中发现中标供应商有违约问题，可暂缓资金结算，待违约问题解决后，方可办理资金结算事宜，在此期间，采购人不承担逾期付款责任。</w:t>
            </w:r>
          </w:p>
          <w:p w14:paraId="7588EE8F">
            <w:pPr>
              <w:spacing w:line="360" w:lineRule="auto"/>
              <w:rPr>
                <w:szCs w:val="21"/>
              </w:rPr>
            </w:pPr>
            <w:r>
              <w:rPr>
                <w:rFonts w:hint="eastAsia"/>
                <w:szCs w:val="21"/>
              </w:rPr>
              <w:t>6、其他未尽事宜应严格按照《关于印发广西壮族自治区政府采购项目履约验收管理办法的通知》[桂财采〔2015〕22 号]以及《财政部关于进一步加强政府采购需求和履约验收管理的指导意见》[财库〔2016〕205 号]规定执行。</w:t>
            </w:r>
          </w:p>
          <w:p w14:paraId="2134CC1A">
            <w:pPr>
              <w:spacing w:line="360" w:lineRule="auto"/>
              <w:rPr>
                <w:szCs w:val="21"/>
              </w:rPr>
            </w:pPr>
            <w:r>
              <w:rPr>
                <w:rFonts w:hint="eastAsia"/>
                <w:szCs w:val="21"/>
              </w:rPr>
              <w:t>7、验收过程中所产生的一切费用均由中标人承担，包括中标人邀请第三方检测机构出具检测报告的费用、邀请第三方验收代理机构组织验收的费用以及因检测或验收不合格导致开展再次检测或验收所产生的费用等。</w:t>
            </w:r>
          </w:p>
        </w:tc>
      </w:tr>
      <w:tr w14:paraId="5A9EA2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1567" w:type="dxa"/>
            <w:gridSpan w:val="2"/>
            <w:tcBorders>
              <w:top w:val="single" w:color="auto" w:sz="4" w:space="0"/>
              <w:left w:val="single" w:color="auto" w:sz="4" w:space="0"/>
              <w:bottom w:val="single" w:color="auto" w:sz="4" w:space="0"/>
              <w:right w:val="single" w:color="auto" w:sz="4" w:space="0"/>
            </w:tcBorders>
            <w:vAlign w:val="center"/>
          </w:tcPr>
          <w:p w14:paraId="2AA07356">
            <w:pPr>
              <w:spacing w:line="360" w:lineRule="auto"/>
              <w:jc w:val="center"/>
              <w:rPr>
                <w:szCs w:val="21"/>
              </w:rPr>
            </w:pPr>
            <w:r>
              <w:rPr>
                <w:rFonts w:hint="eastAsia"/>
                <w:szCs w:val="21"/>
              </w:rPr>
              <w:t>投标报价要求</w:t>
            </w:r>
          </w:p>
        </w:tc>
        <w:tc>
          <w:tcPr>
            <w:tcW w:w="7974" w:type="dxa"/>
            <w:gridSpan w:val="4"/>
            <w:tcBorders>
              <w:top w:val="single" w:color="auto" w:sz="4" w:space="0"/>
              <w:left w:val="single" w:color="auto" w:sz="4" w:space="0"/>
              <w:bottom w:val="single" w:color="auto" w:sz="4" w:space="0"/>
              <w:right w:val="single" w:color="auto" w:sz="4" w:space="0"/>
            </w:tcBorders>
          </w:tcPr>
          <w:p w14:paraId="7153FF01">
            <w:pPr>
              <w:spacing w:line="360" w:lineRule="auto"/>
              <w:rPr>
                <w:rFonts w:hint="eastAsia"/>
                <w:szCs w:val="21"/>
              </w:rPr>
            </w:pPr>
            <w:r>
              <w:rPr>
                <w:rFonts w:hint="eastAsia"/>
                <w:szCs w:val="21"/>
              </w:rPr>
              <w:t>1、所报产品必须在广西药品和医用耗材招采管理系统采购，报价不得高于广西药品和医用耗材招采管理系统挂网价格和最高采购单价。</w:t>
            </w:r>
          </w:p>
          <w:p w14:paraId="68756B0E">
            <w:pPr>
              <w:spacing w:line="360" w:lineRule="auto"/>
              <w:rPr>
                <w:szCs w:val="21"/>
              </w:rPr>
            </w:pPr>
            <w:r>
              <w:rPr>
                <w:rFonts w:hint="eastAsia"/>
                <w:szCs w:val="21"/>
                <w:lang w:val="en-US" w:eastAsia="zh-CN"/>
              </w:rPr>
              <w:t>2、</w:t>
            </w:r>
            <w:r>
              <w:rPr>
                <w:rFonts w:hint="eastAsia"/>
                <w:szCs w:val="21"/>
              </w:rPr>
              <w:t>本项目最终投标报价不等于最终合同总价，最终总报价仅作为合同暂定总价；本项目实行单价合同进行采购，根据实际供货数量*中标供应商的中标单价结算，最终结算金额包括但不限于：完成项目所有服务所需的费用，包含配送的试剂耗材、采购的全部费用、产品指定交货地点的各种费用、售后服务、税金、利息及其它所有成本费用的总和，合同履约期间采购人不再支付其他费用。</w:t>
            </w:r>
          </w:p>
          <w:p w14:paraId="7B98E1FE">
            <w:pPr>
              <w:spacing w:line="360" w:lineRule="auto"/>
              <w:rPr>
                <w:szCs w:val="21"/>
              </w:rPr>
            </w:pPr>
            <w:r>
              <w:rPr>
                <w:rFonts w:hint="eastAsia"/>
                <w:szCs w:val="21"/>
                <w:lang w:val="en-US" w:eastAsia="zh-CN"/>
              </w:rPr>
              <w:t>3</w:t>
            </w:r>
            <w:r>
              <w:rPr>
                <w:rFonts w:hint="eastAsia"/>
                <w:szCs w:val="21"/>
              </w:rPr>
              <w:t>、本项目只确定每个品种耗材的“配送单价”，配送服务费=“配送单价”×实际数量。投标人需按“开标一览表”格式完整填写每个品种耗材的“配送单价”和“单价合计价”，“单项合价”将做为价格分的评审依据。</w:t>
            </w:r>
          </w:p>
          <w:p w14:paraId="3322D6FE">
            <w:pPr>
              <w:spacing w:line="360" w:lineRule="auto"/>
              <w:rPr>
                <w:szCs w:val="21"/>
              </w:rPr>
            </w:pPr>
            <w:r>
              <w:rPr>
                <w:rFonts w:hint="eastAsia"/>
                <w:szCs w:val="21"/>
                <w:lang w:val="en-US" w:eastAsia="zh-CN"/>
              </w:rPr>
              <w:t>4</w:t>
            </w:r>
            <w:r>
              <w:rPr>
                <w:rFonts w:hint="eastAsia"/>
                <w:szCs w:val="21"/>
              </w:rPr>
              <w:t>、结算时，按实际供货数量*中标供应商的中标单价结算，如在合同期内调整过单价的，按双方确认调整后的单价进行计算。</w:t>
            </w:r>
          </w:p>
        </w:tc>
      </w:tr>
      <w:tr w14:paraId="0DD94E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1567" w:type="dxa"/>
            <w:gridSpan w:val="2"/>
            <w:tcBorders>
              <w:top w:val="single" w:color="auto" w:sz="4" w:space="0"/>
              <w:left w:val="single" w:color="auto" w:sz="4" w:space="0"/>
              <w:bottom w:val="single" w:color="auto" w:sz="4" w:space="0"/>
              <w:right w:val="single" w:color="auto" w:sz="4" w:space="0"/>
            </w:tcBorders>
            <w:vAlign w:val="center"/>
          </w:tcPr>
          <w:p w14:paraId="12D53B86">
            <w:pPr>
              <w:spacing w:line="360" w:lineRule="auto"/>
              <w:jc w:val="center"/>
              <w:rPr>
                <w:szCs w:val="21"/>
              </w:rPr>
            </w:pPr>
            <w:r>
              <w:rPr>
                <w:rFonts w:hint="eastAsia"/>
                <w:szCs w:val="21"/>
              </w:rPr>
              <w:t>其他要求</w:t>
            </w:r>
          </w:p>
        </w:tc>
        <w:tc>
          <w:tcPr>
            <w:tcW w:w="7974" w:type="dxa"/>
            <w:gridSpan w:val="4"/>
            <w:tcBorders>
              <w:top w:val="single" w:color="auto" w:sz="4" w:space="0"/>
              <w:left w:val="single" w:color="auto" w:sz="4" w:space="0"/>
              <w:bottom w:val="single" w:color="auto" w:sz="4" w:space="0"/>
              <w:right w:val="single" w:color="auto" w:sz="4" w:space="0"/>
            </w:tcBorders>
          </w:tcPr>
          <w:p w14:paraId="1A7BBA22">
            <w:pPr>
              <w:spacing w:line="360" w:lineRule="auto"/>
              <w:rPr>
                <w:rFonts w:hint="eastAsia"/>
                <w:szCs w:val="21"/>
              </w:rPr>
            </w:pPr>
            <w:r>
              <w:rPr>
                <w:rFonts w:hint="eastAsia"/>
                <w:szCs w:val="21"/>
              </w:rPr>
              <w:t>1、供应商提供的产品必须是在自治区中标或药招采子系统平台挂网目录内的耗材产品并且承诺中选后通过药招采子系统平台配送。</w:t>
            </w:r>
          </w:p>
          <w:p w14:paraId="19592C85">
            <w:pPr>
              <w:spacing w:line="360" w:lineRule="auto"/>
              <w:rPr>
                <w:szCs w:val="21"/>
              </w:rPr>
            </w:pPr>
            <w:r>
              <w:rPr>
                <w:rFonts w:hint="eastAsia"/>
                <w:szCs w:val="21"/>
                <w:lang w:val="en-US" w:eastAsia="zh-CN"/>
              </w:rPr>
              <w:t>2、</w:t>
            </w:r>
            <w:r>
              <w:rPr>
                <w:rFonts w:hint="eastAsia"/>
                <w:szCs w:val="21"/>
              </w:rPr>
              <w:t>中标供应商配送时必须向采购人提供原厂生产的全新合格产品，同时提供产品的全套资料，包含但不限于：“医疗器械生产企业许可证”、“医疗器械经营许可/备案证”、“中华人民共和国医疗器械注册证和注册登记表”、“一次性医疗用品质量跟踪卡”、“产品合格证”、“同批次产品检验报告”。</w:t>
            </w:r>
          </w:p>
          <w:p w14:paraId="0D0D9D92">
            <w:pPr>
              <w:spacing w:line="360" w:lineRule="auto"/>
              <w:rPr>
                <w:szCs w:val="21"/>
              </w:rPr>
            </w:pPr>
            <w:r>
              <w:rPr>
                <w:rFonts w:hint="eastAsia"/>
                <w:szCs w:val="21"/>
                <w:lang w:val="en-US" w:eastAsia="zh-CN"/>
              </w:rPr>
              <w:t>3</w:t>
            </w:r>
            <w:r>
              <w:rPr>
                <w:rFonts w:hint="eastAsia"/>
                <w:szCs w:val="21"/>
              </w:rPr>
              <w:t>、中标供应商按合同附件要求的品牌型号、规格、价格提供产品，所提供的产品与医疗器械注册证和注册登记表完全相符。如与采购人计划不符或达不到合同约定的，采购人可要求中标供应商立即退货、换货、补货。未经采购人书面同意，中标供应商不得更换产品品牌、型号，否则采购人有权终止合同。</w:t>
            </w:r>
          </w:p>
          <w:p w14:paraId="5E62A6CE">
            <w:pPr>
              <w:spacing w:line="360" w:lineRule="auto"/>
              <w:rPr>
                <w:szCs w:val="21"/>
              </w:rPr>
            </w:pPr>
            <w:r>
              <w:rPr>
                <w:rFonts w:hint="eastAsia"/>
                <w:szCs w:val="21"/>
                <w:lang w:val="en-US" w:eastAsia="zh-CN"/>
              </w:rPr>
              <w:t>4</w:t>
            </w:r>
            <w:r>
              <w:rPr>
                <w:rFonts w:hint="eastAsia"/>
                <w:szCs w:val="21"/>
              </w:rPr>
              <w:t>、对不符合质量要求或不符合无菌转运要求的产品，采购人有权拒绝接收，中标供应商应对相应产品及时进行更换，不得影响采购人的临床应用。本规定的执行不免除中标供应商因产品质量产生的其他责任。</w:t>
            </w:r>
          </w:p>
          <w:p w14:paraId="09A61298">
            <w:pPr>
              <w:spacing w:line="360" w:lineRule="auto"/>
              <w:rPr>
                <w:szCs w:val="21"/>
              </w:rPr>
            </w:pPr>
            <w:r>
              <w:rPr>
                <w:rFonts w:hint="eastAsia"/>
                <w:szCs w:val="21"/>
                <w:lang w:val="en-US" w:eastAsia="zh-CN"/>
              </w:rPr>
              <w:t>5</w:t>
            </w:r>
            <w:r>
              <w:rPr>
                <w:rFonts w:hint="eastAsia"/>
                <w:szCs w:val="21"/>
              </w:rPr>
              <w:t>、中标供应商要保证供应最新批号的产品。</w:t>
            </w:r>
          </w:p>
          <w:p w14:paraId="4323F7F5">
            <w:pPr>
              <w:spacing w:line="360" w:lineRule="auto"/>
              <w:rPr>
                <w:szCs w:val="21"/>
              </w:rPr>
            </w:pPr>
            <w:r>
              <w:rPr>
                <w:rFonts w:hint="eastAsia"/>
                <w:szCs w:val="21"/>
                <w:lang w:val="en-US" w:eastAsia="zh-CN"/>
              </w:rPr>
              <w:t>6</w:t>
            </w:r>
            <w:r>
              <w:rPr>
                <w:rFonts w:hint="eastAsia"/>
                <w:szCs w:val="21"/>
              </w:rPr>
              <w:t>、供应商配送的试剂耗材进入医院后，应接受国家、省、市有关行业主管部门的抽查或检验。在抽查或检验过程中由于中标供应商产品的证照、标识、质量等问题而导致的罚没款项均由中标供应商承担相应的法律责任。</w:t>
            </w:r>
          </w:p>
          <w:p w14:paraId="55EC4852">
            <w:pPr>
              <w:spacing w:line="360" w:lineRule="auto"/>
              <w:rPr>
                <w:szCs w:val="21"/>
              </w:rPr>
            </w:pPr>
            <w:r>
              <w:rPr>
                <w:rFonts w:hint="eastAsia"/>
                <w:szCs w:val="21"/>
                <w:lang w:val="en-US" w:eastAsia="zh-CN"/>
              </w:rPr>
              <w:t>7</w:t>
            </w:r>
            <w:r>
              <w:rPr>
                <w:rFonts w:hint="eastAsia"/>
                <w:szCs w:val="21"/>
              </w:rPr>
              <w:t>、服务期限内</w:t>
            </w:r>
            <w:r>
              <w:rPr>
                <w:rFonts w:hint="eastAsia" w:ascii="宋体" w:hAnsi="宋体" w:cs="宋体"/>
                <w:szCs w:val="21"/>
                <w:lang w:val="zh-CN"/>
              </w:rPr>
              <w:t>如遇国家、自治区出台新的政策文件，涉及本品种采购和使用要求则按国家、自治区政策文件要求执行包括但不限于停止采购、限价、限量，成交供应商自行承担采购政策变化带来的风险。</w:t>
            </w:r>
            <w:r>
              <w:rPr>
                <w:rFonts w:hint="eastAsia"/>
                <w:szCs w:val="21"/>
              </w:rPr>
              <w:t>如本合同不符合新政策规定导致不能继续履行的，采购人有权终止合同。</w:t>
            </w:r>
          </w:p>
          <w:p w14:paraId="649F5538">
            <w:pPr>
              <w:spacing w:line="360" w:lineRule="auto"/>
              <w:rPr>
                <w:szCs w:val="21"/>
              </w:rPr>
            </w:pPr>
            <w:r>
              <w:rPr>
                <w:rFonts w:hint="eastAsia"/>
                <w:szCs w:val="21"/>
                <w:lang w:val="en-US" w:eastAsia="zh-CN"/>
              </w:rPr>
              <w:t>8</w:t>
            </w:r>
            <w:r>
              <w:rPr>
                <w:rFonts w:hint="eastAsia"/>
                <w:szCs w:val="21"/>
              </w:rPr>
              <w:t>、医疗器械注册证：以上配送清单供应商配送的产品如属医疗器械管理范畴的，配送产品属第二、三类医疗器械产品的，投标文件中须按《医疗器械注册与备案管理办法》 (国家市场监督管理总局令第 47 号)提供该设备有效的医疗器械注册证复印件加盖投标单位公章，否则投标无效。</w:t>
            </w:r>
          </w:p>
          <w:p w14:paraId="4F95209B">
            <w:pPr>
              <w:spacing w:line="360" w:lineRule="auto"/>
              <w:rPr>
                <w:szCs w:val="21"/>
              </w:rPr>
            </w:pPr>
            <w:r>
              <w:rPr>
                <w:rFonts w:hint="eastAsia"/>
                <w:szCs w:val="21"/>
                <w:lang w:val="en-US" w:eastAsia="zh-CN"/>
              </w:rPr>
              <w:t>9</w:t>
            </w:r>
            <w:r>
              <w:rPr>
                <w:rFonts w:hint="eastAsia"/>
                <w:szCs w:val="21"/>
              </w:rPr>
              <w:t>、服务期内，产品因厂家停产等情况导致无法正常供货的，供应商应提交书面说明，经采购人同意，双方就替代产品另行协商并签订补充协议。</w:t>
            </w:r>
          </w:p>
          <w:p w14:paraId="2710BD4A">
            <w:pPr>
              <w:spacing w:line="360" w:lineRule="auto"/>
              <w:rPr>
                <w:szCs w:val="21"/>
              </w:rPr>
            </w:pPr>
            <w:r>
              <w:rPr>
                <w:rFonts w:hint="eastAsia"/>
                <w:szCs w:val="21"/>
                <w:lang w:val="en-US" w:eastAsia="zh-CN"/>
              </w:rPr>
              <w:t>10</w:t>
            </w:r>
            <w:r>
              <w:rPr>
                <w:rFonts w:hint="eastAsia"/>
                <w:szCs w:val="21"/>
              </w:rPr>
              <w:t>、供应商必须向采购人提供合同约定产品，因供应商供应的产品证照、质量、售后服务等瑕疵而引发的医疗事故或纠纷给采购人造成的全部经济损失（包括但不限于诊疗费用、手术费用、材料费用、赔偿病人或其亲属的因人身损害赔偿的全部费用）均由供应商全部承担；采购人有权要求供应商退换已用产品，并追究供应商追究违约责任，同时采购人有权终止合同。</w:t>
            </w:r>
          </w:p>
          <w:p w14:paraId="483A97B3">
            <w:pPr>
              <w:spacing w:line="360" w:lineRule="auto"/>
              <w:rPr>
                <w:szCs w:val="21"/>
              </w:rPr>
            </w:pPr>
            <w:r>
              <w:rPr>
                <w:rFonts w:hint="eastAsia"/>
                <w:szCs w:val="21"/>
              </w:rPr>
              <w:t>1</w:t>
            </w:r>
            <w:r>
              <w:rPr>
                <w:rFonts w:hint="eastAsia"/>
                <w:szCs w:val="21"/>
                <w:lang w:val="en-US" w:eastAsia="zh-CN"/>
              </w:rPr>
              <w:t>1</w:t>
            </w:r>
            <w:r>
              <w:rPr>
                <w:rFonts w:hint="eastAsia"/>
                <w:szCs w:val="21"/>
              </w:rPr>
              <w:t>、中标供应商在配送产品时必须提供所配送产品生产厂家合法授权的厂家代理商出具的授权书，原件备查。</w:t>
            </w:r>
          </w:p>
          <w:p w14:paraId="0ADA8360">
            <w:pPr>
              <w:spacing w:line="360" w:lineRule="auto"/>
              <w:rPr>
                <w:szCs w:val="21"/>
              </w:rPr>
            </w:pPr>
            <w:r>
              <w:rPr>
                <w:rFonts w:hint="eastAsia"/>
                <w:szCs w:val="21"/>
                <w:lang w:val="en-US" w:eastAsia="zh-CN"/>
              </w:rPr>
              <w:t>12</w:t>
            </w:r>
            <w:r>
              <w:rPr>
                <w:rFonts w:hint="eastAsia"/>
                <w:szCs w:val="21"/>
              </w:rPr>
              <w:t>、技术支持资料：不限于对外公开的产品彩页或说明书或检测报告或用户手册证明材料等（体现技术参数，可以是从生产厂家网页下载的 PDF 或 HTM 文件或在食品药品监督管理部门备案的技术参数或检测报告或生产厂家盖章的技术参数证明材料），以供评标时核对。当投标文件提供的参数与该货物生产商提供的性能参数不符合时，以后者为准。</w:t>
            </w:r>
          </w:p>
          <w:p w14:paraId="7BEEA914">
            <w:pPr>
              <w:spacing w:line="360" w:lineRule="auto"/>
              <w:rPr>
                <w:szCs w:val="21"/>
              </w:rPr>
            </w:pPr>
            <w:r>
              <w:rPr>
                <w:rFonts w:hint="eastAsia"/>
                <w:szCs w:val="21"/>
              </w:rPr>
              <w:t>1</w:t>
            </w:r>
            <w:r>
              <w:rPr>
                <w:rFonts w:hint="eastAsia"/>
                <w:szCs w:val="21"/>
                <w:lang w:val="en-US" w:eastAsia="zh-CN"/>
              </w:rPr>
              <w:t>3</w:t>
            </w:r>
            <w:bookmarkStart w:id="0" w:name="_GoBack"/>
            <w:bookmarkEnd w:id="0"/>
            <w:r>
              <w:rPr>
                <w:rFonts w:hint="eastAsia"/>
                <w:szCs w:val="21"/>
              </w:rPr>
              <w:t>、投标人如有请提供与本项目需求相关的项目实施方案、管理制度方案、配送车辆、售后服务方案、信誉业绩等资料。</w:t>
            </w:r>
          </w:p>
        </w:tc>
      </w:tr>
    </w:tbl>
    <w:p w14:paraId="64AE86D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9011C3"/>
    <w:multiLevelType w:val="multilevel"/>
    <w:tmpl w:val="699011C3"/>
    <w:lvl w:ilvl="0" w:tentative="0">
      <w:start w:val="3"/>
      <w:numFmt w:val="chineseCountingThousand"/>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2"/>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GU0OGM2ODc0ZmI3NmU0ZWIzZGExZjJiYTNkNzY3OWUifQ=="/>
  </w:docVars>
  <w:rsids>
    <w:rsidRoot w:val="00EB6014"/>
    <w:rsid w:val="000A6D08"/>
    <w:rsid w:val="0018236A"/>
    <w:rsid w:val="001B6FE1"/>
    <w:rsid w:val="00234002"/>
    <w:rsid w:val="002E4B45"/>
    <w:rsid w:val="003478A4"/>
    <w:rsid w:val="005A45E9"/>
    <w:rsid w:val="00655A1D"/>
    <w:rsid w:val="00661F61"/>
    <w:rsid w:val="0073736D"/>
    <w:rsid w:val="00863FED"/>
    <w:rsid w:val="008C4059"/>
    <w:rsid w:val="008F60D1"/>
    <w:rsid w:val="0097588C"/>
    <w:rsid w:val="00C26878"/>
    <w:rsid w:val="00E822A2"/>
    <w:rsid w:val="00EB6014"/>
    <w:rsid w:val="00F55E00"/>
    <w:rsid w:val="00FA4B8E"/>
    <w:rsid w:val="00FB0FCF"/>
    <w:rsid w:val="00FF62C1"/>
    <w:rsid w:val="12C06AEE"/>
    <w:rsid w:val="364C10ED"/>
    <w:rsid w:val="500B63DD"/>
    <w:rsid w:val="664B2406"/>
    <w:rsid w:val="7C591B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link w:val="7"/>
    <w:qFormat/>
    <w:uiPriority w:val="0"/>
    <w:pPr>
      <w:keepNext/>
      <w:keepLines/>
      <w:numPr>
        <w:ilvl w:val="3"/>
        <w:numId w:val="1"/>
      </w:numPr>
      <w:spacing w:line="376" w:lineRule="auto"/>
      <w:outlineLvl w:val="3"/>
    </w:pPr>
    <w:rPr>
      <w:rFonts w:hAnsi="Arial" w:eastAsia="黑体"/>
      <w:b/>
      <w:sz w:val="24"/>
      <w:szCs w:val="20"/>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autoRedefine/>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tabs>
        <w:tab w:val="center" w:pos="4153"/>
        <w:tab w:val="right" w:pos="8306"/>
      </w:tabs>
      <w:snapToGrid w:val="0"/>
      <w:jc w:val="center"/>
    </w:pPr>
    <w:rPr>
      <w:sz w:val="18"/>
      <w:szCs w:val="18"/>
    </w:rPr>
  </w:style>
  <w:style w:type="character" w:customStyle="1" w:styleId="7">
    <w:name w:val="标题 4 字符"/>
    <w:basedOn w:val="6"/>
    <w:link w:val="2"/>
    <w:autoRedefine/>
    <w:qFormat/>
    <w:uiPriority w:val="0"/>
    <w:rPr>
      <w:rFonts w:ascii="Times New Roman" w:hAnsi="Arial" w:eastAsia="黑体" w:cs="Times New Roman"/>
      <w:b/>
      <w:sz w:val="24"/>
      <w:szCs w:val="20"/>
    </w:rPr>
  </w:style>
  <w:style w:type="character" w:customStyle="1" w:styleId="8">
    <w:name w:val="页眉 字符"/>
    <w:basedOn w:val="6"/>
    <w:link w:val="4"/>
    <w:qFormat/>
    <w:uiPriority w:val="99"/>
    <w:rPr>
      <w:rFonts w:ascii="Times New Roman" w:hAnsi="Times New Roman" w:eastAsia="宋体" w:cs="Times New Roman"/>
      <w:sz w:val="18"/>
      <w:szCs w:val="18"/>
    </w:rPr>
  </w:style>
  <w:style w:type="character" w:customStyle="1" w:styleId="9">
    <w:name w:val="页脚 字符"/>
    <w:basedOn w:val="6"/>
    <w:link w:val="3"/>
    <w:autoRedefine/>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6046</Words>
  <Characters>6359</Characters>
  <Lines>47</Lines>
  <Paragraphs>13</Paragraphs>
  <TotalTime>5</TotalTime>
  <ScaleCrop>false</ScaleCrop>
  <LinksUpToDate>false</LinksUpToDate>
  <CharactersWithSpaces>6520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2024-11-11T01:36:00Z</dcterms:created>
  <dc:creator>LENOVO</dc:creator>
  <cp:lastModifiedBy>静待花开</cp:lastModifiedBy>
  <dcterms:modified xsi:type="dcterms:W3CDTF">2026-08-19T08:15:10Z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3ADAE2AA467B4B1D976DB7B817087F94_12</vt:lpwstr>
  </property>
  <property fmtid="{D5CDD505-2E9C-101B-9397-08002B2CF9AE}" pid="4" name="KSOTemplateDocerSaveRecord">
    <vt:lpwstr>eyJoZGlkIjoiYWRjNmFiYmNmYzU1NmUzZjk2YzNlY2FmMGU4MWM3NWIiLCJ1c2VySWQiOiI0ODQ2NzE1ODUifQ==</vt:lpwstr>
  </property>
</Properties>
</file>