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10C7F">
      <w:r>
        <w:rPr>
          <w:rFonts w:hint="eastAsia"/>
        </w:rPr>
        <w:t>附件1</w:t>
      </w:r>
    </w:p>
    <w:p w14:paraId="77C94038"/>
    <w:tbl>
      <w:tblPr>
        <w:tblStyle w:val="5"/>
        <w:tblpPr w:leftFromText="180" w:rightFromText="180" w:vertAnchor="text" w:tblpXSpec="center" w:tblpY="1"/>
        <w:tblOverlap w:val="never"/>
        <w:tblW w:w="975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9"/>
        <w:gridCol w:w="1048"/>
        <w:gridCol w:w="541"/>
        <w:gridCol w:w="1006"/>
        <w:gridCol w:w="3813"/>
        <w:gridCol w:w="867"/>
        <w:gridCol w:w="1958"/>
      </w:tblGrid>
      <w:tr w14:paraId="015E30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9752" w:type="dxa"/>
            <w:gridSpan w:val="7"/>
            <w:tcBorders>
              <w:top w:val="single" w:color="auto" w:sz="4" w:space="0"/>
              <w:left w:val="single" w:color="auto" w:sz="4" w:space="0"/>
              <w:right w:val="single" w:color="auto" w:sz="4" w:space="0"/>
            </w:tcBorders>
            <w:vAlign w:val="center"/>
          </w:tcPr>
          <w:p w14:paraId="7EB1AD9C">
            <w:pPr>
              <w:spacing w:line="360" w:lineRule="auto"/>
              <w:jc w:val="center"/>
              <w:rPr>
                <w:rFonts w:hint="eastAsia" w:ascii="宋体" w:hAnsi="宋体" w:cs="宋体"/>
                <w:b/>
                <w:bCs/>
                <w:sz w:val="18"/>
                <w:szCs w:val="18"/>
              </w:rPr>
            </w:pPr>
            <w:r>
              <w:rPr>
                <w:rFonts w:hint="eastAsia" w:ascii="宋体" w:hAnsi="宋体" w:cs="宋体"/>
                <w:b/>
                <w:bCs/>
                <w:sz w:val="18"/>
                <w:szCs w:val="18"/>
                <w:lang w:val="en-US" w:eastAsia="zh-CN"/>
              </w:rPr>
              <w:t>妇科手术耗材</w:t>
            </w:r>
            <w:r>
              <w:rPr>
                <w:rFonts w:hint="eastAsia" w:ascii="宋体" w:hAnsi="宋体" w:cs="宋体"/>
                <w:b/>
                <w:bCs/>
                <w:sz w:val="18"/>
                <w:szCs w:val="18"/>
              </w:rPr>
              <w:t>需求</w:t>
            </w:r>
            <w:r>
              <w:rPr>
                <w:rFonts w:hint="eastAsia" w:ascii="宋体" w:hAnsi="宋体" w:cs="宋体"/>
                <w:b/>
                <w:bCs/>
                <w:sz w:val="18"/>
                <w:szCs w:val="18"/>
                <w:lang w:val="en-US" w:eastAsia="zh-CN"/>
              </w:rPr>
              <w:t>参数</w:t>
            </w:r>
            <w:r>
              <w:rPr>
                <w:rFonts w:hint="eastAsia" w:ascii="宋体" w:hAnsi="宋体" w:cs="宋体"/>
                <w:b/>
                <w:bCs/>
                <w:sz w:val="18"/>
                <w:szCs w:val="18"/>
              </w:rPr>
              <w:t>一览表</w:t>
            </w:r>
          </w:p>
        </w:tc>
      </w:tr>
      <w:tr w14:paraId="34030E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7FE9BC4F">
            <w:pPr>
              <w:spacing w:beforeLines="0" w:afterLines="0"/>
              <w:jc w:val="center"/>
              <w:rPr>
                <w:rFonts w:hint="eastAsia" w:ascii="宋体" w:hAnsi="宋体" w:cs="宋体"/>
                <w:sz w:val="18"/>
                <w:szCs w:val="18"/>
              </w:rPr>
            </w:pPr>
            <w:r>
              <w:rPr>
                <w:rFonts w:hint="eastAsia"/>
                <w:b/>
                <w:sz w:val="20"/>
                <w:szCs w:val="22"/>
                <w:lang w:val="en-US" w:eastAsia="zh-CN"/>
              </w:rPr>
              <w:t>序号</w:t>
            </w:r>
          </w:p>
        </w:tc>
        <w:tc>
          <w:tcPr>
            <w:tcW w:w="1589" w:type="dxa"/>
            <w:gridSpan w:val="2"/>
            <w:tcBorders>
              <w:top w:val="single" w:color="auto" w:sz="4" w:space="0"/>
              <w:left w:val="single" w:color="auto" w:sz="4" w:space="0"/>
              <w:right w:val="single" w:color="auto" w:sz="4" w:space="0"/>
            </w:tcBorders>
            <w:vAlign w:val="center"/>
          </w:tcPr>
          <w:p w14:paraId="44EA247A">
            <w:pPr>
              <w:spacing w:beforeLines="0" w:afterLines="0"/>
              <w:jc w:val="center"/>
              <w:rPr>
                <w:rFonts w:hint="eastAsia" w:ascii="宋体" w:hAnsi="宋体" w:cs="宋体"/>
                <w:sz w:val="18"/>
                <w:szCs w:val="18"/>
              </w:rPr>
            </w:pPr>
            <w:r>
              <w:rPr>
                <w:rFonts w:hint="eastAsia"/>
                <w:b/>
                <w:sz w:val="20"/>
                <w:szCs w:val="22"/>
              </w:rPr>
              <w:t>耗材名称</w:t>
            </w:r>
          </w:p>
        </w:tc>
        <w:tc>
          <w:tcPr>
            <w:tcW w:w="1006" w:type="dxa"/>
            <w:tcBorders>
              <w:top w:val="single" w:color="auto" w:sz="4" w:space="0"/>
              <w:left w:val="single" w:color="auto" w:sz="4" w:space="0"/>
              <w:right w:val="single" w:color="auto" w:sz="4" w:space="0"/>
            </w:tcBorders>
            <w:vAlign w:val="center"/>
          </w:tcPr>
          <w:p w14:paraId="658626DF">
            <w:pPr>
              <w:spacing w:beforeLines="0" w:afterLines="0"/>
              <w:jc w:val="center"/>
              <w:rPr>
                <w:rFonts w:hint="eastAsia" w:ascii="宋体" w:hAnsi="宋体" w:cs="宋体"/>
                <w:sz w:val="18"/>
                <w:szCs w:val="18"/>
              </w:rPr>
            </w:pPr>
            <w:r>
              <w:rPr>
                <w:rFonts w:hint="eastAsia"/>
                <w:b/>
                <w:sz w:val="20"/>
                <w:szCs w:val="22"/>
              </w:rPr>
              <w:t>规格</w:t>
            </w:r>
          </w:p>
        </w:tc>
        <w:tc>
          <w:tcPr>
            <w:tcW w:w="3813" w:type="dxa"/>
            <w:tcBorders>
              <w:top w:val="single" w:color="auto" w:sz="4" w:space="0"/>
              <w:left w:val="single" w:color="auto" w:sz="4" w:space="0"/>
              <w:right w:val="single" w:color="auto" w:sz="4" w:space="0"/>
            </w:tcBorders>
            <w:vAlign w:val="center"/>
          </w:tcPr>
          <w:p w14:paraId="668E2EF2">
            <w:pPr>
              <w:spacing w:beforeLines="0" w:afterLines="0"/>
              <w:jc w:val="center"/>
              <w:rPr>
                <w:rFonts w:hint="eastAsia" w:ascii="宋体" w:hAnsi="宋体" w:cs="宋体"/>
                <w:sz w:val="18"/>
                <w:szCs w:val="18"/>
              </w:rPr>
            </w:pPr>
            <w:r>
              <w:rPr>
                <w:rFonts w:hint="eastAsia"/>
                <w:b/>
                <w:sz w:val="20"/>
                <w:szCs w:val="22"/>
              </w:rPr>
              <w:t>参数要求</w:t>
            </w:r>
          </w:p>
        </w:tc>
        <w:tc>
          <w:tcPr>
            <w:tcW w:w="867" w:type="dxa"/>
            <w:tcBorders>
              <w:top w:val="single" w:color="auto" w:sz="4" w:space="0"/>
              <w:left w:val="single" w:color="auto" w:sz="4" w:space="0"/>
              <w:right w:val="single" w:color="auto" w:sz="4" w:space="0"/>
            </w:tcBorders>
            <w:vAlign w:val="center"/>
          </w:tcPr>
          <w:p w14:paraId="35A31321">
            <w:pPr>
              <w:spacing w:beforeLines="0" w:afterLines="0"/>
              <w:jc w:val="center"/>
              <w:rPr>
                <w:rFonts w:hint="eastAsia" w:ascii="宋体" w:hAnsi="宋体" w:cs="宋体"/>
                <w:sz w:val="18"/>
                <w:szCs w:val="18"/>
              </w:rPr>
            </w:pPr>
            <w:r>
              <w:rPr>
                <w:rFonts w:hint="eastAsia"/>
                <w:b/>
                <w:sz w:val="20"/>
                <w:szCs w:val="22"/>
              </w:rPr>
              <w:t>单位</w:t>
            </w:r>
          </w:p>
        </w:tc>
        <w:tc>
          <w:tcPr>
            <w:tcW w:w="1958" w:type="dxa"/>
            <w:tcBorders>
              <w:top w:val="single" w:color="auto" w:sz="4" w:space="0"/>
              <w:left w:val="single" w:color="auto" w:sz="4" w:space="0"/>
              <w:right w:val="single" w:color="auto" w:sz="4" w:space="0"/>
            </w:tcBorders>
            <w:vAlign w:val="center"/>
          </w:tcPr>
          <w:p w14:paraId="1A3AD9DF">
            <w:pPr>
              <w:spacing w:beforeLines="0" w:afterLines="0"/>
              <w:jc w:val="center"/>
              <w:rPr>
                <w:rFonts w:hint="eastAsia"/>
                <w:b/>
                <w:sz w:val="20"/>
                <w:szCs w:val="22"/>
              </w:rPr>
            </w:pPr>
          </w:p>
        </w:tc>
      </w:tr>
      <w:tr w14:paraId="6D2D72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409786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lang w:val="en-US" w:eastAsia="zh-CN"/>
              </w:rPr>
              <w:t>1</w:t>
            </w:r>
          </w:p>
        </w:tc>
        <w:tc>
          <w:tcPr>
            <w:tcW w:w="1589" w:type="dxa"/>
            <w:gridSpan w:val="2"/>
            <w:tcBorders>
              <w:top w:val="single" w:color="auto" w:sz="4" w:space="0"/>
              <w:left w:val="single" w:color="auto" w:sz="4" w:space="0"/>
              <w:right w:val="single" w:color="auto" w:sz="4" w:space="0"/>
            </w:tcBorders>
            <w:vAlign w:val="center"/>
          </w:tcPr>
          <w:p w14:paraId="0FFEEE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硅橡胶子宫药物支架系统</w:t>
            </w:r>
          </w:p>
        </w:tc>
        <w:tc>
          <w:tcPr>
            <w:tcW w:w="1006" w:type="dxa"/>
            <w:tcBorders>
              <w:top w:val="single" w:color="auto" w:sz="4" w:space="0"/>
              <w:left w:val="single" w:color="auto" w:sz="4" w:space="0"/>
              <w:right w:val="single" w:color="auto" w:sz="4" w:space="0"/>
            </w:tcBorders>
            <w:vAlign w:val="center"/>
          </w:tcPr>
          <w:p w14:paraId="4220CF2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lang w:val="en-US" w:eastAsia="zh-CN"/>
              </w:rPr>
              <w:t>S04</w:t>
            </w:r>
          </w:p>
        </w:tc>
        <w:tc>
          <w:tcPr>
            <w:tcW w:w="3813" w:type="dxa"/>
            <w:tcBorders>
              <w:top w:val="single" w:color="auto" w:sz="4" w:space="0"/>
              <w:left w:val="single" w:color="auto" w:sz="4" w:space="0"/>
              <w:right w:val="single" w:color="auto" w:sz="4" w:space="0"/>
            </w:tcBorders>
            <w:vAlign w:val="center"/>
          </w:tcPr>
          <w:p w14:paraId="7FB778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宋体" w:hAnsi="宋体" w:eastAsia="宋体" w:cs="宋体"/>
                <w:sz w:val="15"/>
                <w:szCs w:val="16"/>
                <w:lang w:val="en-US" w:eastAsia="zh-CN"/>
              </w:rPr>
            </w:pPr>
            <w:r>
              <w:rPr>
                <w:rFonts w:hint="eastAsia" w:ascii="宋体" w:hAnsi="宋体" w:eastAsia="宋体" w:cs="宋体"/>
                <w:sz w:val="15"/>
                <w:szCs w:val="16"/>
              </w:rPr>
              <w:t>▲由非降解医用级材料和雌激素组成</w:t>
            </w:r>
            <w:r>
              <w:rPr>
                <w:rFonts w:hint="eastAsia" w:ascii="宋体" w:hAnsi="宋体" w:eastAsia="宋体" w:cs="宋体"/>
                <w:sz w:val="15"/>
                <w:szCs w:val="16"/>
                <w:lang w:eastAsia="zh-CN"/>
              </w:rPr>
              <w:t>，</w:t>
            </w:r>
            <w:r>
              <w:rPr>
                <w:rFonts w:hint="eastAsia" w:ascii="宋体" w:hAnsi="宋体" w:eastAsia="宋体" w:cs="宋体"/>
                <w:sz w:val="15"/>
                <w:szCs w:val="16"/>
              </w:rPr>
              <w:t>产品</w:t>
            </w:r>
            <w:r>
              <w:rPr>
                <w:rFonts w:hint="eastAsia" w:ascii="宋体" w:hAnsi="宋体" w:eastAsia="宋体" w:cs="宋体"/>
                <w:sz w:val="15"/>
                <w:szCs w:val="16"/>
                <w:lang w:val="en-US" w:eastAsia="zh-CN"/>
              </w:rPr>
              <w:t>需</w:t>
            </w:r>
            <w:r>
              <w:rPr>
                <w:rFonts w:hint="eastAsia" w:ascii="宋体" w:hAnsi="宋体" w:eastAsia="宋体" w:cs="宋体"/>
                <w:sz w:val="15"/>
                <w:szCs w:val="16"/>
              </w:rPr>
              <w:t>贴合子宫形状设计</w:t>
            </w:r>
            <w:r>
              <w:rPr>
                <w:rFonts w:hint="eastAsia" w:ascii="宋体" w:hAnsi="宋体" w:eastAsia="宋体" w:cs="宋体"/>
                <w:sz w:val="15"/>
                <w:szCs w:val="16"/>
                <w:lang w:val="en-US" w:eastAsia="zh-CN"/>
              </w:rPr>
              <w:t>呈</w:t>
            </w:r>
            <w:r>
              <w:rPr>
                <w:rFonts w:hint="eastAsia" w:ascii="宋体" w:hAnsi="宋体" w:eastAsia="宋体" w:cs="宋体"/>
                <w:sz w:val="15"/>
                <w:szCs w:val="16"/>
              </w:rPr>
              <w:t>膜片状，置入后的材料可提供完整的物理阻隔，实现宫腔内靶向释放雌激素，直接作用于子宫内膜部位，</w:t>
            </w:r>
            <w:r>
              <w:rPr>
                <w:rFonts w:hint="eastAsia" w:ascii="宋体" w:hAnsi="宋体" w:eastAsia="宋体" w:cs="宋体"/>
                <w:sz w:val="15"/>
                <w:szCs w:val="16"/>
                <w:lang w:val="en-US" w:eastAsia="zh-CN"/>
              </w:rPr>
              <w:t>可</w:t>
            </w:r>
            <w:r>
              <w:rPr>
                <w:rFonts w:hint="eastAsia" w:ascii="宋体" w:hAnsi="宋体" w:eastAsia="宋体" w:cs="宋体"/>
                <w:sz w:val="15"/>
                <w:szCs w:val="16"/>
              </w:rPr>
              <w:t>在置入宫腔的60天内持续释放雌激素，促进子宫内膜生长</w:t>
            </w:r>
            <w:r>
              <w:rPr>
                <w:rFonts w:hint="eastAsia" w:ascii="宋体" w:hAnsi="宋体" w:eastAsia="宋体" w:cs="宋体"/>
                <w:sz w:val="15"/>
                <w:szCs w:val="16"/>
                <w:lang w:eastAsia="zh-CN"/>
              </w:rPr>
              <w:t>。</w:t>
            </w:r>
            <w:r>
              <w:rPr>
                <w:rFonts w:hint="eastAsia" w:ascii="宋体" w:hAnsi="宋体" w:eastAsia="宋体" w:cs="宋体"/>
                <w:sz w:val="15"/>
                <w:szCs w:val="16"/>
              </w:rPr>
              <w:t>适用于中、重度宫腔粘连患者，产品经环氧乙烷灭菌</w:t>
            </w:r>
            <w:r>
              <w:rPr>
                <w:rFonts w:hint="eastAsia" w:ascii="宋体" w:hAnsi="宋体" w:eastAsia="宋体" w:cs="宋体"/>
                <w:sz w:val="15"/>
                <w:szCs w:val="16"/>
                <w:lang w:eastAsia="zh-CN"/>
              </w:rPr>
              <w:t>，</w:t>
            </w:r>
            <w:r>
              <w:rPr>
                <w:rFonts w:hint="eastAsia" w:ascii="宋体" w:hAnsi="宋体" w:eastAsia="宋体" w:cs="宋体"/>
                <w:sz w:val="15"/>
                <w:szCs w:val="16"/>
              </w:rPr>
              <w:t>产品有效期2年</w:t>
            </w:r>
            <w:r>
              <w:rPr>
                <w:rFonts w:hint="eastAsia" w:ascii="宋体" w:hAnsi="宋体" w:eastAsia="宋体" w:cs="宋体"/>
                <w:sz w:val="15"/>
                <w:szCs w:val="16"/>
                <w:lang w:eastAsia="zh-CN"/>
              </w:rPr>
              <w:t>。</w:t>
            </w:r>
          </w:p>
        </w:tc>
        <w:tc>
          <w:tcPr>
            <w:tcW w:w="867" w:type="dxa"/>
            <w:tcBorders>
              <w:top w:val="single" w:color="auto" w:sz="4" w:space="0"/>
              <w:left w:val="single" w:color="auto" w:sz="4" w:space="0"/>
              <w:right w:val="single" w:color="auto" w:sz="4" w:space="0"/>
            </w:tcBorders>
            <w:vAlign w:val="center"/>
          </w:tcPr>
          <w:p w14:paraId="39F463CB">
            <w:pPr>
              <w:spacing w:beforeLines="0" w:afterLines="0"/>
              <w:jc w:val="center"/>
              <w:rPr>
                <w:rFonts w:hint="eastAsia" w:ascii="宋体" w:hAnsi="宋体" w:cs="宋体"/>
                <w:sz w:val="16"/>
                <w:szCs w:val="16"/>
              </w:rPr>
            </w:pPr>
            <w:r>
              <w:rPr>
                <w:rFonts w:hint="eastAsia"/>
                <w:b w:val="0"/>
                <w:bCs/>
                <w:sz w:val="16"/>
                <w:szCs w:val="20"/>
                <w:lang w:val="en-US" w:eastAsia="zh-CN"/>
              </w:rPr>
              <w:t>支</w:t>
            </w:r>
          </w:p>
        </w:tc>
        <w:tc>
          <w:tcPr>
            <w:tcW w:w="1958" w:type="dxa"/>
            <w:tcBorders>
              <w:top w:val="single" w:color="auto" w:sz="4" w:space="0"/>
              <w:left w:val="single" w:color="auto" w:sz="4" w:space="0"/>
              <w:right w:val="single" w:color="auto" w:sz="4" w:space="0"/>
            </w:tcBorders>
            <w:vAlign w:val="center"/>
          </w:tcPr>
          <w:p w14:paraId="35D7E46C">
            <w:pPr>
              <w:spacing w:beforeLines="0" w:afterLines="0"/>
              <w:jc w:val="center"/>
              <w:rPr>
                <w:rFonts w:hint="eastAsia"/>
                <w:b w:val="0"/>
                <w:bCs/>
                <w:sz w:val="16"/>
                <w:szCs w:val="20"/>
                <w:lang w:val="en-US" w:eastAsia="zh-CN"/>
              </w:rPr>
            </w:pPr>
            <w:r>
              <w:rPr>
                <w:rFonts w:hint="eastAsia"/>
                <w:b/>
                <w:sz w:val="16"/>
                <w:szCs w:val="20"/>
                <w:lang w:val="en-US" w:eastAsia="zh-CN"/>
              </w:rPr>
              <w:t>/</w:t>
            </w:r>
          </w:p>
        </w:tc>
      </w:tr>
      <w:tr w14:paraId="3B1E84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shd w:val="clear"/>
            <w:vAlign w:val="center"/>
          </w:tcPr>
          <w:p w14:paraId="37793F1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2</w:t>
            </w:r>
          </w:p>
        </w:tc>
        <w:tc>
          <w:tcPr>
            <w:tcW w:w="1589" w:type="dxa"/>
            <w:gridSpan w:val="2"/>
            <w:tcBorders>
              <w:top w:val="single" w:color="auto" w:sz="4" w:space="0"/>
              <w:left w:val="single" w:color="auto" w:sz="4" w:space="0"/>
              <w:right w:val="single" w:color="auto" w:sz="4" w:space="0"/>
            </w:tcBorders>
            <w:shd w:val="clear"/>
            <w:vAlign w:val="center"/>
          </w:tcPr>
          <w:p w14:paraId="4B4751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rPr>
              <w:t>交联透明质酸钠凝胶</w:t>
            </w:r>
          </w:p>
        </w:tc>
        <w:tc>
          <w:tcPr>
            <w:tcW w:w="1006" w:type="dxa"/>
            <w:tcBorders>
              <w:top w:val="single" w:color="auto" w:sz="4" w:space="0"/>
              <w:left w:val="single" w:color="auto" w:sz="4" w:space="0"/>
              <w:right w:val="single" w:color="auto" w:sz="4" w:space="0"/>
            </w:tcBorders>
            <w:shd w:val="clear"/>
            <w:vAlign w:val="center"/>
          </w:tcPr>
          <w:p w14:paraId="75DCCE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5ML</w:t>
            </w:r>
          </w:p>
        </w:tc>
        <w:tc>
          <w:tcPr>
            <w:tcW w:w="3813" w:type="dxa"/>
            <w:tcBorders>
              <w:top w:val="single" w:color="auto" w:sz="4" w:space="0"/>
              <w:left w:val="single" w:color="auto" w:sz="4" w:space="0"/>
              <w:right w:val="single" w:color="auto" w:sz="4" w:space="0"/>
            </w:tcBorders>
            <w:shd w:val="clear"/>
            <w:vAlign w:val="center"/>
          </w:tcPr>
          <w:p w14:paraId="0D7C93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▲自身原位交联</w:t>
            </w:r>
            <w:r>
              <w:rPr>
                <w:rFonts w:hint="eastAsia" w:ascii="宋体" w:hAnsi="宋体" w:eastAsia="宋体" w:cs="宋体"/>
                <w:sz w:val="15"/>
                <w:szCs w:val="16"/>
                <w:lang w:eastAsia="zh-CN"/>
              </w:rPr>
              <w:t>，</w:t>
            </w:r>
            <w:r>
              <w:rPr>
                <w:rFonts w:hint="eastAsia" w:ascii="宋体" w:hAnsi="宋体" w:eastAsia="宋体" w:cs="宋体"/>
                <w:sz w:val="15"/>
                <w:szCs w:val="16"/>
              </w:rPr>
              <w:t>零添加，无残留；呈果冻状凝胶</w:t>
            </w:r>
            <w:r>
              <w:rPr>
                <w:rFonts w:hint="eastAsia" w:ascii="宋体" w:hAnsi="宋体" w:eastAsia="宋体" w:cs="宋体"/>
                <w:sz w:val="15"/>
                <w:szCs w:val="16"/>
                <w:lang w:eastAsia="zh-CN"/>
              </w:rPr>
              <w:t>，</w:t>
            </w:r>
            <w:r>
              <w:rPr>
                <w:rFonts w:hint="eastAsia" w:ascii="宋体" w:hAnsi="宋体" w:eastAsia="宋体" w:cs="宋体"/>
                <w:sz w:val="15"/>
                <w:szCs w:val="16"/>
              </w:rPr>
              <w:t>动力粘度高，可持续停留在创面以及周围组织；</w:t>
            </w:r>
          </w:p>
          <w:p w14:paraId="5C8FE1F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rPr>
              <w:t>微交联程度</w:t>
            </w:r>
            <w:r>
              <w:rPr>
                <w:rFonts w:hint="eastAsia" w:ascii="宋体" w:hAnsi="宋体" w:eastAsia="宋体" w:cs="宋体"/>
                <w:sz w:val="15"/>
                <w:szCs w:val="16"/>
                <w:lang w:val="en-US" w:eastAsia="zh-CN"/>
              </w:rPr>
              <w:t>呈</w:t>
            </w:r>
            <w:r>
              <w:rPr>
                <w:rFonts w:hint="eastAsia" w:ascii="宋体" w:hAnsi="宋体" w:eastAsia="宋体" w:cs="宋体"/>
                <w:sz w:val="15"/>
                <w:szCs w:val="16"/>
              </w:rPr>
              <w:t>疏松式3D网状分子结构</w:t>
            </w:r>
            <w:r>
              <w:rPr>
                <w:rFonts w:hint="eastAsia" w:ascii="宋体" w:hAnsi="宋体" w:eastAsia="宋体" w:cs="宋体"/>
                <w:sz w:val="15"/>
                <w:szCs w:val="16"/>
                <w:lang w:eastAsia="zh-CN"/>
              </w:rPr>
              <w:t>，</w:t>
            </w:r>
            <w:r>
              <w:rPr>
                <w:rFonts w:hint="eastAsia" w:ascii="宋体" w:hAnsi="宋体" w:eastAsia="宋体" w:cs="宋体"/>
                <w:sz w:val="15"/>
                <w:szCs w:val="16"/>
              </w:rPr>
              <w:t>可塑性强，全方位覆盖盆腔组织表面</w:t>
            </w:r>
            <w:r>
              <w:rPr>
                <w:rFonts w:hint="eastAsia" w:ascii="宋体" w:hAnsi="宋体" w:eastAsia="宋体" w:cs="宋体"/>
                <w:sz w:val="15"/>
                <w:szCs w:val="16"/>
                <w:lang w:eastAsia="zh-CN"/>
              </w:rPr>
              <w:t>；</w:t>
            </w:r>
            <w:r>
              <w:rPr>
                <w:rFonts w:hint="eastAsia" w:ascii="宋体" w:hAnsi="宋体" w:eastAsia="宋体" w:cs="宋体"/>
                <w:sz w:val="15"/>
                <w:szCs w:val="16"/>
              </w:rPr>
              <w:t>精确调控，降解吸收时间延长至7-14天</w:t>
            </w:r>
            <w:r>
              <w:rPr>
                <w:rFonts w:hint="eastAsia" w:ascii="宋体" w:hAnsi="宋体" w:eastAsia="宋体" w:cs="宋体"/>
                <w:sz w:val="15"/>
                <w:szCs w:val="16"/>
                <w:lang w:eastAsia="zh-CN"/>
              </w:rPr>
              <w:t>。</w:t>
            </w:r>
          </w:p>
        </w:tc>
        <w:tc>
          <w:tcPr>
            <w:tcW w:w="867" w:type="dxa"/>
            <w:tcBorders>
              <w:top w:val="single" w:color="auto" w:sz="4" w:space="0"/>
              <w:left w:val="single" w:color="auto" w:sz="4" w:space="0"/>
              <w:right w:val="single" w:color="auto" w:sz="4" w:space="0"/>
            </w:tcBorders>
            <w:shd w:val="clear"/>
            <w:vAlign w:val="center"/>
          </w:tcPr>
          <w:p w14:paraId="4081DB68">
            <w:pPr>
              <w:spacing w:beforeLines="0" w:afterLines="0"/>
              <w:jc w:val="center"/>
              <w:rPr>
                <w:rFonts w:hint="eastAsia" w:ascii="宋体" w:hAnsi="宋体" w:eastAsia="宋体" w:cs="宋体"/>
                <w:kern w:val="2"/>
                <w:sz w:val="16"/>
                <w:szCs w:val="16"/>
                <w:lang w:val="en-US" w:eastAsia="zh-CN" w:bidi="ar-SA"/>
              </w:rPr>
            </w:pPr>
            <w:r>
              <w:rPr>
                <w:rFonts w:hint="eastAsia"/>
                <w:b w:val="0"/>
                <w:bCs/>
                <w:sz w:val="16"/>
                <w:szCs w:val="20"/>
                <w:lang w:val="en-US" w:eastAsia="zh-CN"/>
              </w:rPr>
              <w:t>支</w:t>
            </w:r>
          </w:p>
        </w:tc>
        <w:tc>
          <w:tcPr>
            <w:tcW w:w="1958" w:type="dxa"/>
            <w:tcBorders>
              <w:top w:val="single" w:color="auto" w:sz="4" w:space="0"/>
              <w:left w:val="single" w:color="auto" w:sz="4" w:space="0"/>
              <w:right w:val="single" w:color="auto" w:sz="4" w:space="0"/>
            </w:tcBorders>
            <w:shd w:val="clear"/>
            <w:vAlign w:val="center"/>
          </w:tcPr>
          <w:p w14:paraId="37B81D39">
            <w:pPr>
              <w:spacing w:beforeLines="0" w:afterLines="0"/>
              <w:jc w:val="center"/>
              <w:rPr>
                <w:rFonts w:hint="eastAsia"/>
                <w:b w:val="0"/>
                <w:bCs/>
                <w:sz w:val="16"/>
                <w:szCs w:val="20"/>
                <w:lang w:val="en-US" w:eastAsia="zh-CN"/>
              </w:rPr>
            </w:pPr>
            <w:r>
              <w:rPr>
                <w:rFonts w:hint="eastAsia"/>
                <w:b/>
                <w:sz w:val="16"/>
                <w:szCs w:val="20"/>
                <w:lang w:val="en-US" w:eastAsia="zh-CN"/>
              </w:rPr>
              <w:t>/</w:t>
            </w:r>
          </w:p>
        </w:tc>
      </w:tr>
      <w:tr w14:paraId="3ED307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395FE21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p>
          <w:p w14:paraId="143D644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3</w:t>
            </w:r>
          </w:p>
        </w:tc>
        <w:tc>
          <w:tcPr>
            <w:tcW w:w="1589" w:type="dxa"/>
            <w:gridSpan w:val="2"/>
            <w:tcBorders>
              <w:top w:val="single" w:color="auto" w:sz="4" w:space="0"/>
              <w:left w:val="single" w:color="auto" w:sz="4" w:space="0"/>
              <w:right w:val="single" w:color="auto" w:sz="4" w:space="0"/>
            </w:tcBorders>
            <w:vAlign w:val="center"/>
          </w:tcPr>
          <w:p w14:paraId="5A2FF20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交联透明质酸钠凝胶</w:t>
            </w:r>
          </w:p>
        </w:tc>
        <w:tc>
          <w:tcPr>
            <w:tcW w:w="1006" w:type="dxa"/>
            <w:tcBorders>
              <w:top w:val="single" w:color="auto" w:sz="4" w:space="0"/>
              <w:left w:val="single" w:color="auto" w:sz="4" w:space="0"/>
              <w:right w:val="single" w:color="auto" w:sz="4" w:space="0"/>
            </w:tcBorders>
            <w:vAlign w:val="center"/>
          </w:tcPr>
          <w:p w14:paraId="68D1EA3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10ML</w:t>
            </w:r>
          </w:p>
        </w:tc>
        <w:tc>
          <w:tcPr>
            <w:tcW w:w="3813" w:type="dxa"/>
            <w:tcBorders>
              <w:top w:val="single" w:color="auto" w:sz="4" w:space="0"/>
              <w:left w:val="single" w:color="auto" w:sz="4" w:space="0"/>
              <w:right w:val="single" w:color="auto" w:sz="4" w:space="0"/>
            </w:tcBorders>
            <w:vAlign w:val="center"/>
          </w:tcPr>
          <w:p w14:paraId="3C983F1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▲自身原位交联</w:t>
            </w:r>
            <w:r>
              <w:rPr>
                <w:rFonts w:hint="eastAsia" w:ascii="宋体" w:hAnsi="宋体" w:eastAsia="宋体" w:cs="宋体"/>
                <w:sz w:val="15"/>
                <w:szCs w:val="16"/>
                <w:lang w:eastAsia="zh-CN"/>
              </w:rPr>
              <w:t>，</w:t>
            </w:r>
            <w:r>
              <w:rPr>
                <w:rFonts w:hint="eastAsia" w:ascii="宋体" w:hAnsi="宋体" w:eastAsia="宋体" w:cs="宋体"/>
                <w:sz w:val="15"/>
                <w:szCs w:val="16"/>
              </w:rPr>
              <w:t>零添加，无残留；呈果冻状凝胶</w:t>
            </w:r>
            <w:r>
              <w:rPr>
                <w:rFonts w:hint="eastAsia" w:ascii="宋体" w:hAnsi="宋体" w:eastAsia="宋体" w:cs="宋体"/>
                <w:sz w:val="15"/>
                <w:szCs w:val="16"/>
                <w:lang w:eastAsia="zh-CN"/>
              </w:rPr>
              <w:t>，</w:t>
            </w:r>
            <w:r>
              <w:rPr>
                <w:rFonts w:hint="eastAsia" w:ascii="宋体" w:hAnsi="宋体" w:eastAsia="宋体" w:cs="宋体"/>
                <w:sz w:val="15"/>
                <w:szCs w:val="16"/>
              </w:rPr>
              <w:t>动力粘度高，可持续停留在创面以及周围组织；</w:t>
            </w:r>
          </w:p>
          <w:p w14:paraId="6D44C88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微交联程度</w:t>
            </w:r>
            <w:r>
              <w:rPr>
                <w:rFonts w:hint="eastAsia" w:ascii="宋体" w:hAnsi="宋体" w:eastAsia="宋体" w:cs="宋体"/>
                <w:sz w:val="15"/>
                <w:szCs w:val="16"/>
                <w:lang w:val="en-US" w:eastAsia="zh-CN"/>
              </w:rPr>
              <w:t>呈</w:t>
            </w:r>
            <w:r>
              <w:rPr>
                <w:rFonts w:hint="eastAsia" w:ascii="宋体" w:hAnsi="宋体" w:eastAsia="宋体" w:cs="宋体"/>
                <w:sz w:val="15"/>
                <w:szCs w:val="16"/>
              </w:rPr>
              <w:t>疏松式3D网状分子结构</w:t>
            </w:r>
            <w:r>
              <w:rPr>
                <w:rFonts w:hint="eastAsia" w:ascii="宋体" w:hAnsi="宋体" w:eastAsia="宋体" w:cs="宋体"/>
                <w:sz w:val="15"/>
                <w:szCs w:val="16"/>
                <w:lang w:eastAsia="zh-CN"/>
              </w:rPr>
              <w:t>，</w:t>
            </w:r>
            <w:r>
              <w:rPr>
                <w:rFonts w:hint="eastAsia" w:ascii="宋体" w:hAnsi="宋体" w:eastAsia="宋体" w:cs="宋体"/>
                <w:sz w:val="15"/>
                <w:szCs w:val="16"/>
              </w:rPr>
              <w:t>可塑性强，全方位覆盖盆腔组织表面</w:t>
            </w:r>
            <w:r>
              <w:rPr>
                <w:rFonts w:hint="eastAsia" w:ascii="宋体" w:hAnsi="宋体" w:eastAsia="宋体" w:cs="宋体"/>
                <w:sz w:val="15"/>
                <w:szCs w:val="16"/>
                <w:lang w:eastAsia="zh-CN"/>
              </w:rPr>
              <w:t>；</w:t>
            </w:r>
            <w:r>
              <w:rPr>
                <w:rFonts w:hint="eastAsia" w:ascii="宋体" w:hAnsi="宋体" w:eastAsia="宋体" w:cs="宋体"/>
                <w:sz w:val="15"/>
                <w:szCs w:val="16"/>
              </w:rPr>
              <w:t>精确调控，降解吸收时间延长至7-14天</w:t>
            </w:r>
            <w:r>
              <w:rPr>
                <w:rFonts w:hint="eastAsia" w:ascii="宋体" w:hAnsi="宋体" w:eastAsia="宋体" w:cs="宋体"/>
                <w:sz w:val="15"/>
                <w:szCs w:val="16"/>
                <w:lang w:eastAsia="zh-CN"/>
              </w:rPr>
              <w:t>。</w:t>
            </w:r>
          </w:p>
        </w:tc>
        <w:tc>
          <w:tcPr>
            <w:tcW w:w="867" w:type="dxa"/>
            <w:tcBorders>
              <w:top w:val="single" w:color="auto" w:sz="4" w:space="0"/>
              <w:left w:val="single" w:color="auto" w:sz="4" w:space="0"/>
              <w:right w:val="single" w:color="auto" w:sz="4" w:space="0"/>
            </w:tcBorders>
            <w:vAlign w:val="center"/>
          </w:tcPr>
          <w:p w14:paraId="66F4B5E7">
            <w:pPr>
              <w:spacing w:beforeLines="0" w:afterLines="0"/>
              <w:jc w:val="center"/>
              <w:rPr>
                <w:rFonts w:hint="eastAsia"/>
                <w:b w:val="0"/>
                <w:bCs/>
                <w:sz w:val="16"/>
                <w:szCs w:val="20"/>
                <w:lang w:val="en-US" w:eastAsia="zh-CN"/>
              </w:rPr>
            </w:pPr>
            <w:r>
              <w:rPr>
                <w:rFonts w:hint="eastAsia"/>
                <w:b w:val="0"/>
                <w:bCs/>
                <w:sz w:val="16"/>
                <w:szCs w:val="20"/>
                <w:lang w:val="en-US" w:eastAsia="zh-CN"/>
              </w:rPr>
              <w:t>支</w:t>
            </w:r>
          </w:p>
        </w:tc>
        <w:tc>
          <w:tcPr>
            <w:tcW w:w="1958" w:type="dxa"/>
            <w:tcBorders>
              <w:top w:val="single" w:color="auto" w:sz="4" w:space="0"/>
              <w:left w:val="single" w:color="auto" w:sz="4" w:space="0"/>
              <w:right w:val="single" w:color="auto" w:sz="4" w:space="0"/>
            </w:tcBorders>
            <w:vAlign w:val="center"/>
          </w:tcPr>
          <w:p w14:paraId="424BE529">
            <w:pPr>
              <w:spacing w:beforeLines="0" w:afterLines="0"/>
              <w:jc w:val="center"/>
              <w:rPr>
                <w:rFonts w:hint="eastAsia"/>
                <w:b w:val="0"/>
                <w:bCs/>
                <w:sz w:val="16"/>
                <w:szCs w:val="20"/>
                <w:lang w:val="en-US" w:eastAsia="zh-CN"/>
              </w:rPr>
            </w:pPr>
            <w:r>
              <w:rPr>
                <w:rFonts w:hint="eastAsia"/>
                <w:b/>
                <w:sz w:val="16"/>
                <w:szCs w:val="20"/>
                <w:lang w:val="en-US" w:eastAsia="zh-CN"/>
              </w:rPr>
              <w:t>/</w:t>
            </w:r>
          </w:p>
        </w:tc>
      </w:tr>
      <w:tr w14:paraId="3A453A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5513B47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4</w:t>
            </w:r>
          </w:p>
        </w:tc>
        <w:tc>
          <w:tcPr>
            <w:tcW w:w="1589" w:type="dxa"/>
            <w:gridSpan w:val="2"/>
            <w:tcBorders>
              <w:top w:val="single" w:color="auto" w:sz="4" w:space="0"/>
              <w:left w:val="single" w:color="auto" w:sz="4" w:space="0"/>
              <w:right w:val="single" w:color="auto" w:sz="4" w:space="0"/>
            </w:tcBorders>
            <w:vAlign w:val="center"/>
          </w:tcPr>
          <w:p w14:paraId="24B8FDA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一次性套管穿刺器</w:t>
            </w:r>
          </w:p>
        </w:tc>
        <w:tc>
          <w:tcPr>
            <w:tcW w:w="1006" w:type="dxa"/>
            <w:tcBorders>
              <w:top w:val="single" w:color="auto" w:sz="4" w:space="0"/>
              <w:left w:val="single" w:color="auto" w:sz="4" w:space="0"/>
              <w:right w:val="single" w:color="auto" w:sz="4" w:space="0"/>
            </w:tcBorders>
            <w:vAlign w:val="center"/>
          </w:tcPr>
          <w:p w14:paraId="21230F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 xml:space="preserve"> Ⅲ型套装C</w:t>
            </w:r>
          </w:p>
        </w:tc>
        <w:tc>
          <w:tcPr>
            <w:tcW w:w="3813" w:type="dxa"/>
            <w:tcBorders>
              <w:top w:val="single" w:color="auto" w:sz="4" w:space="0"/>
              <w:left w:val="single" w:color="auto" w:sz="4" w:space="0"/>
              <w:right w:val="single" w:color="auto" w:sz="4" w:space="0"/>
            </w:tcBorders>
            <w:vAlign w:val="center"/>
          </w:tcPr>
          <w:p w14:paraId="06C3F9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w:t>
            </w:r>
            <w:r>
              <w:rPr>
                <w:rFonts w:hint="eastAsia" w:ascii="宋体" w:hAnsi="宋体" w:eastAsia="宋体" w:cs="宋体"/>
                <w:sz w:val="15"/>
                <w:szCs w:val="16"/>
                <w:lang w:val="en-US" w:eastAsia="zh-CN"/>
              </w:rPr>
              <w:t xml:space="preserve">供腔镜手术中穿刺体壁后作为内窥镜和手术器械进出体内的通道，并可向体内输送 </w:t>
            </w:r>
            <w:r>
              <w:rPr>
                <w:rFonts w:hint="default" w:ascii="宋体" w:hAnsi="宋体" w:eastAsia="宋体" w:cs="宋体"/>
                <w:sz w:val="15"/>
                <w:szCs w:val="16"/>
                <w:lang w:val="en-US" w:eastAsia="zh-CN"/>
              </w:rPr>
              <w:t>CO2</w:t>
            </w:r>
            <w:r>
              <w:rPr>
                <w:rFonts w:hint="eastAsia" w:ascii="宋体" w:hAnsi="宋体" w:eastAsia="宋体" w:cs="宋体"/>
                <w:sz w:val="15"/>
                <w:szCs w:val="16"/>
                <w:lang w:val="en-US" w:eastAsia="zh-CN"/>
              </w:rPr>
              <w:t>气体。</w:t>
            </w:r>
          </w:p>
        </w:tc>
        <w:tc>
          <w:tcPr>
            <w:tcW w:w="867" w:type="dxa"/>
            <w:tcBorders>
              <w:top w:val="single" w:color="auto" w:sz="4" w:space="0"/>
              <w:left w:val="single" w:color="auto" w:sz="4" w:space="0"/>
              <w:right w:val="single" w:color="auto" w:sz="4" w:space="0"/>
            </w:tcBorders>
            <w:vAlign w:val="center"/>
          </w:tcPr>
          <w:p w14:paraId="23C9453E">
            <w:pPr>
              <w:spacing w:beforeLines="0" w:afterLines="0"/>
              <w:jc w:val="center"/>
              <w:rPr>
                <w:rFonts w:hint="eastAsia"/>
                <w:b w:val="0"/>
                <w:bCs/>
                <w:sz w:val="16"/>
                <w:szCs w:val="20"/>
                <w:lang w:val="en-US" w:eastAsia="zh-CN"/>
              </w:rPr>
            </w:pPr>
            <w:r>
              <w:rPr>
                <w:rFonts w:hint="eastAsia"/>
                <w:b w:val="0"/>
                <w:bCs/>
                <w:sz w:val="16"/>
                <w:szCs w:val="20"/>
                <w:lang w:val="en-US" w:eastAsia="zh-CN"/>
              </w:rPr>
              <w:t>套</w:t>
            </w:r>
          </w:p>
        </w:tc>
        <w:tc>
          <w:tcPr>
            <w:tcW w:w="1958" w:type="dxa"/>
            <w:tcBorders>
              <w:top w:val="single" w:color="auto" w:sz="4" w:space="0"/>
              <w:left w:val="single" w:color="auto" w:sz="4" w:space="0"/>
              <w:right w:val="single" w:color="auto" w:sz="4" w:space="0"/>
            </w:tcBorders>
            <w:vAlign w:val="center"/>
          </w:tcPr>
          <w:p w14:paraId="31BC17FA">
            <w:pPr>
              <w:spacing w:beforeLines="0" w:afterLines="0"/>
              <w:jc w:val="center"/>
              <w:rPr>
                <w:rFonts w:hint="eastAsia"/>
                <w:b w:val="0"/>
                <w:bCs/>
                <w:sz w:val="16"/>
                <w:szCs w:val="20"/>
                <w:lang w:val="en-US" w:eastAsia="zh-CN"/>
              </w:rPr>
            </w:pPr>
            <w:r>
              <w:rPr>
                <w:rFonts w:hint="eastAsia"/>
                <w:b/>
                <w:sz w:val="16"/>
                <w:szCs w:val="20"/>
                <w:lang w:val="en-US" w:eastAsia="zh-CN"/>
              </w:rPr>
              <w:t>/</w:t>
            </w:r>
          </w:p>
        </w:tc>
      </w:tr>
      <w:tr w14:paraId="7A8FE7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3245791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5</w:t>
            </w:r>
          </w:p>
        </w:tc>
        <w:tc>
          <w:tcPr>
            <w:tcW w:w="1589" w:type="dxa"/>
            <w:gridSpan w:val="2"/>
            <w:tcBorders>
              <w:top w:val="single" w:color="auto" w:sz="4" w:space="0"/>
              <w:left w:val="single" w:color="auto" w:sz="4" w:space="0"/>
              <w:right w:val="single" w:color="auto" w:sz="4" w:space="0"/>
            </w:tcBorders>
            <w:vAlign w:val="center"/>
          </w:tcPr>
          <w:p w14:paraId="1971EB8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lang w:eastAsia="zh-CN"/>
              </w:rPr>
              <w:t>一次性使用双极电凝钳</w:t>
            </w:r>
          </w:p>
        </w:tc>
        <w:tc>
          <w:tcPr>
            <w:tcW w:w="1006" w:type="dxa"/>
            <w:tcBorders>
              <w:top w:val="single" w:color="auto" w:sz="4" w:space="0"/>
              <w:left w:val="single" w:color="auto" w:sz="4" w:space="0"/>
              <w:right w:val="single" w:color="auto" w:sz="4" w:space="0"/>
            </w:tcBorders>
            <w:vAlign w:val="center"/>
          </w:tcPr>
          <w:p w14:paraId="69EBEFA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弯头、5mm*330mm</w:t>
            </w:r>
          </w:p>
        </w:tc>
        <w:tc>
          <w:tcPr>
            <w:tcW w:w="3813" w:type="dxa"/>
            <w:tcBorders>
              <w:top w:val="single" w:color="auto" w:sz="4" w:space="0"/>
              <w:left w:val="single" w:color="auto" w:sz="4" w:space="0"/>
              <w:right w:val="single" w:color="auto" w:sz="4" w:space="0"/>
            </w:tcBorders>
            <w:vAlign w:val="center"/>
          </w:tcPr>
          <w:p w14:paraId="5A9A8E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w:t>
            </w:r>
            <w:r>
              <w:rPr>
                <w:rFonts w:hint="eastAsia" w:ascii="宋体" w:hAnsi="宋体" w:eastAsia="宋体" w:cs="宋体"/>
                <w:sz w:val="15"/>
                <w:szCs w:val="16"/>
                <w:lang w:val="en-US" w:eastAsia="zh-CN"/>
              </w:rPr>
              <w:t>弯头、5mmx330mm；无菌包装，与高频手术设备配套使用，用于在内窥镜手术中进行切割、电凝止血，弯头形状如右图。</w:t>
            </w:r>
          </w:p>
        </w:tc>
        <w:tc>
          <w:tcPr>
            <w:tcW w:w="867" w:type="dxa"/>
            <w:tcBorders>
              <w:top w:val="single" w:color="auto" w:sz="4" w:space="0"/>
              <w:left w:val="single" w:color="auto" w:sz="4" w:space="0"/>
              <w:right w:val="single" w:color="auto" w:sz="4" w:space="0"/>
            </w:tcBorders>
            <w:vAlign w:val="center"/>
          </w:tcPr>
          <w:p w14:paraId="476D8930">
            <w:pPr>
              <w:spacing w:beforeLines="0" w:afterLines="0"/>
              <w:jc w:val="center"/>
              <w:rPr>
                <w:rFonts w:hint="eastAsia"/>
                <w:b w:val="0"/>
                <w:bCs/>
                <w:sz w:val="16"/>
                <w:szCs w:val="20"/>
                <w:lang w:val="en-US" w:eastAsia="zh-CN"/>
              </w:rPr>
            </w:pPr>
            <w:r>
              <w:rPr>
                <w:rFonts w:hint="eastAsia"/>
                <w:b w:val="0"/>
                <w:bCs/>
                <w:sz w:val="16"/>
                <w:szCs w:val="20"/>
                <w:lang w:val="en-US" w:eastAsia="zh-CN"/>
              </w:rPr>
              <w:t>副</w:t>
            </w:r>
          </w:p>
        </w:tc>
        <w:tc>
          <w:tcPr>
            <w:tcW w:w="1958" w:type="dxa"/>
            <w:tcBorders>
              <w:top w:val="single" w:color="auto" w:sz="4" w:space="0"/>
              <w:left w:val="single" w:color="auto" w:sz="4" w:space="0"/>
              <w:right w:val="single" w:color="auto" w:sz="4" w:space="0"/>
            </w:tcBorders>
            <w:vAlign w:val="center"/>
          </w:tcPr>
          <w:p w14:paraId="6B302BFD">
            <w:pPr>
              <w:keepNext w:val="0"/>
              <w:keepLines w:val="0"/>
              <w:widowControl/>
              <w:suppressLineNumbers w:val="0"/>
              <w:jc w:val="left"/>
              <w:textAlignment w:val="center"/>
              <w:rPr>
                <w:rFonts w:hint="eastAsia"/>
                <w:b w:val="0"/>
                <w:bCs/>
                <w:sz w:val="16"/>
                <w:szCs w:val="20"/>
                <w:lang w:val="en-US" w:eastAsia="zh-CN"/>
              </w:rPr>
            </w:pPr>
            <w:r>
              <w:rPr>
                <w:rFonts w:hint="eastAsia" w:ascii="宋体" w:hAnsi="宋体" w:eastAsia="宋体" w:cs="宋体"/>
                <w:i w:val="0"/>
                <w:iCs w:val="0"/>
                <w:color w:val="000000"/>
                <w:kern w:val="0"/>
                <w:sz w:val="18"/>
                <w:szCs w:val="18"/>
                <w:u w:val="none"/>
                <w:lang w:val="en-US" w:eastAsia="zh-CN" w:bidi="ar"/>
              </w:rPr>
              <w:fldChar w:fldCharType="begin"/>
            </w:r>
            <w:r>
              <w:rPr>
                <w:rFonts w:hint="eastAsia" w:ascii="宋体" w:hAnsi="宋体" w:eastAsia="宋体" w:cs="宋体"/>
                <w:i w:val="0"/>
                <w:iCs w:val="0"/>
                <w:color w:val="000000"/>
                <w:kern w:val="0"/>
                <w:sz w:val="18"/>
                <w:szCs w:val="18"/>
                <w:u w:val="none"/>
                <w:lang w:val="en-US" w:eastAsia="zh-CN" w:bidi="ar"/>
              </w:rPr>
              <w:instrText xml:space="preserve">INCLUDEPICTURE \d "C:\\Users\\ADMINI~1\\AppData\\Local\\Temp\\ksohtml\\clip_cell_image3.png" \* MERGEFORMATINET </w:instrText>
            </w:r>
            <w:r>
              <w:rPr>
                <w:rFonts w:hint="eastAsia" w:ascii="宋体" w:hAnsi="宋体" w:eastAsia="宋体" w:cs="宋体"/>
                <w:i w:val="0"/>
                <w:iCs w:val="0"/>
                <w:color w:val="000000"/>
                <w:kern w:val="0"/>
                <w:sz w:val="18"/>
                <w:szCs w:val="18"/>
                <w:u w:val="none"/>
                <w:lang w:val="en-US" w:eastAsia="zh-CN" w:bidi="ar"/>
              </w:rPr>
              <w:fldChar w:fldCharType="separate"/>
            </w:r>
            <w:r>
              <w:rPr>
                <w:rFonts w:hint="eastAsia" w:ascii="宋体" w:hAnsi="宋体" w:eastAsia="宋体" w:cs="宋体"/>
                <w:i w:val="0"/>
                <w:iCs w:val="0"/>
                <w:color w:val="000000"/>
                <w:kern w:val="0"/>
                <w:sz w:val="18"/>
                <w:szCs w:val="18"/>
                <w:u w:val="none"/>
                <w:lang w:val="en-US" w:eastAsia="zh-CN" w:bidi="ar"/>
              </w:rPr>
              <w:drawing>
                <wp:inline distT="0" distB="0" distL="114300" distR="114300">
                  <wp:extent cx="1009650" cy="933450"/>
                  <wp:effectExtent l="0" t="0" r="0" b="0"/>
                  <wp:docPr id="13"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IMG_256"/>
                          <pic:cNvPicPr>
                            <a:picLocks noChangeAspect="1"/>
                          </pic:cNvPicPr>
                        </pic:nvPicPr>
                        <pic:blipFill>
                          <a:blip r:embed="rId4"/>
                          <a:stretch>
                            <a:fillRect/>
                          </a:stretch>
                        </pic:blipFill>
                        <pic:spPr>
                          <a:xfrm>
                            <a:off x="0" y="0"/>
                            <a:ext cx="1009650" cy="933450"/>
                          </a:xfrm>
                          <a:prstGeom prst="rect">
                            <a:avLst/>
                          </a:prstGeom>
                          <a:noFill/>
                          <a:ln>
                            <a:noFill/>
                          </a:ln>
                        </pic:spPr>
                      </pic:pic>
                    </a:graphicData>
                  </a:graphic>
                </wp:inline>
              </w:drawing>
            </w:r>
            <w:r>
              <w:rPr>
                <w:rFonts w:hint="eastAsia" w:ascii="宋体" w:hAnsi="宋体" w:eastAsia="宋体" w:cs="宋体"/>
                <w:i w:val="0"/>
                <w:iCs w:val="0"/>
                <w:color w:val="000000"/>
                <w:kern w:val="0"/>
                <w:sz w:val="18"/>
                <w:szCs w:val="18"/>
                <w:u w:val="none"/>
                <w:lang w:val="en-US" w:eastAsia="zh-CN" w:bidi="ar"/>
              </w:rPr>
              <w:fldChar w:fldCharType="end"/>
            </w:r>
          </w:p>
        </w:tc>
      </w:tr>
      <w:tr w14:paraId="2F9D9A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7A71C5B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6</w:t>
            </w:r>
          </w:p>
        </w:tc>
        <w:tc>
          <w:tcPr>
            <w:tcW w:w="1589" w:type="dxa"/>
            <w:gridSpan w:val="2"/>
            <w:tcBorders>
              <w:top w:val="single" w:color="auto" w:sz="4" w:space="0"/>
              <w:left w:val="single" w:color="auto" w:sz="4" w:space="0"/>
              <w:right w:val="single" w:color="auto" w:sz="4" w:space="0"/>
            </w:tcBorders>
            <w:vAlign w:val="center"/>
          </w:tcPr>
          <w:p w14:paraId="3746A11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介入穿刺针</w:t>
            </w:r>
          </w:p>
        </w:tc>
        <w:tc>
          <w:tcPr>
            <w:tcW w:w="1006" w:type="dxa"/>
            <w:tcBorders>
              <w:top w:val="single" w:color="auto" w:sz="4" w:space="0"/>
              <w:left w:val="single" w:color="auto" w:sz="4" w:space="0"/>
              <w:right w:val="single" w:color="auto" w:sz="4" w:space="0"/>
            </w:tcBorders>
            <w:vAlign w:val="center"/>
          </w:tcPr>
          <w:p w14:paraId="293AA2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16G-18G</w:t>
            </w:r>
          </w:p>
        </w:tc>
        <w:tc>
          <w:tcPr>
            <w:tcW w:w="3813" w:type="dxa"/>
            <w:tcBorders>
              <w:top w:val="single" w:color="auto" w:sz="4" w:space="0"/>
              <w:left w:val="single" w:color="auto" w:sz="4" w:space="0"/>
              <w:right w:val="single" w:color="auto" w:sz="4" w:space="0"/>
            </w:tcBorders>
            <w:vAlign w:val="center"/>
          </w:tcPr>
          <w:p w14:paraId="62F5A6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外针针尖：可选斜面、钝针针尖</w:t>
            </w:r>
          </w:p>
          <w:p w14:paraId="50D96C4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内针针尖：可选斜面、棱锥、圆锥、钝针针尖</w:t>
            </w:r>
          </w:p>
          <w:p w14:paraId="2D728C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宋体" w:hAnsi="宋体" w:eastAsia="宋体" w:cs="宋体"/>
                <w:sz w:val="15"/>
                <w:szCs w:val="16"/>
              </w:rPr>
            </w:pPr>
            <w:r>
              <w:rPr>
                <w:rFonts w:hint="eastAsia" w:ascii="宋体" w:hAnsi="宋体" w:eastAsia="宋体" w:cs="宋体"/>
                <w:sz w:val="15"/>
                <w:szCs w:val="16"/>
              </w:rPr>
              <w:t>▲基座：外针采用国际通用鲁尔基座，内针提供塔扣式、锁扣式、鲁尔式、填充式选择</w:t>
            </w:r>
          </w:p>
          <w:p w14:paraId="3796EC5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宋体" w:hAnsi="宋体" w:eastAsia="宋体" w:cs="宋体"/>
                <w:sz w:val="15"/>
                <w:szCs w:val="16"/>
              </w:rPr>
            </w:pPr>
            <w:r>
              <w:rPr>
                <w:rFonts w:hint="eastAsia" w:ascii="宋体" w:hAnsi="宋体" w:eastAsia="宋体" w:cs="宋体"/>
                <w:sz w:val="15"/>
                <w:szCs w:val="16"/>
              </w:rPr>
              <w:t>▲针管尺寸：20.0mm-600.mm(每10mm为一刻度)，内针尺寸25.0mm-605mm</w:t>
            </w:r>
          </w:p>
          <w:p w14:paraId="43864C2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▲适用经皮穿刺和造影，针尖锋利，穿刺性能强，针壁光滑，创伤小，超声可视增强设计便于定位，每支独立包装灭菌。</w:t>
            </w:r>
          </w:p>
        </w:tc>
        <w:tc>
          <w:tcPr>
            <w:tcW w:w="867" w:type="dxa"/>
            <w:tcBorders>
              <w:top w:val="single" w:color="auto" w:sz="4" w:space="0"/>
              <w:left w:val="single" w:color="auto" w:sz="4" w:space="0"/>
              <w:right w:val="single" w:color="auto" w:sz="4" w:space="0"/>
            </w:tcBorders>
            <w:vAlign w:val="center"/>
          </w:tcPr>
          <w:p w14:paraId="10B0E5CA">
            <w:pPr>
              <w:spacing w:beforeLines="0" w:afterLines="0"/>
              <w:jc w:val="center"/>
              <w:rPr>
                <w:rFonts w:hint="eastAsia"/>
                <w:b w:val="0"/>
                <w:bCs/>
                <w:sz w:val="16"/>
                <w:szCs w:val="20"/>
                <w:lang w:val="en-US" w:eastAsia="zh-CN"/>
              </w:rPr>
            </w:pPr>
            <w:r>
              <w:rPr>
                <w:rFonts w:hint="eastAsia"/>
                <w:b w:val="0"/>
                <w:bCs/>
                <w:sz w:val="16"/>
                <w:szCs w:val="20"/>
                <w:lang w:val="en-US" w:eastAsia="zh-CN"/>
              </w:rPr>
              <w:t>支</w:t>
            </w:r>
          </w:p>
        </w:tc>
        <w:tc>
          <w:tcPr>
            <w:tcW w:w="1958" w:type="dxa"/>
            <w:tcBorders>
              <w:top w:val="single" w:color="auto" w:sz="4" w:space="0"/>
              <w:left w:val="single" w:color="auto" w:sz="4" w:space="0"/>
              <w:right w:val="single" w:color="auto" w:sz="4" w:space="0"/>
            </w:tcBorders>
            <w:vAlign w:val="center"/>
          </w:tcPr>
          <w:p w14:paraId="53D43D96">
            <w:pPr>
              <w:spacing w:beforeLines="0" w:afterLines="0"/>
              <w:jc w:val="center"/>
              <w:rPr>
                <w:rFonts w:hint="eastAsia"/>
                <w:b w:val="0"/>
                <w:bCs/>
                <w:sz w:val="16"/>
                <w:szCs w:val="20"/>
                <w:lang w:val="en-US" w:eastAsia="zh-CN"/>
              </w:rPr>
            </w:pPr>
            <w:r>
              <w:rPr>
                <w:rFonts w:hint="default"/>
                <w:sz w:val="16"/>
                <w:szCs w:val="20"/>
              </w:rPr>
              <w:drawing>
                <wp:inline distT="0" distB="0" distL="114300" distR="114300">
                  <wp:extent cx="1334135" cy="1729105"/>
                  <wp:effectExtent l="0" t="0" r="18415" b="4445"/>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5"/>
                          <a:stretch>
                            <a:fillRect/>
                          </a:stretch>
                        </pic:blipFill>
                        <pic:spPr>
                          <a:xfrm>
                            <a:off x="0" y="0"/>
                            <a:ext cx="1334135" cy="1729105"/>
                          </a:xfrm>
                          <a:prstGeom prst="rect">
                            <a:avLst/>
                          </a:prstGeom>
                          <a:noFill/>
                          <a:ln>
                            <a:noFill/>
                          </a:ln>
                        </pic:spPr>
                      </pic:pic>
                    </a:graphicData>
                  </a:graphic>
                </wp:inline>
              </w:drawing>
            </w:r>
          </w:p>
        </w:tc>
      </w:tr>
      <w:tr w14:paraId="02D6DD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111F803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7</w:t>
            </w:r>
          </w:p>
        </w:tc>
        <w:tc>
          <w:tcPr>
            <w:tcW w:w="1589" w:type="dxa"/>
            <w:gridSpan w:val="2"/>
            <w:tcBorders>
              <w:top w:val="single" w:color="auto" w:sz="4" w:space="0"/>
              <w:left w:val="single" w:color="auto" w:sz="4" w:space="0"/>
              <w:right w:val="single" w:color="auto" w:sz="4" w:space="0"/>
            </w:tcBorders>
            <w:vAlign w:val="center"/>
          </w:tcPr>
          <w:p w14:paraId="34196A5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一次性使用连接管</w:t>
            </w:r>
          </w:p>
        </w:tc>
        <w:tc>
          <w:tcPr>
            <w:tcW w:w="1006" w:type="dxa"/>
            <w:tcBorders>
              <w:top w:val="single" w:color="auto" w:sz="4" w:space="0"/>
              <w:left w:val="single" w:color="auto" w:sz="4" w:space="0"/>
              <w:right w:val="single" w:color="auto" w:sz="4" w:space="0"/>
            </w:tcBorders>
            <w:vAlign w:val="center"/>
          </w:tcPr>
          <w:p w14:paraId="7DE455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TWL2.6*200/三通连通管</w:t>
            </w:r>
          </w:p>
        </w:tc>
        <w:tc>
          <w:tcPr>
            <w:tcW w:w="3813" w:type="dxa"/>
            <w:tcBorders>
              <w:top w:val="single" w:color="auto" w:sz="4" w:space="0"/>
              <w:left w:val="single" w:color="auto" w:sz="4" w:space="0"/>
              <w:right w:val="single" w:color="auto" w:sz="4" w:space="0"/>
            </w:tcBorders>
            <w:vAlign w:val="center"/>
          </w:tcPr>
          <w:p w14:paraId="2D9642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▲由PVC管、鲁尔接头、接头、三通阀、插片、护帽组成,供注射治疗、注药管道延长连接用。</w:t>
            </w:r>
          </w:p>
        </w:tc>
        <w:tc>
          <w:tcPr>
            <w:tcW w:w="867" w:type="dxa"/>
            <w:tcBorders>
              <w:top w:val="single" w:color="auto" w:sz="4" w:space="0"/>
              <w:left w:val="single" w:color="auto" w:sz="4" w:space="0"/>
              <w:right w:val="single" w:color="auto" w:sz="4" w:space="0"/>
            </w:tcBorders>
            <w:vAlign w:val="center"/>
          </w:tcPr>
          <w:p w14:paraId="34BA4CB8">
            <w:pPr>
              <w:spacing w:beforeLines="0" w:afterLines="0"/>
              <w:jc w:val="center"/>
              <w:rPr>
                <w:rFonts w:hint="eastAsia"/>
                <w:b w:val="0"/>
                <w:bCs/>
                <w:sz w:val="16"/>
                <w:szCs w:val="20"/>
                <w:lang w:val="en-US" w:eastAsia="zh-CN"/>
              </w:rPr>
            </w:pPr>
            <w:r>
              <w:rPr>
                <w:rFonts w:hint="eastAsia"/>
                <w:b w:val="0"/>
                <w:bCs/>
                <w:sz w:val="16"/>
                <w:szCs w:val="20"/>
                <w:lang w:val="en-US" w:eastAsia="zh-CN"/>
              </w:rPr>
              <w:t>根</w:t>
            </w:r>
          </w:p>
        </w:tc>
        <w:tc>
          <w:tcPr>
            <w:tcW w:w="1958" w:type="dxa"/>
            <w:tcBorders>
              <w:top w:val="single" w:color="auto" w:sz="4" w:space="0"/>
              <w:left w:val="single" w:color="auto" w:sz="4" w:space="0"/>
              <w:right w:val="single" w:color="auto" w:sz="4" w:space="0"/>
            </w:tcBorders>
            <w:vAlign w:val="center"/>
          </w:tcPr>
          <w:p w14:paraId="7CF56C72">
            <w:pPr>
              <w:spacing w:beforeLines="0" w:afterLines="0"/>
              <w:jc w:val="center"/>
              <w:rPr>
                <w:rFonts w:hint="eastAsia"/>
                <w:b w:val="0"/>
                <w:bCs/>
                <w:sz w:val="16"/>
                <w:szCs w:val="20"/>
                <w:lang w:val="en-US" w:eastAsia="zh-CN"/>
              </w:rPr>
            </w:pPr>
            <w:r>
              <w:rPr>
                <w:rFonts w:hint="default"/>
                <w:sz w:val="16"/>
                <w:szCs w:val="20"/>
              </w:rPr>
              <w:drawing>
                <wp:inline distT="0" distB="0" distL="114300" distR="114300">
                  <wp:extent cx="1096645" cy="678815"/>
                  <wp:effectExtent l="0" t="0" r="8255" b="6985"/>
                  <wp:docPr id="15" name="图片 9" descr="8b9cdbe6f1dadd0e879e2e3f07dcb6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descr="8b9cdbe6f1dadd0e879e2e3f07dcb61d"/>
                          <pic:cNvPicPr>
                            <a:picLocks noChangeAspect="1"/>
                          </pic:cNvPicPr>
                        </pic:nvPicPr>
                        <pic:blipFill>
                          <a:blip r:embed="rId6"/>
                          <a:stretch>
                            <a:fillRect/>
                          </a:stretch>
                        </pic:blipFill>
                        <pic:spPr>
                          <a:xfrm>
                            <a:off x="0" y="0"/>
                            <a:ext cx="1096645" cy="678815"/>
                          </a:xfrm>
                          <a:prstGeom prst="rect">
                            <a:avLst/>
                          </a:prstGeom>
                          <a:noFill/>
                          <a:ln>
                            <a:noFill/>
                          </a:ln>
                        </pic:spPr>
                      </pic:pic>
                    </a:graphicData>
                  </a:graphic>
                </wp:inline>
              </w:drawing>
            </w:r>
          </w:p>
        </w:tc>
      </w:tr>
      <w:tr w14:paraId="019FAC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620FF14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8</w:t>
            </w:r>
          </w:p>
        </w:tc>
        <w:tc>
          <w:tcPr>
            <w:tcW w:w="1589" w:type="dxa"/>
            <w:gridSpan w:val="2"/>
            <w:tcBorders>
              <w:top w:val="single" w:color="auto" w:sz="4" w:space="0"/>
              <w:left w:val="single" w:color="auto" w:sz="4" w:space="0"/>
              <w:right w:val="single" w:color="auto" w:sz="4" w:space="0"/>
            </w:tcBorders>
            <w:vAlign w:val="center"/>
          </w:tcPr>
          <w:p w14:paraId="6343DCA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一次性使用无菌胸腹腔引流导管套件</w:t>
            </w:r>
          </w:p>
        </w:tc>
        <w:tc>
          <w:tcPr>
            <w:tcW w:w="1006" w:type="dxa"/>
            <w:tcBorders>
              <w:top w:val="single" w:color="auto" w:sz="4" w:space="0"/>
              <w:left w:val="single" w:color="auto" w:sz="4" w:space="0"/>
              <w:right w:val="single" w:color="auto" w:sz="4" w:space="0"/>
            </w:tcBorders>
            <w:vAlign w:val="center"/>
          </w:tcPr>
          <w:p w14:paraId="324260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8Fr-25cm/单腔弯型</w:t>
            </w:r>
          </w:p>
        </w:tc>
        <w:tc>
          <w:tcPr>
            <w:tcW w:w="3813" w:type="dxa"/>
            <w:tcBorders>
              <w:top w:val="single" w:color="auto" w:sz="4" w:space="0"/>
              <w:left w:val="single" w:color="auto" w:sz="4" w:space="0"/>
              <w:right w:val="single" w:color="auto" w:sz="4" w:space="0"/>
            </w:tcBorders>
            <w:vAlign w:val="center"/>
          </w:tcPr>
          <w:p w14:paraId="426628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由引流导管、导丝、直型穿刺针、导丝导入器、扩张器、引流连接管、塑柄手术刀、消毒刷、蝴蝶夹、中单、孔巾、非吸收缝线带针、医用透明贴、脱脂棉纱布、医用棉球组件选择组合而成。产品经环氧乙烷灭菌，一次性使用，，用于胸腔、腹腔内积液等的引流，在人体内留置时间小于30天。</w:t>
            </w:r>
          </w:p>
        </w:tc>
        <w:tc>
          <w:tcPr>
            <w:tcW w:w="867" w:type="dxa"/>
            <w:tcBorders>
              <w:top w:val="single" w:color="auto" w:sz="4" w:space="0"/>
              <w:left w:val="single" w:color="auto" w:sz="4" w:space="0"/>
              <w:right w:val="single" w:color="auto" w:sz="4" w:space="0"/>
            </w:tcBorders>
            <w:vAlign w:val="center"/>
          </w:tcPr>
          <w:p w14:paraId="62B5AF70">
            <w:pPr>
              <w:spacing w:beforeLines="0" w:afterLines="0"/>
              <w:jc w:val="center"/>
              <w:rPr>
                <w:rFonts w:hint="eastAsia"/>
                <w:b w:val="0"/>
                <w:bCs/>
                <w:sz w:val="16"/>
                <w:szCs w:val="20"/>
                <w:lang w:val="en-US" w:eastAsia="zh-CN"/>
              </w:rPr>
            </w:pPr>
            <w:r>
              <w:rPr>
                <w:rFonts w:hint="eastAsia"/>
                <w:b w:val="0"/>
                <w:bCs/>
                <w:sz w:val="16"/>
                <w:szCs w:val="20"/>
                <w:lang w:val="en-US" w:eastAsia="zh-CN"/>
              </w:rPr>
              <w:t>套</w:t>
            </w:r>
          </w:p>
        </w:tc>
        <w:tc>
          <w:tcPr>
            <w:tcW w:w="1958" w:type="dxa"/>
            <w:tcBorders>
              <w:top w:val="single" w:color="auto" w:sz="4" w:space="0"/>
              <w:left w:val="single" w:color="auto" w:sz="4" w:space="0"/>
              <w:right w:val="single" w:color="auto" w:sz="4" w:space="0"/>
            </w:tcBorders>
            <w:vAlign w:val="center"/>
          </w:tcPr>
          <w:p w14:paraId="533634E6">
            <w:pPr>
              <w:spacing w:beforeLines="0" w:afterLines="0"/>
              <w:jc w:val="center"/>
              <w:rPr>
                <w:rFonts w:hint="eastAsia"/>
                <w:b w:val="0"/>
                <w:bCs/>
                <w:sz w:val="16"/>
                <w:szCs w:val="20"/>
                <w:lang w:val="en-US" w:eastAsia="zh-CN"/>
              </w:rPr>
            </w:pPr>
            <w:r>
              <w:rPr>
                <w:rFonts w:hint="default"/>
                <w:sz w:val="16"/>
                <w:szCs w:val="20"/>
              </w:rPr>
              <w:drawing>
                <wp:inline distT="0" distB="0" distL="114300" distR="114300">
                  <wp:extent cx="1395095" cy="1043305"/>
                  <wp:effectExtent l="0" t="0" r="14605" b="4445"/>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7"/>
                          <a:stretch>
                            <a:fillRect/>
                          </a:stretch>
                        </pic:blipFill>
                        <pic:spPr>
                          <a:xfrm>
                            <a:off x="0" y="0"/>
                            <a:ext cx="1395095" cy="1043305"/>
                          </a:xfrm>
                          <a:prstGeom prst="rect">
                            <a:avLst/>
                          </a:prstGeom>
                          <a:noFill/>
                          <a:ln>
                            <a:noFill/>
                          </a:ln>
                        </pic:spPr>
                      </pic:pic>
                    </a:graphicData>
                  </a:graphic>
                </wp:inline>
              </w:drawing>
            </w:r>
          </w:p>
        </w:tc>
      </w:tr>
      <w:tr w14:paraId="47A0BA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0FC79B9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9</w:t>
            </w:r>
          </w:p>
        </w:tc>
        <w:tc>
          <w:tcPr>
            <w:tcW w:w="1589" w:type="dxa"/>
            <w:gridSpan w:val="2"/>
            <w:tcBorders>
              <w:top w:val="single" w:color="auto" w:sz="4" w:space="0"/>
              <w:left w:val="single" w:color="auto" w:sz="4" w:space="0"/>
              <w:right w:val="single" w:color="auto" w:sz="4" w:space="0"/>
            </w:tcBorders>
            <w:vAlign w:val="center"/>
          </w:tcPr>
          <w:p w14:paraId="6C03473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一次性使用无菌引流导管套件</w:t>
            </w:r>
          </w:p>
        </w:tc>
        <w:tc>
          <w:tcPr>
            <w:tcW w:w="1006" w:type="dxa"/>
            <w:tcBorders>
              <w:top w:val="single" w:color="auto" w:sz="4" w:space="0"/>
              <w:left w:val="single" w:color="auto" w:sz="4" w:space="0"/>
              <w:right w:val="single" w:color="auto" w:sz="4" w:space="0"/>
            </w:tcBorders>
            <w:vAlign w:val="center"/>
          </w:tcPr>
          <w:p w14:paraId="6702C7B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8</w:t>
            </w:r>
            <w:r>
              <w:rPr>
                <w:rFonts w:hint="default" w:ascii="宋体" w:hAnsi="宋体" w:eastAsia="宋体" w:cs="宋体"/>
                <w:sz w:val="15"/>
                <w:szCs w:val="16"/>
                <w:lang w:val="en-US" w:eastAsia="zh-CN"/>
              </w:rPr>
              <w:t>F</w:t>
            </w:r>
            <w:r>
              <w:rPr>
                <w:rFonts w:hint="eastAsia" w:ascii="宋体" w:hAnsi="宋体" w:eastAsia="宋体" w:cs="宋体"/>
                <w:sz w:val="15"/>
                <w:szCs w:val="16"/>
                <w:lang w:val="en-US" w:eastAsia="zh-CN"/>
              </w:rPr>
              <w:t>r-30cm/二步法套装07</w:t>
            </w:r>
          </w:p>
        </w:tc>
        <w:tc>
          <w:tcPr>
            <w:tcW w:w="3813" w:type="dxa"/>
            <w:tcBorders>
              <w:top w:val="single" w:color="auto" w:sz="4" w:space="0"/>
              <w:left w:val="single" w:color="auto" w:sz="4" w:space="0"/>
              <w:right w:val="single" w:color="auto" w:sz="4" w:space="0"/>
            </w:tcBorders>
            <w:vAlign w:val="center"/>
          </w:tcPr>
          <w:p w14:paraId="54D6A22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由引流导管、导管导入加硬套管、穿刺针、同轴扩张器、组织扩张器、导丝、导丝导入器、一次性使用无菌塑柄手术刀、体外吸引连接管、非吸收性缝线带针、导管固定器、医用无菌敷贴、医用棉球、医用脱脂棉纱布、中单、孔巾、消毒刷、引流袋、一次性使用灭菌橡胶外科手套选择组合而成。产品经环氧乙烷灭菌，一次性使用，用于胸腔、腹腔内积液等的引流，在人体内留置时间小于30天。</w:t>
            </w:r>
          </w:p>
        </w:tc>
        <w:tc>
          <w:tcPr>
            <w:tcW w:w="867" w:type="dxa"/>
            <w:tcBorders>
              <w:top w:val="single" w:color="auto" w:sz="4" w:space="0"/>
              <w:left w:val="single" w:color="auto" w:sz="4" w:space="0"/>
              <w:right w:val="single" w:color="auto" w:sz="4" w:space="0"/>
            </w:tcBorders>
            <w:vAlign w:val="center"/>
          </w:tcPr>
          <w:p w14:paraId="6F7B83C8">
            <w:pPr>
              <w:spacing w:beforeLines="0" w:afterLines="0"/>
              <w:jc w:val="center"/>
              <w:rPr>
                <w:rFonts w:hint="eastAsia"/>
                <w:b w:val="0"/>
                <w:bCs/>
                <w:sz w:val="16"/>
                <w:szCs w:val="20"/>
                <w:lang w:val="en-US" w:eastAsia="zh-CN"/>
              </w:rPr>
            </w:pPr>
            <w:r>
              <w:rPr>
                <w:rFonts w:hint="eastAsia"/>
                <w:b w:val="0"/>
                <w:bCs/>
                <w:sz w:val="16"/>
                <w:szCs w:val="20"/>
                <w:lang w:val="en-US" w:eastAsia="zh-CN"/>
              </w:rPr>
              <w:t>套</w:t>
            </w:r>
          </w:p>
        </w:tc>
        <w:tc>
          <w:tcPr>
            <w:tcW w:w="1958" w:type="dxa"/>
            <w:tcBorders>
              <w:top w:val="single" w:color="auto" w:sz="4" w:space="0"/>
              <w:left w:val="single" w:color="auto" w:sz="4" w:space="0"/>
              <w:right w:val="single" w:color="auto" w:sz="4" w:space="0"/>
            </w:tcBorders>
            <w:vAlign w:val="center"/>
          </w:tcPr>
          <w:p w14:paraId="03B73EC1">
            <w:pPr>
              <w:spacing w:beforeLines="0" w:afterLines="0"/>
              <w:jc w:val="center"/>
              <w:rPr>
                <w:rFonts w:hint="eastAsia"/>
                <w:b w:val="0"/>
                <w:bCs/>
                <w:sz w:val="16"/>
                <w:szCs w:val="20"/>
                <w:lang w:val="en-US" w:eastAsia="zh-CN"/>
              </w:rPr>
            </w:pPr>
            <w:r>
              <w:rPr>
                <w:rFonts w:hint="default"/>
                <w:sz w:val="16"/>
                <w:szCs w:val="20"/>
              </w:rPr>
              <w:drawing>
                <wp:inline distT="0" distB="0" distL="114300" distR="114300">
                  <wp:extent cx="1395095" cy="1043305"/>
                  <wp:effectExtent l="0" t="0" r="14605" b="4445"/>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7"/>
                          <a:stretch>
                            <a:fillRect/>
                          </a:stretch>
                        </pic:blipFill>
                        <pic:spPr>
                          <a:xfrm>
                            <a:off x="0" y="0"/>
                            <a:ext cx="1395095" cy="1043305"/>
                          </a:xfrm>
                          <a:prstGeom prst="rect">
                            <a:avLst/>
                          </a:prstGeom>
                          <a:noFill/>
                          <a:ln>
                            <a:noFill/>
                          </a:ln>
                        </pic:spPr>
                      </pic:pic>
                    </a:graphicData>
                  </a:graphic>
                </wp:inline>
              </w:drawing>
            </w:r>
          </w:p>
        </w:tc>
      </w:tr>
      <w:tr w14:paraId="4CA990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4F6CEB8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10</w:t>
            </w:r>
          </w:p>
        </w:tc>
        <w:tc>
          <w:tcPr>
            <w:tcW w:w="1589" w:type="dxa"/>
            <w:gridSpan w:val="2"/>
            <w:tcBorders>
              <w:top w:val="single" w:color="auto" w:sz="4" w:space="0"/>
              <w:left w:val="single" w:color="auto" w:sz="4" w:space="0"/>
              <w:right w:val="single" w:color="auto" w:sz="4" w:space="0"/>
            </w:tcBorders>
            <w:vAlign w:val="center"/>
          </w:tcPr>
          <w:p w14:paraId="472DCFC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一次性使用球囊子宫支架</w:t>
            </w:r>
          </w:p>
        </w:tc>
        <w:tc>
          <w:tcPr>
            <w:tcW w:w="1006" w:type="dxa"/>
            <w:tcBorders>
              <w:top w:val="single" w:color="auto" w:sz="4" w:space="0"/>
              <w:left w:val="single" w:color="auto" w:sz="4" w:space="0"/>
              <w:right w:val="single" w:color="auto" w:sz="4" w:space="0"/>
            </w:tcBorders>
            <w:vAlign w:val="center"/>
          </w:tcPr>
          <w:p w14:paraId="4861546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CDL-008-5F</w:t>
            </w:r>
          </w:p>
        </w:tc>
        <w:tc>
          <w:tcPr>
            <w:tcW w:w="3813" w:type="dxa"/>
            <w:tcBorders>
              <w:top w:val="single" w:color="auto" w:sz="4" w:space="0"/>
              <w:left w:val="single" w:color="auto" w:sz="4" w:space="0"/>
              <w:right w:val="single" w:color="auto" w:sz="4" w:space="0"/>
            </w:tcBorders>
            <w:vAlign w:val="center"/>
          </w:tcPr>
          <w:p w14:paraId="46E7AC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1.硅胶材质，生物相容性好，触感柔软；</w:t>
            </w:r>
          </w:p>
          <w:p w14:paraId="19E039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lang w:val="en-US" w:eastAsia="zh-CN"/>
              </w:rPr>
              <w:t>2.</w:t>
            </w:r>
            <w:r>
              <w:rPr>
                <w:rFonts w:hint="eastAsia" w:ascii="宋体" w:hAnsi="宋体" w:eastAsia="宋体" w:cs="宋体"/>
                <w:sz w:val="15"/>
                <w:szCs w:val="16"/>
              </w:rPr>
              <w:t>▲</w:t>
            </w:r>
            <w:r>
              <w:rPr>
                <w:rFonts w:hint="eastAsia" w:ascii="宋体" w:hAnsi="宋体" w:eastAsia="宋体" w:cs="宋体"/>
                <w:sz w:val="15"/>
                <w:szCs w:val="16"/>
                <w:lang w:val="en-US" w:eastAsia="zh-CN"/>
              </w:rPr>
              <w:t>球囊需要宽容度高、有5ml和8ml的倒三角球囊球囊，符合子宫正常生理形态，可耐受大于产品标注3倍的注水量而不破裂；能够维持宫腔边缘分离。</w:t>
            </w:r>
          </w:p>
        </w:tc>
        <w:tc>
          <w:tcPr>
            <w:tcW w:w="867" w:type="dxa"/>
            <w:tcBorders>
              <w:top w:val="single" w:color="auto" w:sz="4" w:space="0"/>
              <w:left w:val="single" w:color="auto" w:sz="4" w:space="0"/>
              <w:right w:val="single" w:color="auto" w:sz="4" w:space="0"/>
            </w:tcBorders>
            <w:vAlign w:val="center"/>
          </w:tcPr>
          <w:p w14:paraId="04CBF231">
            <w:pPr>
              <w:spacing w:beforeLines="0" w:afterLines="0"/>
              <w:jc w:val="center"/>
              <w:rPr>
                <w:rFonts w:hint="eastAsia"/>
                <w:b w:val="0"/>
                <w:bCs/>
                <w:sz w:val="16"/>
                <w:szCs w:val="20"/>
                <w:lang w:val="en-US" w:eastAsia="zh-CN"/>
              </w:rPr>
            </w:pPr>
            <w:r>
              <w:rPr>
                <w:rFonts w:hint="eastAsia"/>
                <w:b w:val="0"/>
                <w:bCs/>
                <w:sz w:val="16"/>
                <w:szCs w:val="20"/>
                <w:lang w:val="en-US" w:eastAsia="zh-CN"/>
              </w:rPr>
              <w:t>支</w:t>
            </w:r>
          </w:p>
        </w:tc>
        <w:tc>
          <w:tcPr>
            <w:tcW w:w="1958" w:type="dxa"/>
            <w:tcBorders>
              <w:top w:val="single" w:color="auto" w:sz="4" w:space="0"/>
              <w:left w:val="single" w:color="auto" w:sz="4" w:space="0"/>
              <w:right w:val="single" w:color="auto" w:sz="4" w:space="0"/>
            </w:tcBorders>
            <w:vAlign w:val="center"/>
          </w:tcPr>
          <w:p w14:paraId="68988667">
            <w:pPr>
              <w:spacing w:beforeLines="0" w:afterLines="0"/>
              <w:jc w:val="center"/>
              <w:rPr>
                <w:rFonts w:hint="eastAsia"/>
                <w:b w:val="0"/>
                <w:bCs/>
                <w:sz w:val="16"/>
                <w:szCs w:val="20"/>
                <w:lang w:val="en-US" w:eastAsia="zh-CN"/>
              </w:rPr>
            </w:pPr>
            <w:r>
              <w:rPr>
                <w:rFonts w:hint="eastAsia"/>
                <w:b/>
                <w:sz w:val="16"/>
                <w:szCs w:val="20"/>
                <w:lang w:val="en-US" w:eastAsia="zh-CN"/>
              </w:rPr>
              <w:t>/</w:t>
            </w:r>
          </w:p>
        </w:tc>
      </w:tr>
      <w:tr w14:paraId="407262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497D4B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11</w:t>
            </w:r>
          </w:p>
        </w:tc>
        <w:tc>
          <w:tcPr>
            <w:tcW w:w="1589" w:type="dxa"/>
            <w:gridSpan w:val="2"/>
            <w:tcBorders>
              <w:top w:val="single" w:color="auto" w:sz="4" w:space="0"/>
              <w:left w:val="single" w:color="auto" w:sz="4" w:space="0"/>
              <w:right w:val="single" w:color="auto" w:sz="4" w:space="0"/>
            </w:tcBorders>
            <w:vAlign w:val="center"/>
          </w:tcPr>
          <w:p w14:paraId="4FF5E4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一次性使用内窥镜标本取物袋</w:t>
            </w:r>
          </w:p>
        </w:tc>
        <w:tc>
          <w:tcPr>
            <w:tcW w:w="1006" w:type="dxa"/>
            <w:tcBorders>
              <w:top w:val="single" w:color="auto" w:sz="4" w:space="0"/>
              <w:left w:val="single" w:color="auto" w:sz="4" w:space="0"/>
              <w:right w:val="single" w:color="auto" w:sz="4" w:space="0"/>
            </w:tcBorders>
            <w:vAlign w:val="center"/>
          </w:tcPr>
          <w:p w14:paraId="55FAE2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 xml:space="preserve"> IV型 中号</w:t>
            </w:r>
          </w:p>
        </w:tc>
        <w:tc>
          <w:tcPr>
            <w:tcW w:w="3813" w:type="dxa"/>
            <w:tcBorders>
              <w:top w:val="single" w:color="auto" w:sz="4" w:space="0"/>
              <w:left w:val="single" w:color="auto" w:sz="4" w:space="0"/>
              <w:right w:val="single" w:color="auto" w:sz="4" w:space="0"/>
            </w:tcBorders>
            <w:vAlign w:val="center"/>
          </w:tcPr>
          <w:p w14:paraId="087E7D9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套管10mm，方便通过穿刺器套管进入体内；袋体使用高强度TPU材料，袋体透明柔软；张开装置为医用Ni-Ti记忆合金材料，袋口张开充分，方便标本放入取出时，自动收紧袋口，防止溢出。袋体形状如右图，配套腹腔镜手术设备使用。</w:t>
            </w:r>
          </w:p>
        </w:tc>
        <w:tc>
          <w:tcPr>
            <w:tcW w:w="867" w:type="dxa"/>
            <w:tcBorders>
              <w:top w:val="single" w:color="auto" w:sz="4" w:space="0"/>
              <w:left w:val="single" w:color="auto" w:sz="4" w:space="0"/>
              <w:right w:val="single" w:color="auto" w:sz="4" w:space="0"/>
            </w:tcBorders>
            <w:vAlign w:val="center"/>
          </w:tcPr>
          <w:p w14:paraId="732AE440">
            <w:pPr>
              <w:spacing w:beforeLines="0" w:afterLines="0"/>
              <w:jc w:val="center"/>
              <w:rPr>
                <w:rFonts w:hint="eastAsia"/>
                <w:b w:val="0"/>
                <w:bCs/>
                <w:sz w:val="16"/>
                <w:szCs w:val="20"/>
                <w:lang w:val="en-US" w:eastAsia="zh-CN"/>
              </w:rPr>
            </w:pPr>
            <w:r>
              <w:rPr>
                <w:rFonts w:hint="eastAsia"/>
                <w:b w:val="0"/>
                <w:bCs/>
                <w:sz w:val="16"/>
                <w:szCs w:val="20"/>
                <w:lang w:val="en-US" w:eastAsia="zh-CN"/>
              </w:rPr>
              <w:t>个</w:t>
            </w:r>
          </w:p>
        </w:tc>
        <w:tc>
          <w:tcPr>
            <w:tcW w:w="1958" w:type="dxa"/>
            <w:tcBorders>
              <w:top w:val="single" w:color="auto" w:sz="4" w:space="0"/>
              <w:left w:val="single" w:color="auto" w:sz="4" w:space="0"/>
              <w:right w:val="single" w:color="auto" w:sz="4" w:space="0"/>
            </w:tcBorders>
            <w:vAlign w:val="center"/>
          </w:tcPr>
          <w:p w14:paraId="5E71FABD">
            <w:pPr>
              <w:keepNext w:val="0"/>
              <w:keepLines w:val="0"/>
              <w:widowControl/>
              <w:suppressLineNumbers w:val="0"/>
              <w:jc w:val="left"/>
              <w:textAlignment w:val="center"/>
              <w:rPr>
                <w:rFonts w:hint="eastAsia"/>
                <w:b w:val="0"/>
                <w:bCs/>
                <w:sz w:val="16"/>
                <w:szCs w:val="20"/>
                <w:lang w:val="en-US" w:eastAsia="zh-CN"/>
              </w:rPr>
            </w:pPr>
            <w:r>
              <w:rPr>
                <w:rFonts w:hint="eastAsia" w:ascii="宋体" w:hAnsi="宋体" w:eastAsia="宋体" w:cs="宋体"/>
                <w:i w:val="0"/>
                <w:iCs w:val="0"/>
                <w:color w:val="000000"/>
                <w:kern w:val="0"/>
                <w:sz w:val="18"/>
                <w:szCs w:val="18"/>
                <w:u w:val="none"/>
                <w:lang w:val="en-US" w:eastAsia="zh-CN" w:bidi="ar"/>
              </w:rPr>
              <w:fldChar w:fldCharType="begin"/>
            </w:r>
            <w:r>
              <w:rPr>
                <w:rFonts w:hint="eastAsia" w:ascii="宋体" w:hAnsi="宋体" w:eastAsia="宋体" w:cs="宋体"/>
                <w:i w:val="0"/>
                <w:iCs w:val="0"/>
                <w:color w:val="000000"/>
                <w:kern w:val="0"/>
                <w:sz w:val="18"/>
                <w:szCs w:val="18"/>
                <w:u w:val="none"/>
                <w:lang w:val="en-US" w:eastAsia="zh-CN" w:bidi="ar"/>
              </w:rPr>
              <w:instrText xml:space="preserve">INCLUDEPICTURE \d "C:\\Users\\ADMINI~1\\AppData\\Local\\Temp\\ksohtml\\clip_cell_image2.png" \* MERGEFORMATINET </w:instrText>
            </w:r>
            <w:r>
              <w:rPr>
                <w:rFonts w:hint="eastAsia" w:ascii="宋体" w:hAnsi="宋体" w:eastAsia="宋体" w:cs="宋体"/>
                <w:i w:val="0"/>
                <w:iCs w:val="0"/>
                <w:color w:val="000000"/>
                <w:kern w:val="0"/>
                <w:sz w:val="18"/>
                <w:szCs w:val="18"/>
                <w:u w:val="none"/>
                <w:lang w:val="en-US" w:eastAsia="zh-CN" w:bidi="ar"/>
              </w:rPr>
              <w:fldChar w:fldCharType="separate"/>
            </w:r>
            <w:r>
              <w:rPr>
                <w:rFonts w:hint="eastAsia" w:ascii="宋体" w:hAnsi="宋体" w:eastAsia="宋体" w:cs="宋体"/>
                <w:i w:val="0"/>
                <w:iCs w:val="0"/>
                <w:color w:val="000000"/>
                <w:kern w:val="0"/>
                <w:sz w:val="18"/>
                <w:szCs w:val="18"/>
                <w:u w:val="none"/>
                <w:lang w:val="en-US" w:eastAsia="zh-CN" w:bidi="ar"/>
              </w:rPr>
              <w:drawing>
                <wp:inline distT="0" distB="0" distL="114300" distR="114300">
                  <wp:extent cx="1190625" cy="876300"/>
                  <wp:effectExtent l="0" t="0" r="9525" b="0"/>
                  <wp:docPr id="18"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descr="IMG_256"/>
                          <pic:cNvPicPr>
                            <a:picLocks noChangeAspect="1"/>
                          </pic:cNvPicPr>
                        </pic:nvPicPr>
                        <pic:blipFill>
                          <a:blip r:embed="rId8"/>
                          <a:stretch>
                            <a:fillRect/>
                          </a:stretch>
                        </pic:blipFill>
                        <pic:spPr>
                          <a:xfrm>
                            <a:off x="0" y="0"/>
                            <a:ext cx="1190625" cy="876300"/>
                          </a:xfrm>
                          <a:prstGeom prst="rect">
                            <a:avLst/>
                          </a:prstGeom>
                          <a:noFill/>
                          <a:ln>
                            <a:noFill/>
                          </a:ln>
                        </pic:spPr>
                      </pic:pic>
                    </a:graphicData>
                  </a:graphic>
                </wp:inline>
              </w:drawing>
            </w:r>
            <w:r>
              <w:rPr>
                <w:rFonts w:hint="eastAsia" w:ascii="宋体" w:hAnsi="宋体" w:eastAsia="宋体" w:cs="宋体"/>
                <w:i w:val="0"/>
                <w:iCs w:val="0"/>
                <w:color w:val="000000"/>
                <w:kern w:val="0"/>
                <w:sz w:val="18"/>
                <w:szCs w:val="18"/>
                <w:u w:val="none"/>
                <w:lang w:val="en-US" w:eastAsia="zh-CN" w:bidi="ar"/>
              </w:rPr>
              <w:fldChar w:fldCharType="end"/>
            </w:r>
          </w:p>
        </w:tc>
      </w:tr>
      <w:tr w14:paraId="18A21C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3966BD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12</w:t>
            </w:r>
          </w:p>
        </w:tc>
        <w:tc>
          <w:tcPr>
            <w:tcW w:w="1589" w:type="dxa"/>
            <w:gridSpan w:val="2"/>
            <w:tcBorders>
              <w:top w:val="single" w:color="auto" w:sz="4" w:space="0"/>
              <w:left w:val="single" w:color="auto" w:sz="4" w:space="0"/>
              <w:right w:val="single" w:color="auto" w:sz="4" w:space="0"/>
            </w:tcBorders>
            <w:vAlign w:val="center"/>
          </w:tcPr>
          <w:p w14:paraId="562BB5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lang w:val="en-US" w:eastAsia="zh-CN"/>
              </w:rPr>
              <w:t>一次性切口牵开固定器附件腹腔镜手助套装密封帽（单孔）</w:t>
            </w:r>
          </w:p>
        </w:tc>
        <w:tc>
          <w:tcPr>
            <w:tcW w:w="1006" w:type="dxa"/>
            <w:tcBorders>
              <w:top w:val="single" w:color="auto" w:sz="4" w:space="0"/>
              <w:left w:val="single" w:color="auto" w:sz="4" w:space="0"/>
              <w:right w:val="single" w:color="auto" w:sz="4" w:space="0"/>
            </w:tcBorders>
            <w:vAlign w:val="center"/>
          </w:tcPr>
          <w:p w14:paraId="35FF453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直径60、120毫米</w:t>
            </w:r>
          </w:p>
          <w:p w14:paraId="4FC782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p>
        </w:tc>
        <w:tc>
          <w:tcPr>
            <w:tcW w:w="3813" w:type="dxa"/>
            <w:tcBorders>
              <w:top w:val="single" w:color="auto" w:sz="4" w:space="0"/>
              <w:left w:val="single" w:color="auto" w:sz="4" w:space="0"/>
              <w:right w:val="single" w:color="auto" w:sz="4" w:space="0"/>
            </w:tcBorders>
            <w:vAlign w:val="center"/>
          </w:tcPr>
          <w:p w14:paraId="456FDD3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1</w:t>
            </w:r>
            <w:r>
              <w:rPr>
                <w:rFonts w:hint="eastAsia" w:ascii="宋体" w:hAnsi="宋体" w:eastAsia="宋体" w:cs="宋体"/>
                <w:sz w:val="15"/>
                <w:szCs w:val="16"/>
                <w:lang w:val="en-US" w:eastAsia="zh-CN"/>
              </w:rPr>
              <w:t>.</w:t>
            </w:r>
            <w:r>
              <w:rPr>
                <w:rFonts w:hint="eastAsia" w:ascii="宋体" w:hAnsi="宋体" w:eastAsia="宋体" w:cs="宋体"/>
                <w:sz w:val="15"/>
                <w:szCs w:val="16"/>
              </w:rPr>
              <w:t>▲腹腔镜手助套装密封帽直径为60、120毫米，表盘可旋转，有充、放气通道，表面通路4-5个，直径5-12毫米，高度20-38毫米；</w:t>
            </w:r>
          </w:p>
          <w:p w14:paraId="2B62A0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2</w:t>
            </w:r>
            <w:r>
              <w:rPr>
                <w:rFonts w:hint="eastAsia" w:ascii="宋体" w:hAnsi="宋体" w:eastAsia="宋体" w:cs="宋体"/>
                <w:sz w:val="15"/>
                <w:szCs w:val="16"/>
                <w:lang w:val="en-US" w:eastAsia="zh-CN"/>
              </w:rPr>
              <w:t>.</w:t>
            </w:r>
            <w:r>
              <w:rPr>
                <w:rFonts w:hint="eastAsia" w:ascii="宋体" w:hAnsi="宋体" w:eastAsia="宋体" w:cs="宋体"/>
                <w:sz w:val="15"/>
                <w:szCs w:val="16"/>
              </w:rPr>
              <w:t>▲附件：一次性切口牵开固定器嵌合，组成单孔腹腔镜通路；与阴道支撑环嵌合，可开展经阴道单孔手术；</w:t>
            </w:r>
          </w:p>
          <w:p w14:paraId="614C4E6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lang w:val="en-US" w:eastAsia="zh-CN"/>
              </w:rPr>
              <w:t>3.</w:t>
            </w:r>
            <w:r>
              <w:rPr>
                <w:rFonts w:hint="eastAsia" w:ascii="宋体" w:hAnsi="宋体" w:eastAsia="宋体" w:cs="宋体"/>
                <w:sz w:val="15"/>
                <w:szCs w:val="16"/>
              </w:rPr>
              <w:t>▲材质为硅橡胶和聚氨酯高分子材料。</w:t>
            </w:r>
          </w:p>
        </w:tc>
        <w:tc>
          <w:tcPr>
            <w:tcW w:w="867" w:type="dxa"/>
            <w:tcBorders>
              <w:top w:val="single" w:color="auto" w:sz="4" w:space="0"/>
              <w:left w:val="single" w:color="auto" w:sz="4" w:space="0"/>
              <w:right w:val="single" w:color="auto" w:sz="4" w:space="0"/>
            </w:tcBorders>
            <w:vAlign w:val="center"/>
          </w:tcPr>
          <w:p w14:paraId="3A45DF68">
            <w:pPr>
              <w:spacing w:beforeLines="0" w:afterLines="0"/>
              <w:jc w:val="center"/>
              <w:rPr>
                <w:rFonts w:hint="eastAsia"/>
                <w:b w:val="0"/>
                <w:bCs/>
                <w:sz w:val="16"/>
                <w:szCs w:val="20"/>
                <w:lang w:val="en-US" w:eastAsia="zh-CN"/>
              </w:rPr>
            </w:pPr>
            <w:r>
              <w:rPr>
                <w:rFonts w:hint="eastAsia"/>
                <w:b w:val="0"/>
                <w:bCs/>
                <w:sz w:val="16"/>
                <w:szCs w:val="20"/>
                <w:lang w:val="en-US" w:eastAsia="zh-CN"/>
              </w:rPr>
              <w:t>个</w:t>
            </w:r>
          </w:p>
        </w:tc>
        <w:tc>
          <w:tcPr>
            <w:tcW w:w="1958" w:type="dxa"/>
            <w:tcBorders>
              <w:top w:val="single" w:color="auto" w:sz="4" w:space="0"/>
              <w:left w:val="single" w:color="auto" w:sz="4" w:space="0"/>
              <w:right w:val="single" w:color="auto" w:sz="4" w:space="0"/>
            </w:tcBorders>
            <w:vAlign w:val="center"/>
          </w:tcPr>
          <w:p w14:paraId="5B61C2AC">
            <w:pPr>
              <w:spacing w:beforeLines="0" w:afterLines="0"/>
              <w:jc w:val="center"/>
              <w:rPr>
                <w:rFonts w:hint="eastAsia"/>
                <w:b w:val="0"/>
                <w:bCs/>
                <w:sz w:val="16"/>
                <w:szCs w:val="20"/>
                <w:lang w:val="en-US" w:eastAsia="zh-CN"/>
              </w:rPr>
            </w:pPr>
            <w:r>
              <w:rPr>
                <w:rFonts w:hint="eastAsia"/>
                <w:b/>
                <w:sz w:val="16"/>
                <w:szCs w:val="20"/>
                <w:lang w:val="en-US" w:eastAsia="zh-CN"/>
              </w:rPr>
              <w:t>/</w:t>
            </w:r>
          </w:p>
        </w:tc>
      </w:tr>
      <w:tr w14:paraId="5506F7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58BDEE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13</w:t>
            </w:r>
          </w:p>
        </w:tc>
        <w:tc>
          <w:tcPr>
            <w:tcW w:w="1589" w:type="dxa"/>
            <w:gridSpan w:val="2"/>
            <w:tcBorders>
              <w:top w:val="single" w:color="auto" w:sz="4" w:space="0"/>
              <w:left w:val="single" w:color="auto" w:sz="4" w:space="0"/>
              <w:right w:val="single" w:color="auto" w:sz="4" w:space="0"/>
            </w:tcBorders>
            <w:vAlign w:val="center"/>
          </w:tcPr>
          <w:p w14:paraId="692A6E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lang w:val="en-US" w:eastAsia="zh-CN"/>
              </w:rPr>
              <w:t>耻骨后经阴道前壁尿道悬吊器1</w:t>
            </w:r>
          </w:p>
        </w:tc>
        <w:tc>
          <w:tcPr>
            <w:tcW w:w="1006" w:type="dxa"/>
            <w:tcBorders>
              <w:top w:val="single" w:color="auto" w:sz="4" w:space="0"/>
              <w:left w:val="single" w:color="auto" w:sz="4" w:space="0"/>
              <w:right w:val="single" w:color="auto" w:sz="4" w:space="0"/>
            </w:tcBorders>
            <w:vAlign w:val="center"/>
          </w:tcPr>
          <w:p w14:paraId="0ED6A9B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TVT-O</w:t>
            </w:r>
          </w:p>
        </w:tc>
        <w:tc>
          <w:tcPr>
            <w:tcW w:w="3813" w:type="dxa"/>
            <w:tcBorders>
              <w:top w:val="single" w:color="auto" w:sz="4" w:space="0"/>
              <w:left w:val="single" w:color="auto" w:sz="4" w:space="0"/>
              <w:right w:val="single" w:color="auto" w:sz="4" w:space="0"/>
            </w:tcBorders>
            <w:vAlign w:val="center"/>
          </w:tcPr>
          <w:p w14:paraId="1A26CE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w:t>
            </w:r>
            <w:r>
              <w:rPr>
                <w:rFonts w:hint="eastAsia" w:ascii="宋体" w:hAnsi="宋体" w:eastAsia="宋体" w:cs="宋体"/>
                <w:sz w:val="15"/>
                <w:szCs w:val="16"/>
                <w:lang w:val="en-US" w:eastAsia="zh-CN"/>
              </w:rPr>
              <w:t>TVT-O由聚丙烯吊带、双侧螺旋穿刺导针、带翼无创导引器三组件组成，</w:t>
            </w:r>
            <w:r>
              <w:rPr>
                <w:rFonts w:hint="eastAsia" w:ascii="宋体" w:hAnsi="宋体" w:eastAsia="宋体" w:cs="宋体"/>
                <w:sz w:val="15"/>
                <w:szCs w:val="16"/>
              </w:rPr>
              <w:t>吊带</w:t>
            </w:r>
            <w:r>
              <w:rPr>
                <w:rFonts w:hint="eastAsia" w:ascii="宋体" w:hAnsi="宋体" w:eastAsia="宋体" w:cs="宋体"/>
                <w:sz w:val="15"/>
                <w:szCs w:val="16"/>
                <w:lang w:val="en-US" w:eastAsia="zh-CN"/>
              </w:rPr>
              <w:t>为</w:t>
            </w:r>
            <w:r>
              <w:rPr>
                <w:rFonts w:hint="eastAsia" w:ascii="宋体" w:hAnsi="宋体" w:eastAsia="宋体" w:cs="宋体"/>
                <w:sz w:val="15"/>
                <w:szCs w:val="16"/>
              </w:rPr>
              <w:t>单丝聚丙烯编织、酞菁蓝染色，宽1.1cm×长45cm；大孔径编织、低密度网片（35~45g/㎡）</w:t>
            </w:r>
            <w:r>
              <w:rPr>
                <w:rFonts w:hint="eastAsia" w:ascii="宋体" w:hAnsi="宋体" w:eastAsia="宋体" w:cs="宋体"/>
                <w:sz w:val="15"/>
                <w:szCs w:val="16"/>
                <w:lang w:eastAsia="zh-CN"/>
              </w:rPr>
              <w:t>，</w:t>
            </w:r>
            <w:r>
              <w:rPr>
                <w:rFonts w:hint="eastAsia" w:ascii="宋体" w:hAnsi="宋体" w:eastAsia="宋体" w:cs="宋体"/>
                <w:sz w:val="15"/>
                <w:szCs w:val="16"/>
              </w:rPr>
              <w:t>穿刺针</w:t>
            </w:r>
            <w:r>
              <w:rPr>
                <w:rFonts w:hint="eastAsia" w:ascii="宋体" w:hAnsi="宋体" w:eastAsia="宋体" w:cs="宋体"/>
                <w:sz w:val="15"/>
                <w:szCs w:val="16"/>
                <w:lang w:val="en-US" w:eastAsia="zh-CN"/>
              </w:rPr>
              <w:t>为</w:t>
            </w:r>
            <w:r>
              <w:rPr>
                <w:rFonts w:hint="eastAsia" w:ascii="宋体" w:hAnsi="宋体" w:eastAsia="宋体" w:cs="宋体"/>
                <w:sz w:val="15"/>
                <w:szCs w:val="16"/>
              </w:rPr>
              <w:t>螺旋弯针，针芯不锈钢、套管PE聚乙烯、手柄聚碳酸酯 PC；左右成对导针</w:t>
            </w:r>
            <w:r>
              <w:rPr>
                <w:rFonts w:hint="eastAsia" w:ascii="宋体" w:hAnsi="宋体" w:eastAsia="宋体" w:cs="宋体"/>
                <w:sz w:val="15"/>
                <w:szCs w:val="16"/>
                <w:lang w:eastAsia="zh-CN"/>
              </w:rPr>
              <w:t>，</w:t>
            </w:r>
            <w:r>
              <w:rPr>
                <w:rFonts w:hint="eastAsia" w:ascii="宋体" w:hAnsi="宋体" w:eastAsia="宋体" w:cs="宋体"/>
                <w:sz w:val="15"/>
                <w:szCs w:val="16"/>
              </w:rPr>
              <w:t>导引件</w:t>
            </w:r>
            <w:r>
              <w:rPr>
                <w:rFonts w:hint="eastAsia" w:ascii="宋体" w:hAnsi="宋体" w:eastAsia="宋体" w:cs="宋体"/>
                <w:sz w:val="15"/>
                <w:szCs w:val="16"/>
                <w:lang w:val="en-US" w:eastAsia="zh-CN"/>
              </w:rPr>
              <w:t>为</w:t>
            </w:r>
            <w:r>
              <w:rPr>
                <w:rFonts w:hint="eastAsia" w:ascii="宋体" w:hAnsi="宋体" w:eastAsia="宋体" w:cs="宋体"/>
                <w:sz w:val="15"/>
                <w:szCs w:val="16"/>
              </w:rPr>
              <w:t>304不锈钢带翼导引器，阴道入路分离定位用</w:t>
            </w:r>
            <w:r>
              <w:rPr>
                <w:rFonts w:hint="eastAsia" w:ascii="宋体" w:hAnsi="宋体" w:eastAsia="宋体" w:cs="宋体"/>
                <w:sz w:val="15"/>
                <w:szCs w:val="16"/>
                <w:lang w:eastAsia="zh-CN"/>
              </w:rPr>
              <w:t>。</w:t>
            </w:r>
            <w:r>
              <w:rPr>
                <w:rFonts w:hint="eastAsia" w:ascii="宋体" w:hAnsi="宋体" w:eastAsia="宋体" w:cs="宋体"/>
                <w:sz w:val="15"/>
                <w:szCs w:val="16"/>
              </w:rPr>
              <w:t>纵向拉伸强度≥21N/cm，拉力 21N/cm 时伸长率20%~40%；吊带两端连接强力≥16N，抗牵拉不脱丝</w:t>
            </w:r>
            <w:r>
              <w:rPr>
                <w:rFonts w:hint="eastAsia" w:ascii="宋体" w:hAnsi="宋体" w:eastAsia="宋体" w:cs="宋体"/>
                <w:sz w:val="15"/>
                <w:szCs w:val="16"/>
                <w:lang w:eastAsia="zh-CN"/>
              </w:rPr>
              <w:t>，</w:t>
            </w:r>
            <w:r>
              <w:rPr>
                <w:rFonts w:hint="eastAsia" w:ascii="宋体" w:hAnsi="宋体" w:eastAsia="宋体" w:cs="宋体"/>
                <w:sz w:val="15"/>
                <w:szCs w:val="16"/>
              </w:rPr>
              <w:t>网孔＞75μm，利于自体组织长入固定，降低吊带侵蚀风险</w:t>
            </w:r>
            <w:r>
              <w:rPr>
                <w:rFonts w:hint="eastAsia" w:ascii="宋体" w:hAnsi="宋体" w:eastAsia="宋体" w:cs="宋体"/>
                <w:sz w:val="15"/>
                <w:szCs w:val="16"/>
                <w:lang w:eastAsia="zh-CN"/>
              </w:rPr>
              <w:t>。</w:t>
            </w:r>
          </w:p>
        </w:tc>
        <w:tc>
          <w:tcPr>
            <w:tcW w:w="867" w:type="dxa"/>
            <w:tcBorders>
              <w:top w:val="single" w:color="auto" w:sz="4" w:space="0"/>
              <w:left w:val="single" w:color="auto" w:sz="4" w:space="0"/>
              <w:right w:val="single" w:color="auto" w:sz="4" w:space="0"/>
            </w:tcBorders>
            <w:vAlign w:val="center"/>
          </w:tcPr>
          <w:p w14:paraId="36813506">
            <w:pPr>
              <w:spacing w:beforeLines="0" w:afterLines="0"/>
              <w:jc w:val="center"/>
              <w:rPr>
                <w:rFonts w:hint="eastAsia"/>
                <w:b w:val="0"/>
                <w:bCs/>
                <w:sz w:val="16"/>
                <w:szCs w:val="20"/>
                <w:lang w:val="en-US" w:eastAsia="zh-CN"/>
              </w:rPr>
            </w:pPr>
            <w:r>
              <w:rPr>
                <w:rFonts w:hint="eastAsia"/>
                <w:b w:val="0"/>
                <w:bCs/>
                <w:sz w:val="16"/>
                <w:szCs w:val="20"/>
                <w:lang w:val="en-US" w:eastAsia="zh-CN"/>
              </w:rPr>
              <w:t>件</w:t>
            </w:r>
          </w:p>
        </w:tc>
        <w:tc>
          <w:tcPr>
            <w:tcW w:w="1958" w:type="dxa"/>
            <w:tcBorders>
              <w:top w:val="single" w:color="auto" w:sz="4" w:space="0"/>
              <w:left w:val="single" w:color="auto" w:sz="4" w:space="0"/>
              <w:right w:val="single" w:color="auto" w:sz="4" w:space="0"/>
            </w:tcBorders>
            <w:vAlign w:val="center"/>
          </w:tcPr>
          <w:p w14:paraId="6B5AA36F">
            <w:pPr>
              <w:spacing w:beforeLines="0" w:afterLines="0"/>
              <w:jc w:val="center"/>
              <w:rPr>
                <w:rFonts w:hint="eastAsia"/>
                <w:b w:val="0"/>
                <w:bCs/>
                <w:sz w:val="16"/>
                <w:szCs w:val="20"/>
                <w:lang w:val="en-US" w:eastAsia="zh-CN"/>
              </w:rPr>
            </w:pPr>
            <w:r>
              <w:rPr>
                <w:rFonts w:hint="eastAsia"/>
                <w:b/>
                <w:sz w:val="16"/>
                <w:szCs w:val="20"/>
                <w:lang w:val="en-US" w:eastAsia="zh-CN"/>
              </w:rPr>
              <w:t>/</w:t>
            </w:r>
          </w:p>
        </w:tc>
      </w:tr>
      <w:tr w14:paraId="069D53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485D05C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14</w:t>
            </w:r>
          </w:p>
        </w:tc>
        <w:tc>
          <w:tcPr>
            <w:tcW w:w="1589" w:type="dxa"/>
            <w:gridSpan w:val="2"/>
            <w:tcBorders>
              <w:top w:val="single" w:color="auto" w:sz="4" w:space="0"/>
              <w:left w:val="single" w:color="auto" w:sz="4" w:space="0"/>
              <w:right w:val="single" w:color="auto" w:sz="4" w:space="0"/>
            </w:tcBorders>
            <w:vAlign w:val="center"/>
          </w:tcPr>
          <w:p w14:paraId="2A5FFFB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lang w:val="en-US" w:eastAsia="zh-CN"/>
              </w:rPr>
              <w:t>耻骨后经阴道前壁尿道悬吊器2</w:t>
            </w:r>
          </w:p>
        </w:tc>
        <w:tc>
          <w:tcPr>
            <w:tcW w:w="1006" w:type="dxa"/>
            <w:tcBorders>
              <w:top w:val="single" w:color="auto" w:sz="4" w:space="0"/>
              <w:left w:val="single" w:color="auto" w:sz="4" w:space="0"/>
              <w:right w:val="single" w:color="auto" w:sz="4" w:space="0"/>
            </w:tcBorders>
            <w:vAlign w:val="center"/>
          </w:tcPr>
          <w:p w14:paraId="7FAE6C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TVT-E</w:t>
            </w:r>
          </w:p>
        </w:tc>
        <w:tc>
          <w:tcPr>
            <w:tcW w:w="3813" w:type="dxa"/>
            <w:tcBorders>
              <w:top w:val="single" w:color="auto" w:sz="4" w:space="0"/>
              <w:left w:val="single" w:color="auto" w:sz="4" w:space="0"/>
              <w:right w:val="single" w:color="auto" w:sz="4" w:space="0"/>
            </w:tcBorders>
            <w:vAlign w:val="center"/>
          </w:tcPr>
          <w:p w14:paraId="1932896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w:t>
            </w:r>
            <w:r>
              <w:rPr>
                <w:rFonts w:hint="eastAsia" w:ascii="宋体" w:hAnsi="宋体" w:eastAsia="宋体" w:cs="宋体"/>
                <w:sz w:val="15"/>
                <w:szCs w:val="16"/>
                <w:lang w:val="en-US" w:eastAsia="zh-CN"/>
              </w:rPr>
              <w:t>TVT-E由</w:t>
            </w:r>
            <w:r>
              <w:rPr>
                <w:rFonts w:hint="eastAsia" w:ascii="宋体" w:hAnsi="宋体" w:eastAsia="宋体" w:cs="宋体"/>
                <w:sz w:val="15"/>
                <w:szCs w:val="16"/>
              </w:rPr>
              <w:t>吊带</w:t>
            </w:r>
            <w:r>
              <w:rPr>
                <w:rFonts w:hint="eastAsia" w:ascii="宋体" w:hAnsi="宋体" w:eastAsia="宋体" w:cs="宋体"/>
                <w:sz w:val="15"/>
                <w:szCs w:val="16"/>
                <w:lang w:eastAsia="zh-CN"/>
              </w:rPr>
              <w:t>、</w:t>
            </w:r>
            <w:r>
              <w:rPr>
                <w:rFonts w:hint="eastAsia" w:ascii="宋体" w:hAnsi="宋体" w:eastAsia="宋体" w:cs="宋体"/>
                <w:sz w:val="15"/>
                <w:szCs w:val="16"/>
              </w:rPr>
              <w:t>左右弧形耻骨后穿刺针</w:t>
            </w:r>
            <w:r>
              <w:rPr>
                <w:rFonts w:hint="eastAsia" w:ascii="宋体" w:hAnsi="宋体" w:eastAsia="宋体" w:cs="宋体"/>
                <w:sz w:val="15"/>
                <w:szCs w:val="16"/>
                <w:lang w:eastAsia="zh-CN"/>
              </w:rPr>
              <w:t>、</w:t>
            </w:r>
            <w:r>
              <w:rPr>
                <w:rFonts w:hint="eastAsia" w:ascii="宋体" w:hAnsi="宋体" w:eastAsia="宋体" w:cs="宋体"/>
                <w:sz w:val="15"/>
                <w:szCs w:val="16"/>
              </w:rPr>
              <w:t>配套耻骨上定位导引器械</w:t>
            </w:r>
            <w:r>
              <w:rPr>
                <w:rFonts w:hint="eastAsia" w:ascii="宋体" w:hAnsi="宋体" w:eastAsia="宋体" w:cs="宋体"/>
                <w:sz w:val="15"/>
                <w:szCs w:val="16"/>
                <w:lang w:val="en-US" w:eastAsia="zh-CN"/>
              </w:rPr>
              <w:t>组成，</w:t>
            </w:r>
            <w:r>
              <w:rPr>
                <w:rFonts w:hint="eastAsia" w:ascii="宋体" w:hAnsi="宋体" w:eastAsia="宋体" w:cs="宋体"/>
                <w:sz w:val="15"/>
                <w:szCs w:val="16"/>
              </w:rPr>
              <w:t>吊带规格1.1cm×45cm 蓝染聚丙烯单丝网片（同TVT</w:t>
            </w:r>
            <w:r>
              <w:rPr>
                <w:rFonts w:hint="eastAsia" w:ascii="宋体" w:hAnsi="宋体" w:eastAsia="宋体" w:cs="宋体"/>
                <w:sz w:val="15"/>
                <w:szCs w:val="16"/>
              </w:rPr>
              <w:noBreakHyphen/>
            </w:r>
            <w:r>
              <w:rPr>
                <w:rFonts w:hint="eastAsia" w:ascii="宋体" w:hAnsi="宋体" w:eastAsia="宋体" w:cs="宋体"/>
                <w:sz w:val="15"/>
                <w:szCs w:val="16"/>
              </w:rPr>
              <w:t>O吊带尺寸），材质、编织标准与 TVT</w:t>
            </w:r>
            <w:r>
              <w:rPr>
                <w:rFonts w:hint="eastAsia" w:ascii="宋体" w:hAnsi="宋体" w:eastAsia="宋体" w:cs="宋体"/>
                <w:sz w:val="15"/>
                <w:szCs w:val="16"/>
              </w:rPr>
              <w:noBreakHyphen/>
            </w:r>
            <w:r>
              <w:rPr>
                <w:rFonts w:hint="eastAsia" w:ascii="宋体" w:hAnsi="宋体" w:eastAsia="宋体" w:cs="宋体"/>
                <w:sz w:val="15"/>
                <w:szCs w:val="16"/>
              </w:rPr>
              <w:t>O一致</w:t>
            </w:r>
            <w:r>
              <w:rPr>
                <w:rFonts w:hint="eastAsia" w:ascii="宋体" w:hAnsi="宋体" w:eastAsia="宋体" w:cs="宋体"/>
                <w:sz w:val="15"/>
                <w:szCs w:val="16"/>
                <w:lang w:eastAsia="zh-CN"/>
              </w:rPr>
              <w:t>，</w:t>
            </w:r>
            <w:r>
              <w:rPr>
                <w:rFonts w:hint="eastAsia" w:ascii="宋体" w:hAnsi="宋体" w:eastAsia="宋体" w:cs="宋体"/>
                <w:sz w:val="15"/>
                <w:szCs w:val="16"/>
              </w:rPr>
              <w:t>穿刺套件</w:t>
            </w:r>
            <w:r>
              <w:rPr>
                <w:rFonts w:hint="eastAsia" w:ascii="宋体" w:hAnsi="宋体" w:eastAsia="宋体" w:cs="宋体"/>
                <w:sz w:val="15"/>
                <w:szCs w:val="16"/>
                <w:lang w:val="en-US" w:eastAsia="zh-CN"/>
              </w:rPr>
              <w:t>为</w:t>
            </w:r>
            <w:r>
              <w:rPr>
                <w:rFonts w:hint="eastAsia" w:ascii="宋体" w:hAnsi="宋体" w:eastAsia="宋体" w:cs="宋体"/>
                <w:sz w:val="15"/>
                <w:szCs w:val="16"/>
              </w:rPr>
              <w:t>细径改良弧形耻骨后穿刺针，针尖加厚加固、套管外径比传统 TVT更细</w:t>
            </w:r>
            <w:r>
              <w:rPr>
                <w:rFonts w:hint="eastAsia" w:ascii="宋体" w:hAnsi="宋体" w:eastAsia="宋体" w:cs="宋体"/>
                <w:sz w:val="15"/>
                <w:szCs w:val="16"/>
                <w:lang w:eastAsia="zh-CN"/>
              </w:rPr>
              <w:t>，</w:t>
            </w:r>
            <w:r>
              <w:rPr>
                <w:rFonts w:hint="eastAsia" w:ascii="宋体" w:hAnsi="宋体" w:eastAsia="宋体" w:cs="宋体"/>
                <w:sz w:val="15"/>
                <w:szCs w:val="16"/>
                <w:lang w:val="en-US" w:eastAsia="zh-CN"/>
              </w:rPr>
              <w:t>抗拉≥21N/cm，伸长 20%~40%，端头抗拉≥16N。</w:t>
            </w:r>
          </w:p>
        </w:tc>
        <w:tc>
          <w:tcPr>
            <w:tcW w:w="867" w:type="dxa"/>
            <w:tcBorders>
              <w:top w:val="single" w:color="auto" w:sz="4" w:space="0"/>
              <w:left w:val="single" w:color="auto" w:sz="4" w:space="0"/>
              <w:right w:val="single" w:color="auto" w:sz="4" w:space="0"/>
            </w:tcBorders>
            <w:vAlign w:val="center"/>
          </w:tcPr>
          <w:p w14:paraId="735C8AD6">
            <w:pPr>
              <w:spacing w:beforeLines="0" w:afterLines="0"/>
              <w:jc w:val="center"/>
              <w:rPr>
                <w:rFonts w:hint="eastAsia"/>
                <w:b w:val="0"/>
                <w:bCs/>
                <w:sz w:val="16"/>
                <w:szCs w:val="20"/>
                <w:lang w:val="en-US" w:eastAsia="zh-CN"/>
              </w:rPr>
            </w:pPr>
            <w:r>
              <w:rPr>
                <w:rFonts w:hint="eastAsia"/>
                <w:b w:val="0"/>
                <w:bCs/>
                <w:sz w:val="16"/>
                <w:szCs w:val="20"/>
                <w:lang w:val="en-US" w:eastAsia="zh-CN"/>
              </w:rPr>
              <w:t>件</w:t>
            </w:r>
          </w:p>
        </w:tc>
        <w:tc>
          <w:tcPr>
            <w:tcW w:w="1958" w:type="dxa"/>
            <w:tcBorders>
              <w:top w:val="single" w:color="auto" w:sz="4" w:space="0"/>
              <w:left w:val="single" w:color="auto" w:sz="4" w:space="0"/>
              <w:right w:val="single" w:color="auto" w:sz="4" w:space="0"/>
            </w:tcBorders>
            <w:vAlign w:val="center"/>
          </w:tcPr>
          <w:p w14:paraId="267B3B7F">
            <w:pPr>
              <w:spacing w:beforeLines="0" w:afterLines="0"/>
              <w:jc w:val="center"/>
              <w:rPr>
                <w:rFonts w:hint="eastAsia"/>
                <w:b w:val="0"/>
                <w:bCs/>
                <w:sz w:val="16"/>
                <w:szCs w:val="20"/>
                <w:lang w:val="en-US" w:eastAsia="zh-CN"/>
              </w:rPr>
            </w:pPr>
            <w:r>
              <w:rPr>
                <w:rFonts w:hint="eastAsia"/>
                <w:b/>
                <w:sz w:val="16"/>
                <w:szCs w:val="20"/>
                <w:lang w:val="en-US" w:eastAsia="zh-CN"/>
              </w:rPr>
              <w:t>/</w:t>
            </w:r>
          </w:p>
        </w:tc>
      </w:tr>
      <w:tr w14:paraId="01F1CD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19" w:type="dxa"/>
            <w:tcBorders>
              <w:top w:val="single" w:color="auto" w:sz="4" w:space="0"/>
              <w:left w:val="single" w:color="auto" w:sz="4" w:space="0"/>
              <w:right w:val="single" w:color="auto" w:sz="4" w:space="0"/>
            </w:tcBorders>
            <w:vAlign w:val="center"/>
          </w:tcPr>
          <w:p w14:paraId="3C2B586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15</w:t>
            </w:r>
          </w:p>
        </w:tc>
        <w:tc>
          <w:tcPr>
            <w:tcW w:w="1589" w:type="dxa"/>
            <w:gridSpan w:val="2"/>
            <w:tcBorders>
              <w:top w:val="single" w:color="auto" w:sz="4" w:space="0"/>
              <w:left w:val="single" w:color="auto" w:sz="4" w:space="0"/>
              <w:right w:val="single" w:color="auto" w:sz="4" w:space="0"/>
            </w:tcBorders>
            <w:vAlign w:val="center"/>
          </w:tcPr>
          <w:p w14:paraId="0BCE23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lang w:val="en-US" w:eastAsia="zh-CN"/>
              </w:rPr>
              <w:t>耻骨后经阴道前壁尿道悬吊器3</w:t>
            </w:r>
          </w:p>
        </w:tc>
        <w:tc>
          <w:tcPr>
            <w:tcW w:w="1006" w:type="dxa"/>
            <w:tcBorders>
              <w:top w:val="single" w:color="auto" w:sz="4" w:space="0"/>
              <w:left w:val="single" w:color="auto" w:sz="4" w:space="0"/>
              <w:right w:val="single" w:color="auto" w:sz="4" w:space="0"/>
            </w:tcBorders>
            <w:vAlign w:val="center"/>
          </w:tcPr>
          <w:p w14:paraId="3F661F1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TVT-A</w:t>
            </w:r>
          </w:p>
        </w:tc>
        <w:tc>
          <w:tcPr>
            <w:tcW w:w="3813" w:type="dxa"/>
            <w:tcBorders>
              <w:top w:val="single" w:color="auto" w:sz="4" w:space="0"/>
              <w:left w:val="single" w:color="auto" w:sz="4" w:space="0"/>
              <w:right w:val="single" w:color="auto" w:sz="4" w:space="0"/>
            </w:tcBorders>
            <w:vAlign w:val="center"/>
          </w:tcPr>
          <w:p w14:paraId="1E966C3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rPr>
            </w:pPr>
            <w:r>
              <w:rPr>
                <w:rFonts w:hint="eastAsia" w:ascii="宋体" w:hAnsi="宋体" w:eastAsia="宋体" w:cs="宋体"/>
                <w:sz w:val="15"/>
                <w:szCs w:val="16"/>
              </w:rPr>
              <w:t>▲</w:t>
            </w:r>
            <w:r>
              <w:rPr>
                <w:rFonts w:hint="eastAsia" w:ascii="宋体" w:hAnsi="宋体" w:eastAsia="宋体" w:cs="宋体"/>
                <w:sz w:val="15"/>
                <w:szCs w:val="16"/>
                <w:lang w:val="en-US" w:eastAsia="zh-CN"/>
              </w:rPr>
              <w:t>TVT-A由植入吊带（含中心定位环）、1组弯螺旋穿刺针、带翼导引器组成；无双侧长牵引段，网片尺寸宽 1.1cm、总长12cm（短吊带）、材质为蓝色单丝聚丙烯，拉伸≥16N/cm，伸长 20%~40%，端头强力≥16N。</w:t>
            </w:r>
          </w:p>
        </w:tc>
        <w:tc>
          <w:tcPr>
            <w:tcW w:w="867" w:type="dxa"/>
            <w:tcBorders>
              <w:top w:val="single" w:color="auto" w:sz="4" w:space="0"/>
              <w:left w:val="single" w:color="auto" w:sz="4" w:space="0"/>
              <w:right w:val="single" w:color="auto" w:sz="4" w:space="0"/>
            </w:tcBorders>
            <w:vAlign w:val="center"/>
          </w:tcPr>
          <w:p w14:paraId="301308F4">
            <w:pPr>
              <w:spacing w:beforeLines="0" w:afterLines="0"/>
              <w:jc w:val="center"/>
              <w:rPr>
                <w:rFonts w:hint="eastAsia"/>
                <w:b w:val="0"/>
                <w:bCs/>
                <w:sz w:val="16"/>
                <w:szCs w:val="20"/>
                <w:lang w:val="en-US" w:eastAsia="zh-CN"/>
              </w:rPr>
            </w:pPr>
            <w:r>
              <w:rPr>
                <w:rFonts w:hint="eastAsia"/>
                <w:b w:val="0"/>
                <w:bCs/>
                <w:sz w:val="16"/>
                <w:szCs w:val="20"/>
                <w:lang w:val="en-US" w:eastAsia="zh-CN"/>
              </w:rPr>
              <w:t>件</w:t>
            </w:r>
          </w:p>
        </w:tc>
        <w:tc>
          <w:tcPr>
            <w:tcW w:w="1958" w:type="dxa"/>
            <w:tcBorders>
              <w:top w:val="single" w:color="auto" w:sz="4" w:space="0"/>
              <w:left w:val="single" w:color="auto" w:sz="4" w:space="0"/>
              <w:right w:val="single" w:color="auto" w:sz="4" w:space="0"/>
            </w:tcBorders>
            <w:vAlign w:val="center"/>
          </w:tcPr>
          <w:p w14:paraId="558CAE54">
            <w:pPr>
              <w:spacing w:beforeLines="0" w:afterLines="0"/>
              <w:jc w:val="center"/>
              <w:rPr>
                <w:rFonts w:hint="eastAsia"/>
                <w:b w:val="0"/>
                <w:bCs/>
                <w:sz w:val="16"/>
                <w:szCs w:val="20"/>
                <w:lang w:val="en-US" w:eastAsia="zh-CN"/>
              </w:rPr>
            </w:pPr>
            <w:r>
              <w:rPr>
                <w:rFonts w:hint="eastAsia"/>
                <w:b/>
                <w:sz w:val="16"/>
                <w:szCs w:val="20"/>
                <w:lang w:val="en-US" w:eastAsia="zh-CN"/>
              </w:rPr>
              <w:t>/</w:t>
            </w:r>
          </w:p>
        </w:tc>
      </w:tr>
      <w:tr w14:paraId="27B02A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9752" w:type="dxa"/>
            <w:gridSpan w:val="7"/>
            <w:tcBorders>
              <w:top w:val="single" w:color="auto" w:sz="4" w:space="0"/>
              <w:left w:val="single" w:color="auto" w:sz="4" w:space="0"/>
              <w:right w:val="single" w:color="auto" w:sz="4" w:space="0"/>
            </w:tcBorders>
            <w:vAlign w:val="center"/>
          </w:tcPr>
          <w:p w14:paraId="684B315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备注：以上检测次数为预估数量，具体数量以实际检测次数为准。</w:t>
            </w:r>
          </w:p>
        </w:tc>
      </w:tr>
      <w:tr w14:paraId="75B59A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9752" w:type="dxa"/>
            <w:gridSpan w:val="7"/>
            <w:tcBorders>
              <w:top w:val="single" w:color="auto" w:sz="4" w:space="0"/>
              <w:left w:val="single" w:color="auto" w:sz="4" w:space="0"/>
              <w:bottom w:val="single" w:color="auto" w:sz="4" w:space="0"/>
              <w:right w:val="single" w:color="auto" w:sz="4" w:space="0"/>
            </w:tcBorders>
            <w:vAlign w:val="center"/>
          </w:tcPr>
          <w:p w14:paraId="2C4BDEF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商务条款</w:t>
            </w:r>
          </w:p>
        </w:tc>
      </w:tr>
      <w:tr w14:paraId="28C74B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52F2024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合同签订时间</w:t>
            </w:r>
          </w:p>
        </w:tc>
        <w:tc>
          <w:tcPr>
            <w:tcW w:w="8185" w:type="dxa"/>
            <w:gridSpan w:val="5"/>
            <w:tcBorders>
              <w:top w:val="single" w:color="auto" w:sz="4" w:space="0"/>
              <w:left w:val="single" w:color="auto" w:sz="4" w:space="0"/>
              <w:bottom w:val="single" w:color="auto" w:sz="4" w:space="0"/>
              <w:right w:val="single" w:color="auto" w:sz="4" w:space="0"/>
            </w:tcBorders>
          </w:tcPr>
          <w:p w14:paraId="294DCD3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自中标通知书发出之日起 25 日内。</w:t>
            </w:r>
          </w:p>
        </w:tc>
      </w:tr>
      <w:tr w14:paraId="0B7207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009B785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服务时间及地点</w:t>
            </w:r>
          </w:p>
        </w:tc>
        <w:tc>
          <w:tcPr>
            <w:tcW w:w="8185" w:type="dxa"/>
            <w:gridSpan w:val="5"/>
            <w:tcBorders>
              <w:top w:val="single" w:color="auto" w:sz="4" w:space="0"/>
              <w:left w:val="single" w:color="auto" w:sz="4" w:space="0"/>
              <w:bottom w:val="single" w:color="auto" w:sz="4" w:space="0"/>
              <w:right w:val="single" w:color="auto" w:sz="4" w:space="0"/>
            </w:tcBorders>
          </w:tcPr>
          <w:p w14:paraId="676401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1、服务期限：自合同签订之日起一年，以合同约定的具体时间为准。</w:t>
            </w:r>
          </w:p>
          <w:p w14:paraId="02A747F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2、配送时间：分批次交货，中标供应商收到采购人通知后，5 天内按采购人要求将货送到指定地点，急需耗材的送货时间以科室届时实际要求为准；服务期限内，中标供应商逾期送货累计超过 2 次（不含本数），采购人有权单方解除合同并按合同约定追究中标供应商的违约责任。</w:t>
            </w:r>
          </w:p>
          <w:p w14:paraId="66815A4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3、配送地点：采购方指定医院院内库房、妇科、手术麻醉科、物资收纳中心等指定点位（具体以采购方实时通知为准）。交付需完成落地卸货、搬运、入库摆放等全套服务，送至采购方指定具体位置，无需采购方二次搬运，全程配送费用由供应商全额承担。</w:t>
            </w:r>
          </w:p>
        </w:tc>
      </w:tr>
      <w:tr w14:paraId="472D2F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30A7ED2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 xml:space="preserve">质保期 </w:t>
            </w:r>
          </w:p>
        </w:tc>
        <w:tc>
          <w:tcPr>
            <w:tcW w:w="8185" w:type="dxa"/>
            <w:gridSpan w:val="5"/>
            <w:tcBorders>
              <w:top w:val="single" w:color="auto" w:sz="4" w:space="0"/>
              <w:left w:val="single" w:color="auto" w:sz="4" w:space="0"/>
              <w:bottom w:val="single" w:color="auto" w:sz="4" w:space="0"/>
              <w:right w:val="single" w:color="auto" w:sz="4" w:space="0"/>
            </w:tcBorders>
          </w:tcPr>
          <w:p w14:paraId="35422F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按国家有关产品“三包”规定执行“三包”，除特别说明外，质保期为不得少于 1 年，自产品验收合格并能正常使用之日算起。</w:t>
            </w:r>
          </w:p>
        </w:tc>
      </w:tr>
      <w:tr w14:paraId="7F4C04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2B87587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售后服务要求</w:t>
            </w:r>
          </w:p>
        </w:tc>
        <w:tc>
          <w:tcPr>
            <w:tcW w:w="8185" w:type="dxa"/>
            <w:gridSpan w:val="5"/>
            <w:tcBorders>
              <w:top w:val="single" w:color="auto" w:sz="4" w:space="0"/>
              <w:left w:val="single" w:color="auto" w:sz="4" w:space="0"/>
              <w:bottom w:val="single" w:color="auto" w:sz="4" w:space="0"/>
              <w:right w:val="single" w:color="auto" w:sz="4" w:space="0"/>
            </w:tcBorders>
          </w:tcPr>
          <w:p w14:paraId="025AD32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1、免费送货上门，因送货时间延长累计超过 2 次，采购人有权终止合同。</w:t>
            </w:r>
          </w:p>
          <w:p w14:paraId="682943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2、常规供货交付：供应商需承诺接到采购方日常供货订单后，72小时内完成配送交付至采购方指定地点；针对常规备货耗材，需保障采购方库房库存充足，随时按需补货，无缺货、断货情况。紧急供货交付：临床突发手术、急诊救治等紧急场景，供应商接到采购方紧急采购通知后，6小时内送达指定地点，保障临床手术正常开展，不得因耗材配送延误影响诊疗工作。</w:t>
            </w:r>
          </w:p>
          <w:p w14:paraId="1295A01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3、配送的产品必须是全新、未使用过的产品。产品包装必须是未经使用的全新的合格产品，并按照原厂标准包装规格供货，不接受散装或拆包装件。所有货物都提供使用说明书和详细装箱清单及质量合格证，如确定有质量问题，按照正常程序退货。</w:t>
            </w:r>
          </w:p>
          <w:p w14:paraId="112C621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4、开箱如有缺货、错装、损坏或质量问题，供应商承担全部责任，到货后，货物及其附属物品与合同规定的数量和质量不符，由此造成的货物退换过程的一切费用供应商承担。</w:t>
            </w:r>
          </w:p>
          <w:p w14:paraId="6EBCA3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5、响应文件中提供可行的售后服务承诺书。</w:t>
            </w:r>
          </w:p>
          <w:p w14:paraId="55D4F74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6、成交供应商要在供货数量达到合同签订数量70%后，及时主动联系采购人告知已送货数量。</w:t>
            </w:r>
          </w:p>
          <w:p w14:paraId="669BBA6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7、保证货物在合同期限内有相关产品授权，不得以授权到期为由申请转配送或逾期不供货。</w:t>
            </w:r>
          </w:p>
        </w:tc>
      </w:tr>
      <w:tr w14:paraId="7630E4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224704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付款方式</w:t>
            </w:r>
          </w:p>
        </w:tc>
        <w:tc>
          <w:tcPr>
            <w:tcW w:w="8185" w:type="dxa"/>
            <w:gridSpan w:val="5"/>
            <w:tcBorders>
              <w:top w:val="single" w:color="auto" w:sz="4" w:space="0"/>
              <w:left w:val="single" w:color="auto" w:sz="4" w:space="0"/>
              <w:bottom w:val="single" w:color="auto" w:sz="4" w:space="0"/>
              <w:right w:val="single" w:color="auto" w:sz="4" w:space="0"/>
            </w:tcBorders>
          </w:tcPr>
          <w:p w14:paraId="197B408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中标供应商送货验收合格后，采购人每月根据实际配送产品数量进行结算，结算时，按实际供货数量*中标供应商的中标单价结算。中标供应商据此开具发票（发票必须由中标供应商自行验证真伪随同发票一并提供），采购人于收到发票并验收合格后120日内付款。</w:t>
            </w:r>
          </w:p>
          <w:p w14:paraId="2866574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2、本合同配送的产品为单价，在合同期内需适时调整。若遇市场（包括但不限于中标供应商及其总代、厂家、政府等）价格下调，中标供应商应主动及时向采购人提交降价函，于次月执行。</w:t>
            </w:r>
          </w:p>
          <w:p w14:paraId="792E098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3、中标供应商保证产品价格不高于广西地区同级别公立医疗机构实际供货的最低价格，否则采购人有权终止合同，且未供货的产品的费用从已供货产品货款进行抵扣结算。合同期内中标供应商不得擅自上调供货价格。若特殊原因需要调价，须经采购人书面同意，并按有关程序办理。</w:t>
            </w:r>
          </w:p>
        </w:tc>
      </w:tr>
      <w:tr w14:paraId="0186C7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4CB7F5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验收标准、验收方法</w:t>
            </w:r>
          </w:p>
        </w:tc>
        <w:tc>
          <w:tcPr>
            <w:tcW w:w="8185" w:type="dxa"/>
            <w:gridSpan w:val="5"/>
            <w:tcBorders>
              <w:top w:val="single" w:color="auto" w:sz="4" w:space="0"/>
              <w:left w:val="single" w:color="auto" w:sz="4" w:space="0"/>
              <w:bottom w:val="single" w:color="auto" w:sz="4" w:space="0"/>
              <w:right w:val="single" w:color="auto" w:sz="4" w:space="0"/>
            </w:tcBorders>
          </w:tcPr>
          <w:p w14:paraId="4857C9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1、中标供应商提供不符合公告规定的、采购文件、投标文件承诺的或本合同规定的货物，采购人有权拒绝接受。</w:t>
            </w:r>
          </w:p>
          <w:p w14:paraId="6ACFB3C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2、中标供应商应将所提供货物的装箱清单、用户手册、合格证明等交付给采购人，如有缺失应在采购人要求的期限内及时补齐，否则视为逾期配送。</w:t>
            </w:r>
          </w:p>
          <w:p w14:paraId="3D31915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3、产品到达现场后，中标人应在招标单位人员在场情况下当面开箱，共同清点、检查外观，作出开箱记录，双方签字确认。中标人应保证货物到达采购人所在地完好无损，如有缺漏、损坏，由中标人负责调换、补齐或赔偿。</w:t>
            </w:r>
          </w:p>
          <w:p w14:paraId="31A2B18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4、采购人对验收有异议的，在验收后以书面形式向中标供应商提出，中标供应商应自收到采购人书面异议后五日内及时予以解决，中标供应商不予答复或未予以实质解决的，视为认可采购人异议及处置意见。</w:t>
            </w:r>
          </w:p>
          <w:p w14:paraId="498104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5、若采购人委托第三方组织的验收项目，其验收时间以该项目验收方案确定的验收时间为准，验收结果以该项目验收报告结论为准。在验收过程中发现中标供应商有违约问题，可暂缓资金结算，待违约问题解决后，方可办理资金结算事宜，在此期间，采购人不承担</w:t>
            </w:r>
            <w:bookmarkStart w:id="0" w:name="_GoBack"/>
            <w:bookmarkEnd w:id="0"/>
            <w:r>
              <w:rPr>
                <w:rFonts w:hint="eastAsia" w:ascii="宋体" w:hAnsi="宋体" w:eastAsia="宋体" w:cs="宋体"/>
                <w:sz w:val="15"/>
                <w:szCs w:val="16"/>
                <w:lang w:val="en-US" w:eastAsia="zh-CN"/>
              </w:rPr>
              <w:t>逾期付款责任。</w:t>
            </w:r>
          </w:p>
          <w:p w14:paraId="1A0091E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宋体" w:hAnsi="宋体" w:eastAsia="宋体" w:cs="宋体"/>
                <w:sz w:val="15"/>
                <w:szCs w:val="16"/>
                <w:lang w:val="en-US" w:eastAsia="zh-CN"/>
              </w:rPr>
            </w:pPr>
            <w:r>
              <w:rPr>
                <w:rFonts w:hint="eastAsia" w:ascii="宋体" w:hAnsi="宋体" w:eastAsia="宋体" w:cs="宋体"/>
                <w:sz w:val="15"/>
                <w:szCs w:val="16"/>
                <w:lang w:val="en-US" w:eastAsia="zh-CN"/>
              </w:rPr>
              <w:t>6、质量复验：采购方有权对到货耗材进行抽样送检、质量复验，核查产品材质、性能、无菌标准、安全性等指标，检测费用由供应商承担。若检测结果不合格，整批次产品全部拒收，供应商需承担全部损失及违约责任，同时整改供货体系。</w:t>
            </w:r>
          </w:p>
          <w:p w14:paraId="7588EE8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7、其他未尽事宜应严格按照《关于印发广西壮族自治区政府采购项目履约验收管理办法的通知》[桂财采〔2015〕22 号]以及《财政部关于进一步加强政府采购需求和履约验收管理的指导意见》[财库〔2016〕205 号]规定执行。</w:t>
            </w:r>
          </w:p>
          <w:p w14:paraId="2134CC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8、验收过程中所产生的一切费用均由中标人承担，包括中标人邀请第三方检测机构出具检测报告的费用、邀请第三方验收代理机构组织验收的费用以及因检测或验收不合格导致开展再次检测或验收所产生的费用等。</w:t>
            </w:r>
          </w:p>
        </w:tc>
      </w:tr>
      <w:tr w14:paraId="5A9EA2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2AA0735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投标报价要求</w:t>
            </w:r>
          </w:p>
        </w:tc>
        <w:tc>
          <w:tcPr>
            <w:tcW w:w="8185" w:type="dxa"/>
            <w:gridSpan w:val="5"/>
            <w:tcBorders>
              <w:top w:val="single" w:color="auto" w:sz="4" w:space="0"/>
              <w:left w:val="single" w:color="auto" w:sz="4" w:space="0"/>
              <w:bottom w:val="single" w:color="auto" w:sz="4" w:space="0"/>
              <w:right w:val="single" w:color="auto" w:sz="4" w:space="0"/>
            </w:tcBorders>
          </w:tcPr>
          <w:p w14:paraId="7153FF0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1、所报产品必须在广西药品和医用耗材招采管理系统采购，报价不得高于广西药品和医用耗材招采管理系统挂网价格和最高采购单价。</w:t>
            </w:r>
          </w:p>
          <w:p w14:paraId="68756B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2、本项目最终投标报价不等于最终合同总价，最终总报价仅作为合同暂定总价；本项目实行单价合同进行采购，根据实际供货数量*中标供应商的中标单价结算，最终结算金额包括但不限于：完成项目所有服务所需的费用，包含配送的试剂耗材、采购的全部费用、产品指定交货地点的各种费用、售后服务、税金、利息及其它所有成本费用的总和，合同履约期间采购人不再支付其他费用。</w:t>
            </w:r>
          </w:p>
          <w:p w14:paraId="7B98E1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3、本项目只确定每个品种耗材的“配送单价”，配送服务费=“配送单价”×实际数量。投标人需按“开标一览表”格式完整填写每个品种耗材的“配送单价”和“单价合计价”，“单项合价”将做为价格分的评审依据。</w:t>
            </w:r>
          </w:p>
          <w:p w14:paraId="3322D6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4、结算时，按实际供货数量*中标供应商的中标单价结算，如在合同期内调整过单价的，按双方确认调整后的单价进行计算。</w:t>
            </w:r>
          </w:p>
        </w:tc>
      </w:tr>
      <w:tr w14:paraId="0DD94E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567" w:type="dxa"/>
            <w:gridSpan w:val="2"/>
            <w:tcBorders>
              <w:top w:val="single" w:color="auto" w:sz="4" w:space="0"/>
              <w:left w:val="single" w:color="auto" w:sz="4" w:space="0"/>
              <w:bottom w:val="single" w:color="auto" w:sz="4" w:space="0"/>
              <w:right w:val="single" w:color="auto" w:sz="4" w:space="0"/>
            </w:tcBorders>
            <w:vAlign w:val="center"/>
          </w:tcPr>
          <w:p w14:paraId="12D53B8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其他要求</w:t>
            </w:r>
          </w:p>
        </w:tc>
        <w:tc>
          <w:tcPr>
            <w:tcW w:w="8185" w:type="dxa"/>
            <w:gridSpan w:val="5"/>
            <w:tcBorders>
              <w:top w:val="single" w:color="auto" w:sz="4" w:space="0"/>
              <w:left w:val="single" w:color="auto" w:sz="4" w:space="0"/>
              <w:bottom w:val="single" w:color="auto" w:sz="4" w:space="0"/>
              <w:right w:val="single" w:color="auto" w:sz="4" w:space="0"/>
            </w:tcBorders>
          </w:tcPr>
          <w:p w14:paraId="1A7BBA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1、供应商提供的产品必须是在自治区中标或药招采子系统平台挂网目录内的耗材产品并且承诺中选后通过药招采子系统平台配送。</w:t>
            </w:r>
          </w:p>
          <w:p w14:paraId="19592C8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2、中标供应商配送时必须向采购人提供原厂生产的全新合格产品，同时提供产品的全套资料，包含但不限于：“医疗器械生产企业许可证”、“医疗器械经营许可/备案证”、“中华人民共和国医疗器械注册证和注册登记表”、“一次性医疗用品质量跟踪卡”、“产品合格证”、“同批次产品检验报告”。</w:t>
            </w:r>
          </w:p>
          <w:p w14:paraId="0D0D9D9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3、中标供应商按合同附件要求的品牌型号、规格、价格提供产品，所提供的产品与医疗器械注册证和注册登记表完全相符。如与采购人计划不符或达不到合同约定的，采购人可要求中标供应商立即退货、换货、补货。未经采购人书面同意，中标供应商不得更换产品品牌、型号，否则采购人有权终止合同。</w:t>
            </w:r>
          </w:p>
          <w:p w14:paraId="5E62A6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4、对不符合质量要求或不符合无菌转运要求的产品，采购人有权拒绝接收，中标供应商应对相应产品及时进行更换，不得影响采购人的临床应用。本规定的执行不免除中标供应商因产品质量产生的其他责任。</w:t>
            </w:r>
          </w:p>
          <w:p w14:paraId="09A612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5、中标供应商要保证供应最新批号的产品。</w:t>
            </w:r>
          </w:p>
          <w:p w14:paraId="4323F7F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6、供应商配送的试剂耗材进入医院后，应接受国家、省、市有关行业主管部门的抽查或检验。在抽查或检验过程中由于中标供应商产品的证照、标识、质量等问题而导致的罚没款项均由中标供应商承担相应的法律责任。</w:t>
            </w:r>
          </w:p>
          <w:p w14:paraId="55EC485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7、服务期限内</w:t>
            </w:r>
            <w:r>
              <w:rPr>
                <w:rFonts w:hint="eastAsia" w:ascii="宋体" w:hAnsi="宋体" w:eastAsia="宋体" w:cs="宋体"/>
                <w:sz w:val="15"/>
                <w:szCs w:val="16"/>
                <w:lang w:val="zh-CN" w:eastAsia="zh-CN"/>
              </w:rPr>
              <w:t>如遇国家、自治区出台新的政策文件，涉及本品种采购和使用要求则按国家、自治区政策文件要求执行包括但不限于停止采购、限价、限量，成交供应商自行承担采购政策变化带来的风险。</w:t>
            </w:r>
            <w:r>
              <w:rPr>
                <w:rFonts w:hint="eastAsia" w:ascii="宋体" w:hAnsi="宋体" w:eastAsia="宋体" w:cs="宋体"/>
                <w:sz w:val="15"/>
                <w:szCs w:val="16"/>
                <w:lang w:val="en-US" w:eastAsia="zh-CN"/>
              </w:rPr>
              <w:t>如本合同不符合新政策规定导致不能继续履行的，采购人有权终止合同。</w:t>
            </w:r>
          </w:p>
          <w:p w14:paraId="649F55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8、医疗器械注册证：以上配送清单供应商配送的产品如属医疗器械管理范畴的，配送产品属第二、三类医疗器械产品的，投标文件中须按《医疗器械注册与备案管理办法》 (国家市场监督管理总局令第 47 号)提供该设备有效的医疗器械注册证复印件加盖投标单位公章，否则投标无效。</w:t>
            </w:r>
          </w:p>
          <w:p w14:paraId="4F9520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9、服务期内，产品因厂家停产等情况导致无法正常供货的，供应商应提交书面说明，经采购人同意，双方就替代产品另行协商并签订补充协议。</w:t>
            </w:r>
          </w:p>
          <w:p w14:paraId="2710BD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10、供应商必须向采购人提供合同约定产品，因供应商供应的产品证照、质量、售后服务等瑕疵而引发的医疗事故或纠纷给采购人造成的全部经济损失（包括但不限于诊疗费用、手术费用、材料费用、赔偿病人或其亲属的因人身损害赔偿的全部费用）均由供应商全部承担；采购人有权要求供应商退换已用产品，并追究供应商追究违约责任，同时采购人有权终止合同。</w:t>
            </w:r>
          </w:p>
          <w:p w14:paraId="483A97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11、中标供应商在配送产品时必须提供所配送产品生产厂家合法授权的厂家代理商出具的授权书，原件备查。</w:t>
            </w:r>
          </w:p>
          <w:p w14:paraId="0ADA836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12、技术支持资料：不限于对外公开的产品彩页或说明书或检测报告或用户手册证明材料等（体现技术参数，可以是从生产厂家网页下载的 PDF 或 HTM 文件或在食品药品监督管理部门备案的技术参数或检测报告或生产厂家盖章的技术参数证明材料），以供评标时核对。当投标文件提供的参数与该货物生产商提供的性能参数不符合时，以后者为准。</w:t>
            </w:r>
          </w:p>
          <w:p w14:paraId="7BEEA9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r>
              <w:rPr>
                <w:rFonts w:hint="eastAsia" w:ascii="宋体" w:hAnsi="宋体" w:eastAsia="宋体" w:cs="宋体"/>
                <w:sz w:val="15"/>
                <w:szCs w:val="16"/>
                <w:lang w:val="en-US" w:eastAsia="zh-CN"/>
              </w:rPr>
              <w:t>13、投标人如有请提供与本项目需求相关的项目实施方案、管理制度方案、配送车辆、售后服务方案、信誉业绩等资料。</w:t>
            </w:r>
          </w:p>
        </w:tc>
      </w:tr>
    </w:tbl>
    <w:p w14:paraId="0D8DDB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15"/>
          <w:szCs w:val="1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2"/>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GU0OGM2ODc0ZmI3NmU0ZWIzZGExZjJiYTNkNzY3OWUifQ=="/>
  </w:docVars>
  <w:rsids>
    <w:rsidRoot w:val="00EB6014"/>
    <w:rsid w:val="000A6D08"/>
    <w:rsid w:val="0018236A"/>
    <w:rsid w:val="001B6FE1"/>
    <w:rsid w:val="00234002"/>
    <w:rsid w:val="002E4B45"/>
    <w:rsid w:val="003478A4"/>
    <w:rsid w:val="005A45E9"/>
    <w:rsid w:val="00655A1D"/>
    <w:rsid w:val="00661F61"/>
    <w:rsid w:val="0073736D"/>
    <w:rsid w:val="00863FED"/>
    <w:rsid w:val="008C4059"/>
    <w:rsid w:val="008F60D1"/>
    <w:rsid w:val="0097588C"/>
    <w:rsid w:val="00C26878"/>
    <w:rsid w:val="00E822A2"/>
    <w:rsid w:val="00EB6014"/>
    <w:rsid w:val="00F55E00"/>
    <w:rsid w:val="00FA4B8E"/>
    <w:rsid w:val="00FB0FCF"/>
    <w:rsid w:val="00FF62C1"/>
    <w:rsid w:val="080E1F64"/>
    <w:rsid w:val="12C06AEE"/>
    <w:rsid w:val="364C10ED"/>
    <w:rsid w:val="45160609"/>
    <w:rsid w:val="500B63DD"/>
    <w:rsid w:val="5EA00D1F"/>
    <w:rsid w:val="664B2406"/>
    <w:rsid w:val="74FA55F5"/>
    <w:rsid w:val="7C591B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link w:val="7"/>
    <w:qFormat/>
    <w:uiPriority w:val="0"/>
    <w:pPr>
      <w:keepNext/>
      <w:keepLines/>
      <w:numPr>
        <w:ilvl w:val="3"/>
        <w:numId w:val="1"/>
      </w:numPr>
      <w:spacing w:line="376" w:lineRule="auto"/>
      <w:outlineLvl w:val="3"/>
    </w:pPr>
    <w:rPr>
      <w:rFonts w:hAnsi="Arial" w:eastAsia="黑体"/>
      <w:b/>
      <w:sz w:val="24"/>
      <w:szCs w:val="20"/>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autoRedefine/>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tabs>
        <w:tab w:val="center" w:pos="4153"/>
        <w:tab w:val="right" w:pos="8306"/>
      </w:tabs>
      <w:snapToGrid w:val="0"/>
      <w:jc w:val="center"/>
    </w:pPr>
    <w:rPr>
      <w:sz w:val="18"/>
      <w:szCs w:val="18"/>
    </w:rPr>
  </w:style>
  <w:style w:type="character" w:customStyle="1" w:styleId="7">
    <w:name w:val="标题 4 字符"/>
    <w:basedOn w:val="6"/>
    <w:link w:val="2"/>
    <w:autoRedefine/>
    <w:qFormat/>
    <w:uiPriority w:val="0"/>
    <w:rPr>
      <w:rFonts w:ascii="Times New Roman" w:hAnsi="Arial" w:eastAsia="黑体" w:cs="Times New Roman"/>
      <w:b/>
      <w:sz w:val="24"/>
      <w:szCs w:val="20"/>
    </w:rPr>
  </w:style>
  <w:style w:type="character" w:customStyle="1" w:styleId="8">
    <w:name w:val="页眉 字符"/>
    <w:basedOn w:val="6"/>
    <w:link w:val="4"/>
    <w:qFormat/>
    <w:uiPriority w:val="99"/>
    <w:rPr>
      <w:rFonts w:ascii="Times New Roman" w:hAnsi="Times New Roman" w:eastAsia="宋体" w:cs="Times New Roman"/>
      <w:sz w:val="18"/>
      <w:szCs w:val="18"/>
    </w:rPr>
  </w:style>
  <w:style w:type="character" w:customStyle="1" w:styleId="9">
    <w:name w:val="页脚 字符"/>
    <w:basedOn w:val="6"/>
    <w:link w:val="3"/>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5768</Words>
  <Characters>6182</Characters>
  <Lines>47</Lines>
  <Paragraphs>13</Paragraphs>
  <TotalTime>9</TotalTime>
  <ScaleCrop>false</ScaleCrop>
  <LinksUpToDate>false</LinksUpToDate>
  <CharactersWithSpaces>6226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2024-11-11T01:36:00Z</dcterms:created>
  <dc:creator>LENOVO</dc:creator>
  <cp:lastModifiedBy>静待花开</cp:lastModifiedBy>
  <dcterms:modified xsi:type="dcterms:W3CDTF">2026-08-19T09:27:55Z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3ADAE2AA467B4B1D976DB7B817087F94_12</vt:lpwstr>
  </property>
  <property fmtid="{D5CDD505-2E9C-101B-9397-08002B2CF9AE}" pid="4" name="KSOTemplateDocerSaveRecord">
    <vt:lpwstr>eyJoZGlkIjoiYWRjNmFiYmNmYzU1NmUzZjk2YzNlY2FmMGU4MWM3NWIiLCJ1c2VySWQiOiI0ODQ2NzE1ODUifQ==</vt:lpwstr>
  </property>
</Properties>
</file>