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601FEE">
      <w:pPr>
        <w:rPr>
          <w:b/>
          <w:color w:val="000000" w:themeColor="text1"/>
          <w:sz w:val="30"/>
          <w:szCs w:val="30"/>
          <w14:textFill>
            <w14:solidFill>
              <w14:schemeClr w14:val="tx1"/>
            </w14:solidFill>
          </w14:textFill>
        </w:rPr>
      </w:pPr>
      <w:bookmarkStart w:id="1" w:name="_GoBack"/>
      <w:bookmarkEnd w:id="1"/>
    </w:p>
    <w:p w14:paraId="0746709D">
      <w:pPr>
        <w:spacing w:line="440" w:lineRule="exact"/>
        <w:ind w:firstLine="723" w:firstLineChars="200"/>
        <w:jc w:val="center"/>
        <w:rPr>
          <w:rFonts w:ascii="宋体" w:hAnsi="宋体" w:cs="宋体"/>
          <w:b/>
          <w:color w:val="000000" w:themeColor="text1"/>
          <w:sz w:val="36"/>
          <w:szCs w:val="36"/>
          <w14:textFill>
            <w14:solidFill>
              <w14:schemeClr w14:val="tx1"/>
            </w14:solidFill>
          </w14:textFill>
        </w:rPr>
      </w:pPr>
      <w:r>
        <w:rPr>
          <w:rFonts w:hint="eastAsia" w:ascii="宋体" w:hAnsi="宋体" w:cs="宋体"/>
          <w:b/>
          <w:color w:val="000000" w:themeColor="text1"/>
          <w:sz w:val="36"/>
          <w:szCs w:val="36"/>
          <w14:textFill>
            <w14:solidFill>
              <w14:schemeClr w14:val="tx1"/>
            </w14:solidFill>
          </w14:textFill>
        </w:rPr>
        <w:t>项目需求书</w:t>
      </w:r>
    </w:p>
    <w:p w14:paraId="7B90A126">
      <w:pPr>
        <w:ind w:firstLine="562" w:firstLineChars="200"/>
        <w:rPr>
          <w:rFonts w:ascii="仿宋" w:hAnsi="仿宋" w:eastAsia="仿宋"/>
          <w:b/>
          <w:bCs/>
          <w:sz w:val="28"/>
          <w:szCs w:val="28"/>
        </w:rPr>
      </w:pPr>
      <w:r>
        <w:rPr>
          <w:rFonts w:hint="eastAsia" w:ascii="仿宋" w:hAnsi="仿宋" w:eastAsia="仿宋"/>
          <w:b/>
          <w:bCs/>
          <w:sz w:val="28"/>
          <w:szCs w:val="28"/>
        </w:rPr>
        <w:t>一、资格条件</w:t>
      </w:r>
    </w:p>
    <w:p w14:paraId="09A2C48E">
      <w:pPr>
        <w:spacing w:line="400" w:lineRule="exact"/>
        <w:ind w:firstLine="560" w:firstLineChars="200"/>
        <w:rPr>
          <w:rFonts w:hint="eastAsia" w:ascii="仿宋" w:hAnsi="仿宋" w:eastAsia="仿宋"/>
          <w:sz w:val="28"/>
          <w:szCs w:val="28"/>
        </w:rPr>
      </w:pPr>
      <w:r>
        <w:rPr>
          <w:rFonts w:hint="eastAsia" w:ascii="仿宋" w:hAnsi="仿宋" w:eastAsia="仿宋"/>
          <w:sz w:val="28"/>
          <w:szCs w:val="28"/>
        </w:rPr>
        <w:t>1、满足《中华人民共和国政府采购法》第二十二条规定。</w:t>
      </w:r>
    </w:p>
    <w:p w14:paraId="3D6203DC">
      <w:pPr>
        <w:ind w:firstLine="560" w:firstLineChars="200"/>
        <w:rPr>
          <w:rFonts w:ascii="仿宋" w:hAnsi="仿宋" w:eastAsia="仿宋"/>
          <w:sz w:val="28"/>
          <w:szCs w:val="28"/>
        </w:rPr>
      </w:pPr>
      <w:r>
        <w:rPr>
          <w:rFonts w:hint="eastAsia" w:ascii="仿宋" w:hAnsi="仿宋" w:eastAsia="仿宋"/>
          <w:sz w:val="28"/>
          <w:szCs w:val="28"/>
          <w:lang w:val="en-US" w:eastAsia="zh-CN"/>
        </w:rPr>
        <w:t>2</w:t>
      </w:r>
      <w:r>
        <w:rPr>
          <w:rFonts w:hint="eastAsia" w:ascii="仿宋" w:hAnsi="仿宋" w:eastAsia="仿宋"/>
          <w:sz w:val="28"/>
          <w:szCs w:val="28"/>
        </w:rPr>
        <w:t>、本项目不接受联合体。</w:t>
      </w:r>
    </w:p>
    <w:p w14:paraId="7A49F673">
      <w:pPr>
        <w:ind w:firstLine="562" w:firstLineChars="200"/>
        <w:rPr>
          <w:rFonts w:ascii="仿宋" w:hAnsi="仿宋" w:eastAsia="仿宋"/>
          <w:b/>
          <w:bCs/>
          <w:sz w:val="28"/>
          <w:szCs w:val="28"/>
        </w:rPr>
      </w:pPr>
      <w:r>
        <w:rPr>
          <w:rFonts w:hint="eastAsia" w:ascii="仿宋" w:hAnsi="仿宋" w:eastAsia="仿宋"/>
          <w:b/>
          <w:bCs/>
          <w:sz w:val="28"/>
          <w:szCs w:val="28"/>
        </w:rPr>
        <w:t>二、项目预算</w:t>
      </w:r>
    </w:p>
    <w:p w14:paraId="02AE4147">
      <w:pPr>
        <w:ind w:firstLine="560" w:firstLineChars="200"/>
        <w:rPr>
          <w:rFonts w:ascii="仿宋" w:hAnsi="仿宋" w:eastAsia="仿宋"/>
          <w:sz w:val="28"/>
          <w:szCs w:val="28"/>
        </w:rPr>
      </w:pPr>
      <w:r>
        <w:rPr>
          <w:rFonts w:hint="eastAsia" w:ascii="仿宋" w:hAnsi="仿宋" w:eastAsia="仿宋"/>
          <w:sz w:val="28"/>
          <w:szCs w:val="28"/>
        </w:rPr>
        <w:t>项目预算金额</w:t>
      </w:r>
      <w:r>
        <w:rPr>
          <w:rFonts w:hint="eastAsia" w:ascii="仿宋" w:hAnsi="仿宋" w:eastAsia="仿宋"/>
          <w:sz w:val="28"/>
          <w:szCs w:val="28"/>
          <w:lang w:val="en-US" w:eastAsia="zh-CN"/>
        </w:rPr>
        <w:t>4.5</w:t>
      </w:r>
      <w:r>
        <w:rPr>
          <w:rFonts w:hint="eastAsia" w:ascii="仿宋" w:hAnsi="仿宋" w:eastAsia="仿宋"/>
          <w:sz w:val="28"/>
          <w:szCs w:val="28"/>
        </w:rPr>
        <w:t>万元，</w:t>
      </w:r>
      <w:r>
        <w:rPr>
          <w:rFonts w:hint="eastAsia" w:ascii="仿宋" w:hAnsi="仿宋" w:eastAsia="仿宋"/>
          <w:sz w:val="28"/>
          <w:szCs w:val="28"/>
          <w:lang w:val="en-US" w:eastAsia="zh-CN"/>
        </w:rPr>
        <w:t>服务期1</w:t>
      </w:r>
      <w:r>
        <w:rPr>
          <w:rFonts w:hint="eastAsia" w:ascii="仿宋" w:hAnsi="仿宋" w:eastAsia="仿宋"/>
          <w:sz w:val="28"/>
          <w:szCs w:val="28"/>
        </w:rPr>
        <w:t>年。</w:t>
      </w:r>
    </w:p>
    <w:p w14:paraId="1EAF644F">
      <w:pPr>
        <w:ind w:firstLine="562" w:firstLineChars="200"/>
        <w:rPr>
          <w:rFonts w:hint="default" w:ascii="仿宋" w:hAnsi="仿宋" w:eastAsia="仿宋"/>
          <w:b/>
          <w:bCs/>
          <w:sz w:val="28"/>
          <w:szCs w:val="28"/>
          <w:lang w:val="en-US" w:eastAsia="zh-CN"/>
        </w:rPr>
      </w:pPr>
      <w:r>
        <w:rPr>
          <w:rFonts w:hint="eastAsia" w:ascii="仿宋" w:hAnsi="仿宋" w:eastAsia="仿宋"/>
          <w:b/>
          <w:bCs/>
          <w:sz w:val="28"/>
          <w:szCs w:val="28"/>
        </w:rPr>
        <w:t>三、</w:t>
      </w:r>
      <w:r>
        <w:rPr>
          <w:rFonts w:hint="eastAsia" w:ascii="仿宋" w:hAnsi="仿宋" w:eastAsia="仿宋"/>
          <w:b/>
          <w:bCs/>
          <w:sz w:val="28"/>
          <w:szCs w:val="28"/>
          <w:lang w:val="en-US" w:eastAsia="zh-CN"/>
        </w:rPr>
        <w:t>项目概况</w:t>
      </w:r>
    </w:p>
    <w:p w14:paraId="3A75A398">
      <w:pPr>
        <w:ind w:firstLine="560" w:firstLineChars="200"/>
        <w:rPr>
          <w:rFonts w:hint="eastAsia" w:ascii="仿宋" w:hAnsi="仿宋" w:eastAsia="仿宋"/>
          <w:sz w:val="28"/>
          <w:szCs w:val="28"/>
        </w:rPr>
      </w:pPr>
      <w:r>
        <w:rPr>
          <w:rFonts w:hint="eastAsia" w:ascii="仿宋" w:hAnsi="仿宋" w:eastAsia="仿宋"/>
          <w:sz w:val="28"/>
          <w:szCs w:val="28"/>
        </w:rPr>
        <w:t>拟遴选</w:t>
      </w:r>
      <w:r>
        <w:rPr>
          <w:rFonts w:hint="eastAsia" w:ascii="仿宋" w:hAnsi="仿宋" w:eastAsia="仿宋"/>
          <w:sz w:val="28"/>
          <w:szCs w:val="28"/>
          <w:lang w:val="en-US" w:eastAsia="zh-CN"/>
        </w:rPr>
        <w:t>1</w:t>
      </w:r>
      <w:r>
        <w:rPr>
          <w:rFonts w:hint="eastAsia" w:ascii="仿宋" w:hAnsi="仿宋" w:eastAsia="仿宋"/>
          <w:sz w:val="28"/>
          <w:szCs w:val="28"/>
        </w:rPr>
        <w:t>家供应商，供应商须具</w:t>
      </w:r>
      <w:r>
        <w:rPr>
          <w:rFonts w:hint="eastAsia" w:ascii="仿宋" w:hAnsi="仿宋" w:eastAsia="仿宋"/>
          <w:sz w:val="28"/>
          <w:szCs w:val="28"/>
          <w:lang w:val="en-US" w:eastAsia="zh-CN"/>
        </w:rPr>
        <w:t>有</w:t>
      </w:r>
      <w:r>
        <w:rPr>
          <w:rFonts w:hint="eastAsia" w:ascii="仿宋" w:hAnsi="仿宋" w:eastAsia="仿宋"/>
          <w:sz w:val="28"/>
          <w:szCs w:val="28"/>
        </w:rPr>
        <w:t>较强的技术队伍，提供快速的售后服务响应，供应商所提供的货物必须确保质量，在保质期内出现质量问题，供应商应无理由及时免费更换。</w:t>
      </w:r>
    </w:p>
    <w:p w14:paraId="705F724C">
      <w:pPr>
        <w:ind w:firstLine="562" w:firstLineChars="200"/>
        <w:rPr>
          <w:rFonts w:hint="default" w:ascii="仿宋" w:hAnsi="仿宋" w:eastAsia="仿宋"/>
          <w:b/>
          <w:bCs/>
          <w:sz w:val="28"/>
          <w:szCs w:val="28"/>
          <w:lang w:val="en-US" w:eastAsia="zh-CN"/>
        </w:rPr>
      </w:pPr>
      <w:r>
        <w:rPr>
          <w:rFonts w:hint="eastAsia" w:ascii="仿宋" w:hAnsi="仿宋" w:eastAsia="仿宋"/>
          <w:b/>
          <w:bCs/>
          <w:sz w:val="28"/>
          <w:szCs w:val="28"/>
          <w:lang w:val="en-US" w:eastAsia="zh-CN"/>
        </w:rPr>
        <w:t>四、服务要求</w:t>
      </w:r>
    </w:p>
    <w:p w14:paraId="4FE31B2A">
      <w:pPr>
        <w:ind w:firstLine="560" w:firstLineChars="200"/>
        <w:rPr>
          <w:rFonts w:hint="eastAsia" w:ascii="仿宋" w:hAnsi="仿宋" w:eastAsia="仿宋"/>
          <w:sz w:val="28"/>
          <w:szCs w:val="28"/>
        </w:rPr>
      </w:pPr>
      <w:r>
        <w:rPr>
          <w:rFonts w:hint="eastAsia" w:ascii="仿宋" w:hAnsi="仿宋" w:eastAsia="仿宋"/>
          <w:sz w:val="28"/>
          <w:szCs w:val="28"/>
        </w:rPr>
        <w:t>1、所有货品均免费送货至</w:t>
      </w:r>
      <w:r>
        <w:rPr>
          <w:rFonts w:hint="eastAsia" w:ascii="仿宋" w:hAnsi="仿宋" w:eastAsia="仿宋"/>
          <w:sz w:val="28"/>
          <w:szCs w:val="28"/>
          <w:lang w:eastAsia="zh-CN"/>
        </w:rPr>
        <w:t>采购人</w:t>
      </w:r>
      <w:r>
        <w:rPr>
          <w:rFonts w:hint="eastAsia" w:ascii="仿宋" w:hAnsi="仿宋" w:eastAsia="仿宋"/>
          <w:sz w:val="28"/>
          <w:szCs w:val="28"/>
        </w:rPr>
        <w:t>指定的送货地点并负责卸货，发物流或快递的需</w:t>
      </w:r>
      <w:r>
        <w:rPr>
          <w:rFonts w:hint="eastAsia" w:ascii="仿宋" w:hAnsi="仿宋" w:eastAsia="仿宋"/>
          <w:sz w:val="28"/>
          <w:szCs w:val="28"/>
          <w:lang w:eastAsia="zh-CN"/>
        </w:rPr>
        <w:t>成交供应商</w:t>
      </w:r>
      <w:r>
        <w:rPr>
          <w:rFonts w:hint="eastAsia" w:ascii="仿宋" w:hAnsi="仿宋" w:eastAsia="仿宋"/>
          <w:sz w:val="28"/>
          <w:szCs w:val="28"/>
        </w:rPr>
        <w:t>来接货，送货到指定地点并负责卸货，周末、节假日如</w:t>
      </w:r>
      <w:r>
        <w:rPr>
          <w:rFonts w:hint="eastAsia" w:ascii="仿宋" w:hAnsi="仿宋" w:eastAsia="仿宋"/>
          <w:sz w:val="28"/>
          <w:szCs w:val="28"/>
          <w:lang w:eastAsia="zh-CN"/>
        </w:rPr>
        <w:t>采购人</w:t>
      </w:r>
      <w:r>
        <w:rPr>
          <w:rFonts w:hint="eastAsia" w:ascii="仿宋" w:hAnsi="仿宋" w:eastAsia="仿宋"/>
          <w:sz w:val="28"/>
          <w:szCs w:val="28"/>
        </w:rPr>
        <w:t>有送货需求，</w:t>
      </w:r>
      <w:r>
        <w:rPr>
          <w:rFonts w:hint="eastAsia" w:ascii="仿宋" w:hAnsi="仿宋" w:eastAsia="仿宋"/>
          <w:sz w:val="28"/>
          <w:szCs w:val="28"/>
          <w:lang w:eastAsia="zh-CN"/>
        </w:rPr>
        <w:t>成交供应商</w:t>
      </w:r>
      <w:r>
        <w:rPr>
          <w:rFonts w:hint="eastAsia" w:ascii="仿宋" w:hAnsi="仿宋" w:eastAsia="仿宋"/>
          <w:sz w:val="28"/>
          <w:szCs w:val="28"/>
        </w:rPr>
        <w:t>无条件响应。</w:t>
      </w:r>
    </w:p>
    <w:p w14:paraId="3D9C6503">
      <w:pPr>
        <w:ind w:firstLine="560" w:firstLineChars="200"/>
        <w:rPr>
          <w:rFonts w:hint="eastAsia" w:ascii="仿宋" w:hAnsi="仿宋" w:eastAsia="仿宋"/>
          <w:sz w:val="28"/>
          <w:szCs w:val="28"/>
        </w:rPr>
      </w:pPr>
      <w:r>
        <w:rPr>
          <w:rFonts w:hint="eastAsia" w:ascii="仿宋" w:hAnsi="仿宋" w:eastAsia="仿宋"/>
          <w:sz w:val="28"/>
          <w:szCs w:val="28"/>
        </w:rPr>
        <w:t>2、</w:t>
      </w:r>
      <w:r>
        <w:rPr>
          <w:rFonts w:hint="eastAsia" w:ascii="仿宋" w:hAnsi="仿宋" w:eastAsia="仿宋"/>
          <w:sz w:val="28"/>
          <w:szCs w:val="28"/>
          <w:lang w:eastAsia="zh-CN"/>
        </w:rPr>
        <w:t>采购人</w:t>
      </w:r>
      <w:r>
        <w:rPr>
          <w:rFonts w:hint="eastAsia" w:ascii="仿宋" w:hAnsi="仿宋" w:eastAsia="仿宋"/>
          <w:sz w:val="28"/>
          <w:szCs w:val="28"/>
        </w:rPr>
        <w:t>通过电话、微信、邮箱等方式下达采购计划，</w:t>
      </w:r>
      <w:r>
        <w:rPr>
          <w:rFonts w:hint="eastAsia" w:ascii="仿宋" w:hAnsi="仿宋" w:eastAsia="仿宋"/>
          <w:sz w:val="28"/>
          <w:szCs w:val="28"/>
          <w:lang w:eastAsia="zh-CN"/>
        </w:rPr>
        <w:t>成交供应商</w:t>
      </w:r>
      <w:r>
        <w:rPr>
          <w:rFonts w:hint="eastAsia" w:ascii="仿宋" w:hAnsi="仿宋" w:eastAsia="仿宋"/>
          <w:sz w:val="28"/>
          <w:szCs w:val="28"/>
        </w:rPr>
        <w:t>接到每批次采购计划通知之日起，</w:t>
      </w:r>
      <w:r>
        <w:rPr>
          <w:rFonts w:hint="eastAsia" w:ascii="仿宋" w:hAnsi="仿宋" w:eastAsia="仿宋"/>
          <w:sz w:val="28"/>
          <w:szCs w:val="28"/>
          <w:lang w:val="en-US" w:eastAsia="zh-CN"/>
        </w:rPr>
        <w:t>3</w:t>
      </w:r>
      <w:r>
        <w:rPr>
          <w:rFonts w:hint="eastAsia" w:ascii="仿宋" w:hAnsi="仿宋" w:eastAsia="仿宋"/>
          <w:sz w:val="28"/>
          <w:szCs w:val="28"/>
        </w:rPr>
        <w:t>个工作日内供货。</w:t>
      </w:r>
    </w:p>
    <w:p w14:paraId="5D78894E">
      <w:pPr>
        <w:ind w:firstLine="560" w:firstLineChars="200"/>
        <w:rPr>
          <w:rFonts w:hint="eastAsia" w:ascii="仿宋" w:hAnsi="仿宋" w:eastAsia="仿宋"/>
          <w:sz w:val="28"/>
          <w:szCs w:val="28"/>
        </w:rPr>
      </w:pPr>
      <w:r>
        <w:rPr>
          <w:rFonts w:hint="eastAsia" w:ascii="仿宋" w:hAnsi="仿宋" w:eastAsia="仿宋"/>
          <w:sz w:val="28"/>
          <w:szCs w:val="28"/>
        </w:rPr>
        <w:t>3、故障响应时间：</w:t>
      </w:r>
      <w:r>
        <w:rPr>
          <w:rFonts w:hint="eastAsia" w:ascii="仿宋" w:hAnsi="仿宋" w:eastAsia="仿宋"/>
          <w:sz w:val="28"/>
          <w:szCs w:val="28"/>
          <w:lang w:eastAsia="zh-CN"/>
        </w:rPr>
        <w:t>成交供应商</w:t>
      </w:r>
      <w:r>
        <w:rPr>
          <w:rFonts w:hint="eastAsia" w:ascii="仿宋" w:hAnsi="仿宋" w:eastAsia="仿宋"/>
          <w:sz w:val="28"/>
          <w:szCs w:val="28"/>
        </w:rPr>
        <w:t>接到故障通知后24小时内给予解决，以保证</w:t>
      </w:r>
      <w:r>
        <w:rPr>
          <w:rFonts w:hint="eastAsia" w:ascii="仿宋" w:hAnsi="仿宋" w:eastAsia="仿宋"/>
          <w:sz w:val="28"/>
          <w:szCs w:val="28"/>
          <w:lang w:eastAsia="zh-CN"/>
        </w:rPr>
        <w:t>采购人</w:t>
      </w:r>
      <w:r>
        <w:rPr>
          <w:rFonts w:hint="eastAsia" w:ascii="仿宋" w:hAnsi="仿宋" w:eastAsia="仿宋"/>
          <w:sz w:val="28"/>
          <w:szCs w:val="28"/>
        </w:rPr>
        <w:t>的正常工作。</w:t>
      </w:r>
    </w:p>
    <w:p w14:paraId="38EFF19A">
      <w:pPr>
        <w:ind w:firstLine="560" w:firstLineChars="200"/>
        <w:rPr>
          <w:rFonts w:hint="eastAsia" w:ascii="仿宋" w:hAnsi="仿宋" w:eastAsia="仿宋"/>
          <w:sz w:val="28"/>
          <w:szCs w:val="28"/>
        </w:rPr>
      </w:pPr>
      <w:r>
        <w:rPr>
          <w:rFonts w:hint="eastAsia" w:ascii="仿宋" w:hAnsi="仿宋" w:eastAsia="仿宋"/>
          <w:sz w:val="28"/>
          <w:szCs w:val="28"/>
        </w:rPr>
        <w:t>4、</w:t>
      </w:r>
      <w:r>
        <w:rPr>
          <w:rFonts w:hint="eastAsia" w:ascii="仿宋" w:hAnsi="仿宋" w:eastAsia="仿宋"/>
          <w:sz w:val="28"/>
          <w:szCs w:val="28"/>
          <w:lang w:eastAsia="zh-CN"/>
        </w:rPr>
        <w:t>成交供应商</w:t>
      </w:r>
      <w:r>
        <w:rPr>
          <w:rFonts w:hint="eastAsia" w:ascii="仿宋" w:hAnsi="仿宋" w:eastAsia="仿宋"/>
          <w:sz w:val="28"/>
          <w:szCs w:val="28"/>
        </w:rPr>
        <w:t>须安排固定的业务员专责</w:t>
      </w:r>
      <w:r>
        <w:rPr>
          <w:rFonts w:hint="eastAsia" w:ascii="仿宋" w:hAnsi="仿宋" w:eastAsia="仿宋"/>
          <w:sz w:val="28"/>
          <w:szCs w:val="28"/>
          <w:lang w:eastAsia="zh-CN"/>
        </w:rPr>
        <w:t>采购人</w:t>
      </w:r>
      <w:r>
        <w:rPr>
          <w:rFonts w:hint="eastAsia" w:ascii="仿宋" w:hAnsi="仿宋" w:eastAsia="仿宋"/>
          <w:sz w:val="28"/>
          <w:szCs w:val="28"/>
        </w:rPr>
        <w:t>的业务及售后服务，若更换相关人员，须经提前知会</w:t>
      </w:r>
      <w:r>
        <w:rPr>
          <w:rFonts w:hint="eastAsia" w:ascii="仿宋" w:hAnsi="仿宋" w:eastAsia="仿宋"/>
          <w:sz w:val="28"/>
          <w:szCs w:val="28"/>
          <w:lang w:eastAsia="zh-CN"/>
        </w:rPr>
        <w:t>采购人</w:t>
      </w:r>
      <w:r>
        <w:rPr>
          <w:rFonts w:hint="eastAsia" w:ascii="仿宋" w:hAnsi="仿宋" w:eastAsia="仿宋"/>
          <w:sz w:val="28"/>
          <w:szCs w:val="28"/>
        </w:rPr>
        <w:t>同意。</w:t>
      </w:r>
    </w:p>
    <w:p w14:paraId="522E4939">
      <w:pPr>
        <w:ind w:firstLine="560" w:firstLineChars="200"/>
        <w:rPr>
          <w:rFonts w:hint="eastAsia" w:ascii="仿宋" w:hAnsi="仿宋" w:eastAsia="仿宋"/>
          <w:sz w:val="28"/>
          <w:szCs w:val="28"/>
          <w:lang w:eastAsia="zh-CN"/>
        </w:rPr>
      </w:pPr>
      <w:r>
        <w:rPr>
          <w:rFonts w:hint="eastAsia" w:ascii="仿宋" w:hAnsi="仿宋" w:eastAsia="仿宋"/>
          <w:sz w:val="28"/>
          <w:szCs w:val="28"/>
        </w:rPr>
        <w:t>5、</w:t>
      </w:r>
      <w:r>
        <w:rPr>
          <w:rFonts w:hint="eastAsia" w:ascii="仿宋" w:hAnsi="仿宋" w:eastAsia="仿宋"/>
          <w:sz w:val="28"/>
          <w:szCs w:val="28"/>
          <w:lang w:val="en-US" w:eastAsia="zh-CN"/>
        </w:rPr>
        <w:t>附件1</w:t>
      </w:r>
      <w:r>
        <w:rPr>
          <w:rFonts w:hint="eastAsia" w:ascii="仿宋" w:hAnsi="仿宋" w:eastAsia="仿宋"/>
          <w:sz w:val="28"/>
          <w:szCs w:val="28"/>
        </w:rPr>
        <w:t>《</w:t>
      </w:r>
      <w:r>
        <w:rPr>
          <w:rFonts w:hint="eastAsia" w:ascii="仿宋" w:hAnsi="仿宋" w:eastAsia="仿宋"/>
          <w:sz w:val="28"/>
          <w:szCs w:val="28"/>
          <w:lang w:val="en-US" w:eastAsia="zh-CN"/>
        </w:rPr>
        <w:t>办公用品清单</w:t>
      </w:r>
      <w:r>
        <w:rPr>
          <w:rFonts w:hint="eastAsia" w:ascii="仿宋" w:hAnsi="仿宋" w:eastAsia="仿宋"/>
          <w:sz w:val="28"/>
          <w:szCs w:val="28"/>
        </w:rPr>
        <w:t>》表中所列的品牌、型号仅起参考作用，竞标人可选用其他品牌、型号替代，但替代的品牌、型号在实质性要求和条件上要相当于或优于参考品牌、型号。</w:t>
      </w:r>
      <w:r>
        <w:rPr>
          <w:rFonts w:hint="eastAsia" w:ascii="仿宋" w:hAnsi="仿宋" w:eastAsia="仿宋"/>
          <w:sz w:val="28"/>
          <w:szCs w:val="28"/>
          <w:lang w:eastAsia="zh-CN"/>
        </w:rPr>
        <w:t>在同等条件下，优先采购参考品牌。</w:t>
      </w:r>
    </w:p>
    <w:p w14:paraId="0BC9DAA1">
      <w:pPr>
        <w:ind w:firstLine="560" w:firstLineChars="200"/>
        <w:rPr>
          <w:rFonts w:hint="eastAsia" w:ascii="仿宋" w:hAnsi="仿宋" w:eastAsia="仿宋"/>
          <w:sz w:val="28"/>
          <w:szCs w:val="28"/>
        </w:rPr>
      </w:pPr>
      <w:r>
        <w:rPr>
          <w:rFonts w:hint="eastAsia" w:ascii="仿宋" w:hAnsi="仿宋" w:eastAsia="仿宋"/>
          <w:sz w:val="28"/>
          <w:szCs w:val="28"/>
          <w:lang w:val="en-US" w:eastAsia="zh-CN"/>
        </w:rPr>
        <w:t>6、</w:t>
      </w:r>
      <w:r>
        <w:rPr>
          <w:rFonts w:hint="eastAsia" w:ascii="仿宋" w:hAnsi="仿宋" w:eastAsia="仿宋"/>
          <w:sz w:val="28"/>
          <w:szCs w:val="28"/>
        </w:rPr>
        <w:t>合同期限内，</w:t>
      </w:r>
      <w:r>
        <w:rPr>
          <w:rFonts w:hint="eastAsia" w:ascii="仿宋" w:hAnsi="仿宋" w:eastAsia="仿宋"/>
          <w:sz w:val="28"/>
          <w:szCs w:val="28"/>
          <w:lang w:eastAsia="zh-CN"/>
        </w:rPr>
        <w:t>采购人</w:t>
      </w:r>
      <w:r>
        <w:rPr>
          <w:rFonts w:hint="eastAsia" w:ascii="仿宋" w:hAnsi="仿宋" w:eastAsia="仿宋"/>
          <w:sz w:val="28"/>
          <w:szCs w:val="28"/>
        </w:rPr>
        <w:t>保证货物的正常供应，确保供货持续性。</w:t>
      </w:r>
    </w:p>
    <w:p w14:paraId="279CC740">
      <w:pPr>
        <w:ind w:firstLine="560" w:firstLineChars="200"/>
        <w:rPr>
          <w:rFonts w:hint="eastAsia" w:ascii="仿宋" w:hAnsi="仿宋" w:eastAsia="仿宋"/>
          <w:sz w:val="28"/>
          <w:szCs w:val="28"/>
        </w:rPr>
      </w:pPr>
    </w:p>
    <w:p w14:paraId="35D2C6D7">
      <w:pPr>
        <w:numPr>
          <w:ilvl w:val="0"/>
          <w:numId w:val="0"/>
        </w:numPr>
        <w:rPr>
          <w:rFonts w:hint="eastAsia" w:ascii="仿宋" w:hAnsi="仿宋" w:eastAsia="仿宋"/>
          <w:b/>
          <w:bCs/>
          <w:sz w:val="28"/>
          <w:szCs w:val="28"/>
          <w:lang w:val="en-US" w:eastAsia="zh-CN"/>
        </w:rPr>
      </w:pPr>
      <w:r>
        <w:rPr>
          <w:rFonts w:hint="eastAsia" w:ascii="仿宋" w:hAnsi="仿宋" w:eastAsia="仿宋"/>
          <w:b/>
          <w:bCs/>
          <w:sz w:val="28"/>
          <w:szCs w:val="28"/>
          <w:lang w:val="en-US" w:eastAsia="zh-CN"/>
        </w:rPr>
        <w:t>五、商务要求</w:t>
      </w:r>
    </w:p>
    <w:tbl>
      <w:tblPr>
        <w:tblStyle w:val="11"/>
        <w:tblW w:w="9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1"/>
        <w:gridCol w:w="6947"/>
      </w:tblGrid>
      <w:tr w14:paraId="68339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31" w:type="dxa"/>
            <w:tcBorders>
              <w:top w:val="single" w:color="auto" w:sz="4" w:space="0"/>
              <w:left w:val="single" w:color="auto" w:sz="4" w:space="0"/>
              <w:bottom w:val="single" w:color="auto" w:sz="4" w:space="0"/>
              <w:right w:val="single" w:color="auto" w:sz="4" w:space="0"/>
            </w:tcBorders>
            <w:noWrap w:val="0"/>
            <w:vAlign w:val="center"/>
          </w:tcPr>
          <w:p w14:paraId="6634C8EA">
            <w:pPr>
              <w:jc w:val="left"/>
              <w:rPr>
                <w:rFonts w:hint="eastAsia" w:ascii="仿宋" w:hAnsi="仿宋" w:eastAsia="仿宋"/>
                <w:sz w:val="28"/>
                <w:szCs w:val="28"/>
                <w:lang w:val="en-US" w:eastAsia="zh-CN"/>
              </w:rPr>
            </w:pPr>
            <w:r>
              <w:rPr>
                <w:rFonts w:hint="eastAsia" w:ascii="仿宋" w:hAnsi="仿宋" w:eastAsia="仿宋"/>
                <w:sz w:val="28"/>
                <w:szCs w:val="28"/>
                <w:lang w:val="en-US" w:eastAsia="zh-CN"/>
              </w:rPr>
              <w:t>（一）质量要求</w:t>
            </w:r>
          </w:p>
          <w:p w14:paraId="1C8D7174">
            <w:pPr>
              <w:ind w:firstLine="560" w:firstLineChars="200"/>
              <w:jc w:val="left"/>
              <w:rPr>
                <w:rFonts w:hint="eastAsia" w:ascii="仿宋" w:hAnsi="仿宋" w:eastAsia="仿宋"/>
                <w:sz w:val="28"/>
                <w:szCs w:val="28"/>
                <w:lang w:val="en-US" w:eastAsia="zh-CN"/>
              </w:rPr>
            </w:pPr>
          </w:p>
        </w:tc>
        <w:tc>
          <w:tcPr>
            <w:tcW w:w="6947" w:type="dxa"/>
            <w:tcBorders>
              <w:top w:val="single" w:color="auto" w:sz="4" w:space="0"/>
              <w:left w:val="single" w:color="auto" w:sz="4" w:space="0"/>
              <w:bottom w:val="single" w:color="auto" w:sz="4" w:space="0"/>
              <w:right w:val="single" w:color="auto" w:sz="4" w:space="0"/>
            </w:tcBorders>
            <w:noWrap w:val="0"/>
            <w:vAlign w:val="center"/>
          </w:tcPr>
          <w:p w14:paraId="491A6993">
            <w:pPr>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货品质量符合国家现行有关技术规范和质量检验标准、行业标准以及本项目技术参数规定的标准</w:t>
            </w:r>
          </w:p>
        </w:tc>
      </w:tr>
      <w:tr w14:paraId="5E8A6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31" w:type="dxa"/>
            <w:tcBorders>
              <w:top w:val="single" w:color="auto" w:sz="4" w:space="0"/>
              <w:left w:val="single" w:color="auto" w:sz="4" w:space="0"/>
              <w:bottom w:val="single" w:color="auto" w:sz="4" w:space="0"/>
              <w:right w:val="single" w:color="auto" w:sz="4" w:space="0"/>
            </w:tcBorders>
            <w:noWrap w:val="0"/>
            <w:vAlign w:val="center"/>
          </w:tcPr>
          <w:p w14:paraId="0FF94F99">
            <w:pPr>
              <w:jc w:val="left"/>
              <w:rPr>
                <w:rFonts w:hint="eastAsia" w:ascii="仿宋" w:hAnsi="仿宋" w:eastAsia="仿宋"/>
                <w:sz w:val="28"/>
                <w:szCs w:val="28"/>
                <w:lang w:val="en-US" w:eastAsia="zh-CN"/>
              </w:rPr>
            </w:pPr>
            <w:r>
              <w:rPr>
                <w:rFonts w:hint="eastAsia" w:ascii="仿宋" w:hAnsi="仿宋" w:eastAsia="仿宋"/>
                <w:sz w:val="28"/>
                <w:szCs w:val="28"/>
                <w:lang w:val="en-US" w:eastAsia="zh-CN"/>
              </w:rPr>
              <w:t>（二）验收方式</w:t>
            </w:r>
          </w:p>
        </w:tc>
        <w:tc>
          <w:tcPr>
            <w:tcW w:w="6947" w:type="dxa"/>
            <w:tcBorders>
              <w:top w:val="single" w:color="auto" w:sz="4" w:space="0"/>
              <w:left w:val="single" w:color="auto" w:sz="4" w:space="0"/>
              <w:bottom w:val="single" w:color="auto" w:sz="4" w:space="0"/>
              <w:right w:val="single" w:color="auto" w:sz="4" w:space="0"/>
            </w:tcBorders>
            <w:noWrap w:val="0"/>
            <w:vAlign w:val="center"/>
          </w:tcPr>
          <w:p w14:paraId="676AF7DF">
            <w:pPr>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采取分批次现场验收的方式，每批货物由采购人及成交供应商共同现场验收。</w:t>
            </w:r>
          </w:p>
        </w:tc>
      </w:tr>
      <w:tr w14:paraId="7D816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9" w:hRule="atLeast"/>
          <w:jc w:val="center"/>
        </w:trPr>
        <w:tc>
          <w:tcPr>
            <w:tcW w:w="2331" w:type="dxa"/>
            <w:tcBorders>
              <w:top w:val="single" w:color="auto" w:sz="4" w:space="0"/>
              <w:left w:val="single" w:color="auto" w:sz="4" w:space="0"/>
              <w:bottom w:val="single" w:color="auto" w:sz="4" w:space="0"/>
              <w:right w:val="single" w:color="auto" w:sz="4" w:space="0"/>
            </w:tcBorders>
            <w:noWrap w:val="0"/>
            <w:vAlign w:val="center"/>
          </w:tcPr>
          <w:p w14:paraId="4D437447">
            <w:pPr>
              <w:jc w:val="left"/>
              <w:rPr>
                <w:rFonts w:hint="eastAsia" w:ascii="仿宋" w:hAnsi="仿宋" w:eastAsia="仿宋"/>
                <w:sz w:val="28"/>
                <w:szCs w:val="28"/>
                <w:lang w:val="en-US" w:eastAsia="zh-CN"/>
              </w:rPr>
            </w:pPr>
            <w:r>
              <w:rPr>
                <w:rFonts w:hint="eastAsia" w:ascii="仿宋" w:hAnsi="仿宋" w:eastAsia="仿宋"/>
                <w:sz w:val="28"/>
                <w:szCs w:val="28"/>
                <w:lang w:val="en-US" w:eastAsia="zh-CN"/>
              </w:rPr>
              <w:t>（三）质保期限</w:t>
            </w:r>
          </w:p>
          <w:p w14:paraId="027EE50D">
            <w:pPr>
              <w:ind w:firstLine="560" w:firstLineChars="200"/>
              <w:jc w:val="left"/>
              <w:rPr>
                <w:rFonts w:hint="eastAsia" w:ascii="仿宋" w:hAnsi="仿宋" w:eastAsia="仿宋"/>
                <w:sz w:val="28"/>
                <w:szCs w:val="28"/>
                <w:lang w:val="en-US" w:eastAsia="zh-CN"/>
              </w:rPr>
            </w:pPr>
          </w:p>
        </w:tc>
        <w:tc>
          <w:tcPr>
            <w:tcW w:w="6947" w:type="dxa"/>
            <w:tcBorders>
              <w:top w:val="single" w:color="auto" w:sz="4" w:space="0"/>
              <w:left w:val="single" w:color="auto" w:sz="4" w:space="0"/>
              <w:bottom w:val="single" w:color="auto" w:sz="4" w:space="0"/>
              <w:right w:val="single" w:color="auto" w:sz="4" w:space="0"/>
            </w:tcBorders>
            <w:noWrap w:val="0"/>
            <w:vAlign w:val="center"/>
          </w:tcPr>
          <w:p w14:paraId="25756FF3">
            <w:pPr>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质保期限1年，自商品销售至终端消费者之日起计算。在产品质量保证期间，如商品出现非人为质量问题，成交供应商均负责提供免费调换，并承担由此产生的运费等所有费用。</w:t>
            </w:r>
          </w:p>
        </w:tc>
      </w:tr>
      <w:tr w14:paraId="70A28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31" w:type="dxa"/>
            <w:tcBorders>
              <w:top w:val="single" w:color="auto" w:sz="4" w:space="0"/>
              <w:left w:val="single" w:color="auto" w:sz="4" w:space="0"/>
              <w:bottom w:val="single" w:color="auto" w:sz="4" w:space="0"/>
              <w:right w:val="single" w:color="auto" w:sz="4" w:space="0"/>
            </w:tcBorders>
            <w:noWrap w:val="0"/>
            <w:vAlign w:val="center"/>
          </w:tcPr>
          <w:p w14:paraId="3A091004">
            <w:pPr>
              <w:jc w:val="left"/>
              <w:rPr>
                <w:rFonts w:hint="eastAsia" w:ascii="仿宋" w:hAnsi="仿宋" w:eastAsia="仿宋"/>
                <w:sz w:val="28"/>
                <w:szCs w:val="28"/>
                <w:lang w:val="en-US" w:eastAsia="zh-CN"/>
              </w:rPr>
            </w:pPr>
            <w:r>
              <w:rPr>
                <w:rFonts w:hint="eastAsia" w:ascii="仿宋" w:hAnsi="仿宋" w:eastAsia="仿宋"/>
                <w:sz w:val="28"/>
                <w:szCs w:val="28"/>
                <w:lang w:val="en-US" w:eastAsia="zh-CN"/>
              </w:rPr>
              <w:t>（四）供货地点</w:t>
            </w:r>
          </w:p>
        </w:tc>
        <w:tc>
          <w:tcPr>
            <w:tcW w:w="6947" w:type="dxa"/>
            <w:tcBorders>
              <w:top w:val="single" w:color="auto" w:sz="4" w:space="0"/>
              <w:left w:val="single" w:color="auto" w:sz="4" w:space="0"/>
              <w:bottom w:val="single" w:color="auto" w:sz="4" w:space="0"/>
              <w:right w:val="single" w:color="auto" w:sz="4" w:space="0"/>
            </w:tcBorders>
            <w:noWrap w:val="0"/>
            <w:vAlign w:val="center"/>
          </w:tcPr>
          <w:p w14:paraId="3E9C7DF1">
            <w:pPr>
              <w:ind w:firstLine="560" w:firstLineChars="200"/>
              <w:rPr>
                <w:rFonts w:hint="default" w:ascii="仿宋" w:hAnsi="仿宋" w:eastAsia="仿宋"/>
                <w:sz w:val="28"/>
                <w:szCs w:val="28"/>
                <w:lang w:val="en-US" w:eastAsia="zh-CN"/>
              </w:rPr>
            </w:pPr>
            <w:r>
              <w:rPr>
                <w:rFonts w:hint="eastAsia" w:ascii="仿宋" w:hAnsi="仿宋" w:eastAsia="仿宋"/>
                <w:sz w:val="28"/>
                <w:szCs w:val="28"/>
                <w:lang w:val="en-US" w:eastAsia="zh-CN"/>
              </w:rPr>
              <w:t>南宁市青秀区龙源路3号广西壮族自治区生殖医院</w:t>
            </w:r>
          </w:p>
        </w:tc>
      </w:tr>
      <w:tr w14:paraId="315F4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31" w:type="dxa"/>
            <w:tcBorders>
              <w:top w:val="single" w:color="auto" w:sz="4" w:space="0"/>
              <w:left w:val="single" w:color="auto" w:sz="4" w:space="0"/>
              <w:bottom w:val="single" w:color="auto" w:sz="4" w:space="0"/>
              <w:right w:val="single" w:color="auto" w:sz="4" w:space="0"/>
            </w:tcBorders>
            <w:noWrap w:val="0"/>
            <w:vAlign w:val="center"/>
          </w:tcPr>
          <w:p w14:paraId="5E12900D">
            <w:pPr>
              <w:jc w:val="left"/>
              <w:rPr>
                <w:rFonts w:hint="eastAsia" w:ascii="仿宋" w:hAnsi="仿宋" w:eastAsia="仿宋"/>
                <w:sz w:val="28"/>
                <w:szCs w:val="28"/>
                <w:lang w:val="en-US" w:eastAsia="zh-CN"/>
              </w:rPr>
            </w:pPr>
            <w:r>
              <w:rPr>
                <w:rFonts w:hint="eastAsia" w:ascii="仿宋" w:hAnsi="仿宋" w:eastAsia="仿宋"/>
                <w:sz w:val="28"/>
                <w:szCs w:val="28"/>
                <w:lang w:val="en-US" w:eastAsia="zh-CN"/>
              </w:rPr>
              <w:t>（五）违约责任</w:t>
            </w:r>
          </w:p>
          <w:p w14:paraId="48E798FA">
            <w:pPr>
              <w:ind w:firstLine="560" w:firstLineChars="200"/>
              <w:jc w:val="left"/>
              <w:rPr>
                <w:rFonts w:hint="eastAsia" w:ascii="仿宋" w:hAnsi="仿宋" w:eastAsia="仿宋"/>
                <w:sz w:val="28"/>
                <w:szCs w:val="28"/>
                <w:lang w:val="en-US" w:eastAsia="zh-CN"/>
              </w:rPr>
            </w:pPr>
          </w:p>
        </w:tc>
        <w:tc>
          <w:tcPr>
            <w:tcW w:w="6947" w:type="dxa"/>
            <w:tcBorders>
              <w:top w:val="single" w:color="auto" w:sz="4" w:space="0"/>
              <w:left w:val="single" w:color="auto" w:sz="4" w:space="0"/>
              <w:bottom w:val="single" w:color="auto" w:sz="4" w:space="0"/>
              <w:right w:val="single" w:color="auto" w:sz="4" w:space="0"/>
            </w:tcBorders>
            <w:noWrap w:val="0"/>
            <w:vAlign w:val="center"/>
          </w:tcPr>
          <w:p w14:paraId="58BD0DA1">
            <w:pPr>
              <w:ind w:firstLine="560" w:firstLineChars="200"/>
              <w:rPr>
                <w:rFonts w:hint="eastAsia" w:ascii="仿宋" w:hAnsi="仿宋" w:eastAsia="仿宋"/>
                <w:sz w:val="28"/>
                <w:szCs w:val="28"/>
                <w:lang w:val="en-US" w:eastAsia="zh-CN"/>
              </w:rPr>
            </w:pPr>
            <w:bookmarkStart w:id="0" w:name="OLE_LINK2"/>
            <w:r>
              <w:rPr>
                <w:rFonts w:hint="eastAsia" w:ascii="仿宋" w:hAnsi="仿宋" w:eastAsia="仿宋"/>
                <w:sz w:val="28"/>
                <w:szCs w:val="28"/>
                <w:lang w:val="en-US" w:eastAsia="zh-CN"/>
              </w:rPr>
              <w:t>1、若成交供应商供应的货品不符合质量要求的，成交供应商应在3个工作日内予以替换，逾期未替换或替换后仍无法通过采购人验收的，采购人有权终止合同，并由成交供应商承担相应责任（包括但不限于采购人直接经济损失、造成事故的赔偿和法律等）。</w:t>
            </w:r>
          </w:p>
          <w:p w14:paraId="289B608E">
            <w:pPr>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2、成交供应商不能按采购人指定送货时间送达指定地点时，将视认为违约，每超过1天，采购人有权要求成交供应商支付相当于当次订货价款1%的违约金，以此类推。超过7个工作日，采购人有权终止合同。</w:t>
            </w:r>
          </w:p>
          <w:p w14:paraId="63EF5F98">
            <w:pPr>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3、成交供应商所提供的货品质量、服务质量如累计出现3次有效投诉，采购人将予以书面警告，第四次将视为违反合同，采购人有权终止合同，并由成交供应商承担相应责任（包括但不限于采购人直接经济损失）。</w:t>
            </w:r>
          </w:p>
          <w:p w14:paraId="13B8693B">
            <w:pPr>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4、合同期限内成交供应商不得以任何理由停供，否则成交供应商将被视认为违约，违约金500元/次，违约金从成交供应商应得的货款中一次性扣除。</w:t>
            </w:r>
          </w:p>
          <w:p w14:paraId="2BE62DBC">
            <w:pPr>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5、成交供应商所提供商品必须权属清楚，不得侵害他人的知识产权，否则视为对采购人违约，成交供应商承担全部赔偿责任。</w:t>
            </w:r>
          </w:p>
          <w:bookmarkEnd w:id="0"/>
          <w:p w14:paraId="326919B1">
            <w:pPr>
              <w:ind w:firstLine="560" w:firstLineChars="200"/>
              <w:rPr>
                <w:rFonts w:hint="eastAsia" w:ascii="仿宋" w:hAnsi="仿宋" w:eastAsia="仿宋"/>
                <w:sz w:val="28"/>
                <w:szCs w:val="28"/>
                <w:lang w:val="en-US" w:eastAsia="zh-CN"/>
              </w:rPr>
            </w:pPr>
          </w:p>
        </w:tc>
      </w:tr>
      <w:tr w14:paraId="60335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31" w:type="dxa"/>
            <w:tcBorders>
              <w:top w:val="single" w:color="auto" w:sz="4" w:space="0"/>
              <w:left w:val="single" w:color="auto" w:sz="4" w:space="0"/>
              <w:bottom w:val="single" w:color="auto" w:sz="4" w:space="0"/>
              <w:right w:val="single" w:color="auto" w:sz="4" w:space="0"/>
            </w:tcBorders>
            <w:noWrap w:val="0"/>
            <w:vAlign w:val="center"/>
          </w:tcPr>
          <w:p w14:paraId="4E7A8CC6">
            <w:pPr>
              <w:jc w:val="left"/>
              <w:rPr>
                <w:rFonts w:hint="eastAsia" w:ascii="仿宋" w:hAnsi="仿宋" w:eastAsia="仿宋"/>
                <w:sz w:val="28"/>
                <w:szCs w:val="28"/>
                <w:lang w:val="en-US" w:eastAsia="zh-CN"/>
              </w:rPr>
            </w:pPr>
            <w:r>
              <w:rPr>
                <w:rFonts w:hint="eastAsia" w:ascii="仿宋" w:hAnsi="仿宋" w:eastAsia="仿宋"/>
                <w:sz w:val="28"/>
                <w:szCs w:val="28"/>
                <w:lang w:val="en-US" w:eastAsia="zh-CN"/>
              </w:rPr>
              <w:t>（六）付款方式</w:t>
            </w:r>
          </w:p>
        </w:tc>
        <w:tc>
          <w:tcPr>
            <w:tcW w:w="6947" w:type="dxa"/>
            <w:tcBorders>
              <w:top w:val="single" w:color="auto" w:sz="4" w:space="0"/>
              <w:left w:val="single" w:color="auto" w:sz="4" w:space="0"/>
              <w:bottom w:val="single" w:color="auto" w:sz="4" w:space="0"/>
              <w:right w:val="single" w:color="auto" w:sz="4" w:space="0"/>
            </w:tcBorders>
            <w:noWrap w:val="0"/>
            <w:vAlign w:val="center"/>
          </w:tcPr>
          <w:p w14:paraId="7EC2092F">
            <w:pPr>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1、本项目无预付款，原则上按季度结算，每个季度结束后10日内，中标人按照验收时经双方签字确认的供货单据申请支付货款，采购人审核通过后，中标人开具足额发票给采购人后，15个工作日内支付。</w:t>
            </w:r>
          </w:p>
          <w:p w14:paraId="497A677D">
            <w:pPr>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2、本项目据实结算，实际结算总金额不超合同金额。</w:t>
            </w:r>
          </w:p>
          <w:p w14:paraId="6B80D22E">
            <w:pPr>
              <w:ind w:firstLine="560" w:firstLineChars="200"/>
              <w:rPr>
                <w:rFonts w:hint="default" w:ascii="仿宋" w:hAnsi="仿宋" w:eastAsia="仿宋"/>
                <w:sz w:val="28"/>
                <w:szCs w:val="28"/>
                <w:lang w:val="en-US" w:eastAsia="zh-CN"/>
              </w:rPr>
            </w:pPr>
            <w:r>
              <w:rPr>
                <w:rFonts w:hint="eastAsia" w:ascii="仿宋" w:hAnsi="仿宋" w:eastAsia="仿宋"/>
                <w:sz w:val="28"/>
                <w:szCs w:val="28"/>
                <w:lang w:val="en-US" w:eastAsia="zh-CN"/>
              </w:rPr>
              <w:t>3.采购人未收到发票的，有权不予支付相应款项，直至成交供应商提供合格票据，采购人并不承担延迟付款责任。</w:t>
            </w:r>
          </w:p>
        </w:tc>
      </w:tr>
      <w:tr w14:paraId="46C38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2331" w:type="dxa"/>
            <w:tcBorders>
              <w:top w:val="single" w:color="auto" w:sz="4" w:space="0"/>
              <w:left w:val="single" w:color="auto" w:sz="4" w:space="0"/>
              <w:bottom w:val="single" w:color="auto" w:sz="4" w:space="0"/>
              <w:right w:val="single" w:color="auto" w:sz="4" w:space="0"/>
            </w:tcBorders>
            <w:noWrap w:val="0"/>
            <w:vAlign w:val="center"/>
          </w:tcPr>
          <w:p w14:paraId="538552F2">
            <w:pPr>
              <w:jc w:val="left"/>
              <w:rPr>
                <w:rFonts w:hint="eastAsia" w:ascii="仿宋" w:hAnsi="仿宋" w:eastAsia="仿宋"/>
                <w:sz w:val="28"/>
                <w:szCs w:val="28"/>
                <w:lang w:val="en-US" w:eastAsia="zh-CN"/>
              </w:rPr>
            </w:pPr>
            <w:r>
              <w:rPr>
                <w:rFonts w:hint="eastAsia" w:ascii="仿宋" w:hAnsi="仿宋" w:eastAsia="仿宋"/>
                <w:sz w:val="28"/>
                <w:szCs w:val="28"/>
                <w:lang w:val="en-US" w:eastAsia="zh-CN"/>
              </w:rPr>
              <w:t>（七）报价要求</w:t>
            </w:r>
          </w:p>
          <w:p w14:paraId="56C9D885">
            <w:pPr>
              <w:ind w:firstLine="560" w:firstLineChars="200"/>
              <w:jc w:val="left"/>
              <w:rPr>
                <w:rFonts w:hint="eastAsia" w:ascii="仿宋" w:hAnsi="仿宋" w:eastAsia="仿宋"/>
                <w:sz w:val="28"/>
                <w:szCs w:val="28"/>
                <w:lang w:val="en-US" w:eastAsia="zh-CN"/>
              </w:rPr>
            </w:pPr>
          </w:p>
        </w:tc>
        <w:tc>
          <w:tcPr>
            <w:tcW w:w="6947" w:type="dxa"/>
            <w:tcBorders>
              <w:top w:val="single" w:color="auto" w:sz="4" w:space="0"/>
              <w:left w:val="single" w:color="auto" w:sz="4" w:space="0"/>
              <w:bottom w:val="single" w:color="auto" w:sz="4" w:space="0"/>
              <w:right w:val="single" w:color="auto" w:sz="4" w:space="0"/>
            </w:tcBorders>
            <w:noWrap w:val="0"/>
            <w:vAlign w:val="center"/>
          </w:tcPr>
          <w:p w14:paraId="6C120573">
            <w:pPr>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1、报价必须包括竞标产品的原材料成本、生产、检验检测、包装、运输、仓储、配送、服务、利润、税金、政策性规费、保险、劳保、质保及竞标等一切相关费用。</w:t>
            </w:r>
          </w:p>
          <w:p w14:paraId="164B9CEA">
            <w:pPr>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2、本项目以附件1《办公用品清单》中的品种单价的整体下浮率进行报价（报价方式详见附件1：报价表），采购预算价为4.5万元，签订合同总价即为采购预算价，结算时合同实际结算总金额不能超过采购预算价，结算总金额=各品种下浮后的单价×各品种实际使用量。投标供应商自行评估考量每样品种的下浮空间，并给出一个所有品种的整体下浮率，该下浮率应大于或等于0（不设上限）。</w:t>
            </w:r>
          </w:p>
        </w:tc>
      </w:tr>
      <w:tr w14:paraId="724E4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2331" w:type="dxa"/>
            <w:tcBorders>
              <w:top w:val="single" w:color="auto" w:sz="4" w:space="0"/>
              <w:left w:val="single" w:color="auto" w:sz="4" w:space="0"/>
              <w:bottom w:val="single" w:color="auto" w:sz="4" w:space="0"/>
              <w:right w:val="single" w:color="auto" w:sz="4" w:space="0"/>
            </w:tcBorders>
            <w:noWrap w:val="0"/>
            <w:vAlign w:val="center"/>
          </w:tcPr>
          <w:p w14:paraId="7413F4CB">
            <w:pPr>
              <w:jc w:val="left"/>
              <w:rPr>
                <w:rFonts w:hint="default" w:ascii="仿宋" w:hAnsi="仿宋" w:eastAsia="仿宋"/>
                <w:sz w:val="28"/>
                <w:szCs w:val="28"/>
                <w:lang w:val="en-US" w:eastAsia="zh-CN"/>
              </w:rPr>
            </w:pPr>
            <w:r>
              <w:rPr>
                <w:rFonts w:hint="eastAsia" w:ascii="仿宋" w:hAnsi="仿宋" w:eastAsia="仿宋"/>
                <w:sz w:val="28"/>
                <w:szCs w:val="28"/>
                <w:lang w:val="en-US" w:eastAsia="zh-CN"/>
              </w:rPr>
              <w:t>（八）其他要求</w:t>
            </w:r>
          </w:p>
        </w:tc>
        <w:tc>
          <w:tcPr>
            <w:tcW w:w="6947" w:type="dxa"/>
            <w:tcBorders>
              <w:top w:val="single" w:color="auto" w:sz="4" w:space="0"/>
              <w:left w:val="single" w:color="auto" w:sz="4" w:space="0"/>
              <w:bottom w:val="single" w:color="auto" w:sz="4" w:space="0"/>
              <w:right w:val="single" w:color="auto" w:sz="4" w:space="0"/>
            </w:tcBorders>
            <w:noWrap w:val="0"/>
            <w:vAlign w:val="center"/>
          </w:tcPr>
          <w:p w14:paraId="2075724E">
            <w:pPr>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办公用品清单中所列产品为该项目主要产品，当采购人提出采购供货清单之外的产品时，由采购人的询价小组与成交供应商对市场批发价格进行市场询价后共同确定。</w:t>
            </w:r>
          </w:p>
        </w:tc>
      </w:tr>
    </w:tbl>
    <w:p w14:paraId="7313F86C">
      <w:pPr>
        <w:ind w:firstLine="480" w:firstLineChars="200"/>
        <w:rPr>
          <w:rFonts w:hint="eastAsia" w:ascii="仿宋" w:hAnsi="仿宋" w:eastAsia="仿宋" w:cs="Times New Roman"/>
          <w:sz w:val="24"/>
          <w:szCs w:val="24"/>
        </w:rPr>
      </w:pPr>
    </w:p>
    <w:p w14:paraId="174280B0">
      <w:pPr>
        <w:ind w:firstLine="560" w:firstLineChars="200"/>
        <w:rPr>
          <w:rFonts w:ascii="仿宋" w:hAnsi="仿宋" w:eastAsia="仿宋"/>
          <w:sz w:val="28"/>
          <w:szCs w:val="28"/>
        </w:rPr>
      </w:pPr>
    </w:p>
    <w:p w14:paraId="5D875707">
      <w:pPr>
        <w:ind w:firstLine="560" w:firstLineChars="200"/>
        <w:rPr>
          <w:rFonts w:hint="eastAsia" w:ascii="仿宋" w:hAnsi="仿宋" w:eastAsia="仿宋"/>
          <w:sz w:val="28"/>
          <w:szCs w:val="28"/>
          <w:lang w:val="en-US" w:eastAsia="zh-CN"/>
        </w:rPr>
      </w:pPr>
      <w:r>
        <w:rPr>
          <w:rFonts w:hint="eastAsia" w:ascii="仿宋" w:hAnsi="仿宋" w:eastAsia="仿宋"/>
          <w:sz w:val="28"/>
          <w:szCs w:val="28"/>
        </w:rPr>
        <w:t>附件</w:t>
      </w:r>
      <w:r>
        <w:rPr>
          <w:rFonts w:hint="eastAsia" w:ascii="仿宋" w:hAnsi="仿宋" w:eastAsia="仿宋"/>
          <w:sz w:val="28"/>
          <w:szCs w:val="28"/>
          <w:lang w:val="en-US" w:eastAsia="zh-CN"/>
        </w:rPr>
        <w:t>1</w:t>
      </w:r>
      <w:r>
        <w:rPr>
          <w:rFonts w:hint="eastAsia" w:ascii="仿宋" w:hAnsi="仿宋" w:eastAsia="仿宋"/>
          <w:sz w:val="28"/>
          <w:szCs w:val="28"/>
        </w:rPr>
        <w:t>：</w:t>
      </w:r>
      <w:r>
        <w:rPr>
          <w:rFonts w:hint="eastAsia" w:ascii="仿宋" w:hAnsi="仿宋" w:eastAsia="仿宋"/>
          <w:sz w:val="28"/>
          <w:szCs w:val="28"/>
          <w:lang w:val="en-US" w:eastAsia="zh-CN"/>
        </w:rPr>
        <w:t>办公用品清单</w:t>
      </w:r>
    </w:p>
    <w:p w14:paraId="0C9E012C">
      <w:pPr>
        <w:rPr>
          <w:rFonts w:hint="default" w:ascii="仿宋" w:hAnsi="仿宋" w:eastAsia="仿宋"/>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rial Unicode MS">
    <w:altName w:val="宋体"/>
    <w:panose1 w:val="020B0604020202020204"/>
    <w:charset w:val="86"/>
    <w:family w:val="roman"/>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NlODBlM2M5ZTgyZjc2OGQ3OWYwNWU3NjRlM2FlMzMifQ=="/>
  </w:docVars>
  <w:rsids>
    <w:rsidRoot w:val="00222918"/>
    <w:rsid w:val="0001542A"/>
    <w:rsid w:val="0002574B"/>
    <w:rsid w:val="00087642"/>
    <w:rsid w:val="000B08BC"/>
    <w:rsid w:val="000B4BA6"/>
    <w:rsid w:val="000C7140"/>
    <w:rsid w:val="000E3745"/>
    <w:rsid w:val="001001A4"/>
    <w:rsid w:val="001707CD"/>
    <w:rsid w:val="001816D1"/>
    <w:rsid w:val="001B5670"/>
    <w:rsid w:val="001C38BA"/>
    <w:rsid w:val="00222918"/>
    <w:rsid w:val="002C7171"/>
    <w:rsid w:val="00330FAC"/>
    <w:rsid w:val="003B6232"/>
    <w:rsid w:val="0042341C"/>
    <w:rsid w:val="00483DDE"/>
    <w:rsid w:val="00484C5B"/>
    <w:rsid w:val="004952FA"/>
    <w:rsid w:val="004C45BF"/>
    <w:rsid w:val="00523144"/>
    <w:rsid w:val="0053386B"/>
    <w:rsid w:val="0053526D"/>
    <w:rsid w:val="00546D76"/>
    <w:rsid w:val="005F00B4"/>
    <w:rsid w:val="00641887"/>
    <w:rsid w:val="0077761F"/>
    <w:rsid w:val="00790E4D"/>
    <w:rsid w:val="008B68A4"/>
    <w:rsid w:val="008D622A"/>
    <w:rsid w:val="008E2DAA"/>
    <w:rsid w:val="009F54CC"/>
    <w:rsid w:val="00A1445E"/>
    <w:rsid w:val="00A72143"/>
    <w:rsid w:val="00AB7315"/>
    <w:rsid w:val="00AC7484"/>
    <w:rsid w:val="00AF1055"/>
    <w:rsid w:val="00AF53D4"/>
    <w:rsid w:val="00B007A2"/>
    <w:rsid w:val="00B0111A"/>
    <w:rsid w:val="00B16C7D"/>
    <w:rsid w:val="00B64F7B"/>
    <w:rsid w:val="00C025BC"/>
    <w:rsid w:val="00C114E7"/>
    <w:rsid w:val="00C2354D"/>
    <w:rsid w:val="00C31CAB"/>
    <w:rsid w:val="00C57776"/>
    <w:rsid w:val="00C60E08"/>
    <w:rsid w:val="00C744EC"/>
    <w:rsid w:val="00D032BD"/>
    <w:rsid w:val="00D378AA"/>
    <w:rsid w:val="00DA2824"/>
    <w:rsid w:val="00E653D7"/>
    <w:rsid w:val="00E80DE4"/>
    <w:rsid w:val="00E930D1"/>
    <w:rsid w:val="00F15BD3"/>
    <w:rsid w:val="00F647E9"/>
    <w:rsid w:val="0B3E4816"/>
    <w:rsid w:val="0B846ACE"/>
    <w:rsid w:val="0C880C59"/>
    <w:rsid w:val="0C9A519B"/>
    <w:rsid w:val="0FAC60ED"/>
    <w:rsid w:val="10295596"/>
    <w:rsid w:val="108247E3"/>
    <w:rsid w:val="11EE111B"/>
    <w:rsid w:val="125008E3"/>
    <w:rsid w:val="17E814FE"/>
    <w:rsid w:val="20C4023B"/>
    <w:rsid w:val="220D4D09"/>
    <w:rsid w:val="263F224F"/>
    <w:rsid w:val="267D7173"/>
    <w:rsid w:val="282D63E5"/>
    <w:rsid w:val="2B42599E"/>
    <w:rsid w:val="2FF36C26"/>
    <w:rsid w:val="336D3488"/>
    <w:rsid w:val="3B5236A6"/>
    <w:rsid w:val="3DA6768F"/>
    <w:rsid w:val="460C33DC"/>
    <w:rsid w:val="488457F1"/>
    <w:rsid w:val="4CCD151B"/>
    <w:rsid w:val="5629085A"/>
    <w:rsid w:val="5C150DC7"/>
    <w:rsid w:val="5DAA7267"/>
    <w:rsid w:val="5F1D7A5F"/>
    <w:rsid w:val="64740A1C"/>
    <w:rsid w:val="658C2F81"/>
    <w:rsid w:val="67DB68D6"/>
    <w:rsid w:val="6D151284"/>
    <w:rsid w:val="76236D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iPriority="99" w:semiHidden="0"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2">
    <w:name w:val="index 8"/>
    <w:basedOn w:val="1"/>
    <w:next w:val="1"/>
    <w:unhideWhenUsed/>
    <w:qFormat/>
    <w:uiPriority w:val="99"/>
    <w:pPr>
      <w:ind w:left="1400" w:leftChars="1400"/>
    </w:pPr>
  </w:style>
  <w:style w:type="paragraph" w:styleId="3">
    <w:name w:val="Body Text"/>
    <w:basedOn w:val="1"/>
    <w:next w:val="1"/>
    <w:unhideWhenUsed/>
    <w:qFormat/>
    <w:uiPriority w:val="0"/>
    <w:pPr>
      <w:spacing w:after="120"/>
    </w:pPr>
  </w:style>
  <w:style w:type="paragraph" w:styleId="4">
    <w:name w:val="Body Text Indent"/>
    <w:basedOn w:val="1"/>
    <w:qFormat/>
    <w:uiPriority w:val="0"/>
    <w:pPr>
      <w:ind w:firstLine="830" w:firstLineChars="352"/>
    </w:pPr>
    <w:rPr>
      <w:rFonts w:ascii="仿宋_GB2312" w:eastAsia="仿宋_GB2312"/>
      <w:kern w:val="0"/>
      <w:sz w:val="32"/>
      <w:szCs w:val="20"/>
    </w:rPr>
  </w:style>
  <w:style w:type="paragraph" w:styleId="5">
    <w:name w:val="Plain Text"/>
    <w:basedOn w:val="1"/>
    <w:next w:val="2"/>
    <w:qFormat/>
    <w:uiPriority w:val="0"/>
    <w:rPr>
      <w:rFonts w:ascii="宋体" w:hAnsi="Courier New"/>
      <w:kern w:val="0"/>
      <w:sz w:val="20"/>
      <w:szCs w:val="21"/>
    </w:rPr>
  </w:style>
  <w:style w:type="paragraph" w:styleId="6">
    <w:name w:val="Balloon Text"/>
    <w:basedOn w:val="1"/>
    <w:link w:val="20"/>
    <w:autoRedefine/>
    <w:semiHidden/>
    <w:unhideWhenUsed/>
    <w:qFormat/>
    <w:uiPriority w:val="99"/>
    <w:rPr>
      <w:sz w:val="18"/>
      <w:szCs w:val="18"/>
    </w:rPr>
  </w:style>
  <w:style w:type="paragraph" w:styleId="7">
    <w:name w:val="footer"/>
    <w:basedOn w:val="1"/>
    <w:link w:val="19"/>
    <w:autoRedefine/>
    <w:unhideWhenUsed/>
    <w:qFormat/>
    <w:uiPriority w:val="99"/>
    <w:pPr>
      <w:tabs>
        <w:tab w:val="center" w:pos="4153"/>
        <w:tab w:val="right" w:pos="8306"/>
      </w:tabs>
      <w:snapToGrid w:val="0"/>
      <w:jc w:val="left"/>
    </w:pPr>
    <w:rPr>
      <w:sz w:val="18"/>
      <w:szCs w:val="18"/>
    </w:rPr>
  </w:style>
  <w:style w:type="paragraph" w:styleId="8">
    <w:name w:val="header"/>
    <w:basedOn w:val="1"/>
    <w:link w:val="1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link w:val="15"/>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s="Arial Unicode MS"/>
      <w:color w:val="000000"/>
    </w:rPr>
  </w:style>
  <w:style w:type="paragraph" w:styleId="10">
    <w:name w:val="Normal (Web)"/>
    <w:basedOn w:val="1"/>
    <w:autoRedefine/>
    <w:qFormat/>
    <w:uiPriority w:val="0"/>
    <w:pPr>
      <w:widowControl/>
      <w:spacing w:before="100" w:beforeAutospacing="1" w:after="100" w:afterAutospacing="1"/>
      <w:jc w:val="left"/>
    </w:pPr>
    <w:rPr>
      <w:rFonts w:ascii="宋体" w:hAnsi="宋体" w:cs="宋体"/>
      <w:color w:val="000000"/>
      <w:kern w:val="0"/>
      <w:sz w:val="24"/>
      <w:szCs w:val="24"/>
    </w:rPr>
  </w:style>
  <w:style w:type="character" w:styleId="13">
    <w:name w:val="Hyperlink"/>
    <w:basedOn w:val="12"/>
    <w:unhideWhenUsed/>
    <w:qFormat/>
    <w:uiPriority w:val="99"/>
    <w:rPr>
      <w:color w:val="0000FF"/>
      <w:u w:val="single"/>
    </w:rPr>
  </w:style>
  <w:style w:type="paragraph" w:customStyle="1" w:styleId="14">
    <w:name w:val="表格文字"/>
    <w:basedOn w:val="4"/>
    <w:qFormat/>
    <w:uiPriority w:val="0"/>
    <w:pPr>
      <w:spacing w:before="25" w:after="25"/>
      <w:jc w:val="left"/>
    </w:pPr>
    <w:rPr>
      <w:bCs/>
      <w:spacing w:val="10"/>
      <w:kern w:val="0"/>
      <w:sz w:val="24"/>
    </w:rPr>
  </w:style>
  <w:style w:type="character" w:customStyle="1" w:styleId="15">
    <w:name w:val="HTML 预设格式 字符1"/>
    <w:link w:val="9"/>
    <w:autoRedefine/>
    <w:qFormat/>
    <w:uiPriority w:val="0"/>
    <w:rPr>
      <w:rFonts w:ascii="Arial Unicode MS" w:hAnsi="Arial Unicode MS" w:eastAsia="Arial Unicode MS" w:cs="Arial Unicode MS"/>
      <w:color w:val="000000"/>
    </w:rPr>
  </w:style>
  <w:style w:type="character" w:customStyle="1" w:styleId="16">
    <w:name w:val="HTML 预设格式 字符"/>
    <w:basedOn w:val="12"/>
    <w:autoRedefine/>
    <w:semiHidden/>
    <w:qFormat/>
    <w:uiPriority w:val="99"/>
    <w:rPr>
      <w:rFonts w:ascii="Courier New" w:hAnsi="Courier New" w:eastAsia="宋体" w:cs="Courier New"/>
      <w:sz w:val="20"/>
      <w:szCs w:val="20"/>
    </w:rPr>
  </w:style>
  <w:style w:type="paragraph" w:styleId="17">
    <w:name w:val="List Paragraph"/>
    <w:basedOn w:val="1"/>
    <w:autoRedefine/>
    <w:qFormat/>
    <w:uiPriority w:val="34"/>
    <w:pPr>
      <w:ind w:firstLine="420" w:firstLineChars="200"/>
    </w:pPr>
  </w:style>
  <w:style w:type="character" w:customStyle="1" w:styleId="18">
    <w:name w:val="页眉 字符"/>
    <w:basedOn w:val="12"/>
    <w:link w:val="8"/>
    <w:autoRedefine/>
    <w:qFormat/>
    <w:uiPriority w:val="99"/>
    <w:rPr>
      <w:rFonts w:ascii="Calibri" w:hAnsi="Calibri"/>
      <w:kern w:val="2"/>
      <w:sz w:val="18"/>
      <w:szCs w:val="18"/>
    </w:rPr>
  </w:style>
  <w:style w:type="character" w:customStyle="1" w:styleId="19">
    <w:name w:val="页脚 字符"/>
    <w:basedOn w:val="12"/>
    <w:link w:val="7"/>
    <w:qFormat/>
    <w:uiPriority w:val="99"/>
    <w:rPr>
      <w:rFonts w:ascii="Calibri" w:hAnsi="Calibri"/>
      <w:kern w:val="2"/>
      <w:sz w:val="18"/>
      <w:szCs w:val="18"/>
    </w:rPr>
  </w:style>
  <w:style w:type="character" w:customStyle="1" w:styleId="20">
    <w:name w:val="批注框文本 字符"/>
    <w:basedOn w:val="12"/>
    <w:link w:val="6"/>
    <w:semiHidden/>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DoubleOX</Company>
  <Pages>4</Pages>
  <Words>1705</Words>
  <Characters>1720</Characters>
  <Lines>17</Lines>
  <Paragraphs>5</Paragraphs>
  <TotalTime>2</TotalTime>
  <ScaleCrop>false</ScaleCrop>
  <LinksUpToDate>false</LinksUpToDate>
  <CharactersWithSpaces>1720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2021-12-13T06:27:00Z</dcterms:created>
  <dc:creator>Administrator</dc:creator>
  <cp:lastModifiedBy>user</cp:lastModifiedBy>
  <cp:lastPrinted>2021-12-13T06:24:00Z</cp:lastPrinted>
  <dcterms:modified xsi:type="dcterms:W3CDTF">2026-07-31T08:36:52Z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9DAA4E20CE7743899EB0B4C5EC2DC437_13</vt:lpwstr>
  </property>
  <property fmtid="{D5CDD505-2E9C-101B-9397-08002B2CF9AE}" pid="4" name="KSOTemplateDocerSaveRecord">
    <vt:lpwstr>eyJoZGlkIjoiZjk0MWNmOTc3ZDg4NGE3OGZlZTBlM2M1NGQ0OGRkMWMiLCJ1c2VySWQiOiIxMjg5MDA4OCJ9</vt:lpwstr>
  </property>
</Properties>
</file>