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96F0C">
      <w:pPr>
        <w:jc w:val="left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/>
          <w:b/>
          <w:bCs/>
          <w:sz w:val="40"/>
          <w:szCs w:val="44"/>
          <w:lang w:val="en-US" w:eastAsia="zh-CN"/>
        </w:rPr>
        <w:t>一</w:t>
      </w:r>
      <w:r>
        <w:rPr>
          <w:b/>
          <w:bCs/>
          <w:sz w:val="40"/>
          <w:szCs w:val="44"/>
        </w:rPr>
        <w:t xml:space="preserve"> 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、项目概况</w:t>
      </w:r>
      <w:bookmarkStart w:id="1" w:name="_GoBack"/>
      <w:bookmarkEnd w:id="1"/>
    </w:p>
    <w:p w14:paraId="1C960437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项目名称：广西壮族自治区生殖医院外送基因检测服务</w:t>
      </w:r>
    </w:p>
    <w:p w14:paraId="422C7830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本项目主要内容为采购具备合法资质的第三方医学检验机构，为我院提供全外显子组测序、染色体拷贝数检测、地中海贫血三代测序基因检测、脊髓性肌萎缩症（SMA）三代测序基因检测、脆性 X 综合征（FXS）三代测序基因检测等外送检测服务，包含样本接收、冷链运输、实验检测、报告出具、遗传咨询、质量控制、应急加急等配套服务。</w:t>
      </w:r>
    </w:p>
    <w:p w14:paraId="3F0BAAD8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服务期限：本项目合同生效之日起1 年。若服务期内实际结算金额提前达到合同总金额（即预算总金额），则合同提前终止。</w:t>
      </w:r>
    </w:p>
    <w:p w14:paraId="082419A7"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 w14:paraId="3DA5FF67">
      <w:pPr>
        <w:spacing w:line="560" w:lineRule="exact"/>
        <w:jc w:val="left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二、采购项目预（概）算</w:t>
      </w:r>
    </w:p>
    <w:p w14:paraId="2443F194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预算金额：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>人民币（大写）玖拾伍万元整（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u w:val="single"/>
          <w:lang w:val="en-US" w:eastAsia="zh-CN"/>
        </w:rPr>
        <w:t>¥ 950000.00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>）</w:t>
      </w:r>
    </w:p>
    <w:p w14:paraId="3D64BF67">
      <w:pPr>
        <w:spacing w:line="360" w:lineRule="auto"/>
        <w:rPr>
          <w:rFonts w:hint="eastAsia" w:asciiTheme="minorEastAsia" w:hAnsiTheme="minorEastAsia"/>
          <w:sz w:val="24"/>
          <w:szCs w:val="24"/>
          <w:u w:val="singl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最高限价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>人民币（大写）玖拾伍万元整（¥ 950000.00）</w:t>
      </w:r>
    </w:p>
    <w:p w14:paraId="5EDFB649"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 w14:paraId="5D978877">
      <w:pPr>
        <w:spacing w:line="560" w:lineRule="exact"/>
        <w:jc w:val="left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三、采购标的需求表</w:t>
      </w:r>
    </w:p>
    <w:tbl>
      <w:tblPr>
        <w:tblStyle w:val="17"/>
        <w:tblW w:w="84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4875"/>
        <w:gridCol w:w="1095"/>
        <w:gridCol w:w="1671"/>
      </w:tblGrid>
      <w:tr w14:paraId="4E778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tblHeader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212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F9A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标的名称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460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预估</w:t>
            </w:r>
            <w:r>
              <w:rPr>
                <w:rStyle w:val="41"/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 w:bidi="ar"/>
              </w:rPr>
              <w:t>数量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D0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上控单价（元）</w:t>
            </w:r>
          </w:p>
          <w:p w14:paraId="4B07E8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8EA4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7F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E77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染色体拷贝数变异检测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1BC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EC2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1265</w:t>
            </w:r>
          </w:p>
        </w:tc>
      </w:tr>
      <w:tr w14:paraId="19005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AF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060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全外显子组测序（单人）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1CD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A4C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2310</w:t>
            </w:r>
          </w:p>
        </w:tc>
      </w:tr>
      <w:tr w14:paraId="5FC2B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0B2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938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全外显子组测序（家系二人）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6C2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733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3190</w:t>
            </w:r>
          </w:p>
        </w:tc>
      </w:tr>
      <w:tr w14:paraId="19BAD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D2E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45C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全外显子组测序（家系三人）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2CF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13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4070</w:t>
            </w:r>
          </w:p>
        </w:tc>
      </w:tr>
      <w:tr w14:paraId="3C6E9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75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95B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全外显子组测序（家系四人）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AEC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C26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4950</w:t>
            </w:r>
          </w:p>
        </w:tc>
      </w:tr>
      <w:tr w14:paraId="47E8B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045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434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全外显子组测序+染色体拷贝数变异检测(单独先证者)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E85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E43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2750</w:t>
            </w:r>
          </w:p>
        </w:tc>
      </w:tr>
      <w:tr w14:paraId="17A2D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DFA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16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全外显子组测序+染色体拷贝数变异检测(家系三人)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AA7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9A2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4950</w:t>
            </w:r>
          </w:p>
        </w:tc>
      </w:tr>
      <w:tr w14:paraId="69B99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CA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B9E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地中海贫血三代测序基因检测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185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C39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</w:t>
            </w:r>
          </w:p>
        </w:tc>
      </w:tr>
      <w:tr w14:paraId="30CDA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DC5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A82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脊髓性肌萎缩症(SMA)三代测序基因检测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9C3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E4A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192.5</w:t>
            </w:r>
          </w:p>
        </w:tc>
      </w:tr>
      <w:tr w14:paraId="49E5C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9B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C23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脆性X综合征(FXS)三代测序基因检测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2F2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CD7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</w:t>
            </w:r>
          </w:p>
        </w:tc>
      </w:tr>
      <w:tr w14:paraId="099BF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00D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1BA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遗传性耳聋三代测序基因检测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C5B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C4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338.25</w:t>
            </w:r>
          </w:p>
        </w:tc>
      </w:tr>
      <w:tr w14:paraId="7F89E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09C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9A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先天性肾上腺皮质增生症（CAH）三代测序基因检测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0DC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6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</w:t>
            </w:r>
          </w:p>
        </w:tc>
      </w:tr>
      <w:tr w14:paraId="03C84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035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907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血友病三代测序基因检测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9B3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12B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</w:t>
            </w:r>
          </w:p>
        </w:tc>
      </w:tr>
      <w:tr w14:paraId="52B4A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6AE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68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葡萄糖-6-磷酸脱氢酶(G6PD)三代测序基因检测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B2F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866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330</w:t>
            </w:r>
          </w:p>
        </w:tc>
      </w:tr>
      <w:tr w14:paraId="05802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4A1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E89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扩展性携带者筛查(＞300种)（单人）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CBB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6E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990</w:t>
            </w:r>
          </w:p>
        </w:tc>
      </w:tr>
      <w:tr w14:paraId="6A73A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289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0E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扩展性携带者筛查（＞300种）（夫妻同检）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BD1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4AB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1760</w:t>
            </w:r>
          </w:p>
        </w:tc>
      </w:tr>
      <w:tr w14:paraId="582B4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611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BFE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扩展性携带者筛查（＞1000种）（夫妻同检）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FC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E31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1980</w:t>
            </w:r>
          </w:p>
        </w:tc>
      </w:tr>
      <w:tr w14:paraId="5BFF3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8E3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D13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假肥大性肌营养不良（DMD）基因检测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F0B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B49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990</w:t>
            </w:r>
          </w:p>
        </w:tc>
      </w:tr>
      <w:tr w14:paraId="040FF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125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09A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地中海贫血三代测序基因检测（全面版）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CE0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B8C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880</w:t>
            </w:r>
          </w:p>
        </w:tc>
      </w:tr>
      <w:tr w14:paraId="23BDA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560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6C0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脆性X综合征(FXS)三代测序基因检测（全面版）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E4A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44F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880</w:t>
            </w:r>
          </w:p>
        </w:tc>
      </w:tr>
      <w:tr w14:paraId="11ED4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0F1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CF6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先天性肾上腺皮质增生症（CAH）三代测序基因检测（全面版）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CE7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064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1650</w:t>
            </w:r>
          </w:p>
        </w:tc>
      </w:tr>
      <w:tr w14:paraId="6A0CA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10A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139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血友病三代测序基因检测（全面版）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FC3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9BE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1650</w:t>
            </w:r>
          </w:p>
        </w:tc>
      </w:tr>
      <w:tr w14:paraId="58465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003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42B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脊髓性肌萎缩症(SMA)三代测序基因检测（全面版）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D7F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B62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770</w:t>
            </w:r>
          </w:p>
        </w:tc>
      </w:tr>
      <w:tr w14:paraId="07D51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DA7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779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动态突变检测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066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98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2090</w:t>
            </w:r>
          </w:p>
        </w:tc>
      </w:tr>
      <w:tr w14:paraId="39C00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60C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748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三代全基因组测序（单独先证者）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46D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D20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8250</w:t>
            </w:r>
          </w:p>
        </w:tc>
      </w:tr>
      <w:tr w14:paraId="146F5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B5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F6D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三代全基因组测序（三人家系）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FB6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D1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13750</w:t>
            </w:r>
          </w:p>
        </w:tc>
      </w:tr>
      <w:tr w14:paraId="35083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CE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A1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假肥大性肌营养不良（DMD）基因检测（全面版）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7FE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DBC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990</w:t>
            </w:r>
          </w:p>
        </w:tc>
      </w:tr>
      <w:tr w14:paraId="3A015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69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8E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α地中海贫血基因检测（MLPA）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F13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53E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770</w:t>
            </w:r>
          </w:p>
        </w:tc>
      </w:tr>
      <w:tr w14:paraId="7C3C2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47A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E71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β中海贫血基因检测(MLPA)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4DA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4A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770</w:t>
            </w:r>
          </w:p>
        </w:tc>
      </w:tr>
      <w:tr w14:paraId="5A2B8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465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568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一代验证（Sanger)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2F0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66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</w:tr>
    </w:tbl>
    <w:p w14:paraId="3CF6B477"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服务内容：包括基因检测及配套冷链运输、报告发放、遗传咨询、质控对接、加急服务等。</w:t>
      </w:r>
    </w:p>
    <w:p w14:paraId="1CB48791"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 w14:paraId="26BCBEBF">
      <w:pPr>
        <w:spacing w:line="360" w:lineRule="auto"/>
        <w:rPr>
          <w:rFonts w:hint="eastAsia" w:asciiTheme="minorEastAsia" w:hAnsiTheme="minorEastAsia"/>
          <w:b/>
          <w:bCs/>
          <w:sz w:val="24"/>
          <w:szCs w:val="24"/>
        </w:rPr>
      </w:pPr>
    </w:p>
    <w:p w14:paraId="29C639D4">
      <w:pPr>
        <w:spacing w:line="360" w:lineRule="auto"/>
        <w:rPr>
          <w:rFonts w:hint="eastAsia" w:asciiTheme="minorEastAsia" w:hAnsiTheme="minorEastAsia"/>
          <w:b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四、技术商务要求（</w:t>
      </w:r>
      <w:r>
        <w:rPr>
          <w:rFonts w:hint="eastAsia" w:asciiTheme="minorEastAsia" w:hAnsiTheme="minorEastAsia"/>
          <w:sz w:val="24"/>
          <w:szCs w:val="24"/>
        </w:rPr>
        <w:t>标注 “▲” 号的条款为实质性条款或要求，必须满足或优于；</w:t>
      </w:r>
      <w:r>
        <w:rPr>
          <w:rFonts w:cs="宋体" w:asciiTheme="minorEastAsia" w:hAnsiTheme="minorEastAsia"/>
          <w:sz w:val="24"/>
          <w:szCs w:val="24"/>
        </w:rPr>
        <w:t>标注“</w:t>
      </w:r>
      <w:r>
        <w:rPr>
          <w:rFonts w:hint="eastAsia" w:cs="微软雅黑" w:asciiTheme="minorEastAsia" w:hAnsiTheme="minorEastAsia"/>
          <w:sz w:val="24"/>
          <w:szCs w:val="24"/>
        </w:rPr>
        <w:t>★</w:t>
      </w:r>
      <w:r>
        <w:rPr>
          <w:rFonts w:cs="宋体" w:asciiTheme="minorEastAsia" w:hAnsiTheme="minorEastAsia"/>
          <w:sz w:val="24"/>
          <w:szCs w:val="24"/>
        </w:rPr>
        <w:t>”号的条款为重点参数，不满足将严重影响技术评分</w:t>
      </w:r>
      <w:r>
        <w:rPr>
          <w:rFonts w:hint="eastAsia" w:asciiTheme="minorEastAsia" w:hAnsiTheme="minorEastAsia"/>
          <w:sz w:val="24"/>
          <w:szCs w:val="24"/>
        </w:rPr>
        <w:t>）</w:t>
      </w:r>
    </w:p>
    <w:p w14:paraId="35877C1F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总体要求：投标人须具备独立承担本项目检测任务的能力，高通量测序项目不得转包，且不接受联合体投标。</w:t>
      </w:r>
    </w:p>
    <w:p w14:paraId="33DB96A8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（一）服务要求‌</w:t>
      </w:r>
    </w:p>
    <w:p w14:paraId="0A2F876C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1、技术与质量要求</w:t>
      </w:r>
    </w:p>
    <w:p w14:paraId="5A3F78CC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（1）检测方法、试剂、仪器均符合国家药品监督管理局及卫健委相关技术规范。</w:t>
      </w:r>
    </w:p>
    <w:p w14:paraId="5C6AEC49">
      <w:pPr>
        <w:spacing w:line="360" w:lineRule="auto"/>
        <w:ind w:firstLine="320" w:firstLineChars="1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★（2）投标人或集团关联公司（例如同一母公司下的关联公司），使用的二代测序和三代测序平台具备注册证，需要提供注册证的复印件及设备使用证明（购买合同、发票或设备租赁/投放协议等有效证明文件）。</w:t>
      </w:r>
    </w:p>
    <w:p w14:paraId="0CF79340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（3）投标人或集团关联子公司实验室通过ISO15189 认可或 CAP认可，近2年参加国家或省级临床检验中心室间质评且所有结果均合格。</w:t>
      </w:r>
    </w:p>
    <w:p w14:paraId="21342022">
      <w:pPr>
        <w:spacing w:line="360" w:lineRule="auto"/>
        <w:ind w:firstLine="320" w:firstLineChars="1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★（4）投标人或集团关联公司在 CNV-seq、全外显子组测序、三代测序检测等核心检测项目具备成熟的临床检测实操经验，请分别提供近三年内 ≥5 家三甲医疗机构合作证明。</w:t>
      </w:r>
    </w:p>
    <w:p w14:paraId="7A43A588">
      <w:pPr>
        <w:spacing w:line="360" w:lineRule="auto"/>
        <w:ind w:firstLine="320" w:firstLineChars="1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★（5）投标人或集团关联公司具有不少于25万的中国人群、不少于5000万变异位点的本地数据库变异信息及频率，可提供云平台查询助手，需提供系统截图及彩页证明。</w:t>
      </w:r>
    </w:p>
    <w:p w14:paraId="64521C4D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（6）投标人或集团关联公司具备二级及以上生物安全实验室备案，建立完善生物安全管理体系。</w:t>
      </w:r>
    </w:p>
    <w:p w14:paraId="3D149E46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（7）检测数据真实、准确、可追溯，报告规范、清晰，符合临床诊断与出生缺陷防控要求。</w:t>
      </w:r>
    </w:p>
    <w:p w14:paraId="5B08B746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▲2、样本与物流服务</w:t>
      </w:r>
    </w:p>
    <w:p w14:paraId="786BDC15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（1）供应商提供免费上门取样或样本邮寄服务。</w:t>
      </w:r>
    </w:p>
    <w:p w14:paraId="5CE701CC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（2）样本使用标准容器、规范固定，配备专用冷链运输箱，全程温度监控、记录可查。</w:t>
      </w:r>
    </w:p>
    <w:p w14:paraId="253CC5CE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（3）样本交接实行双人核对、扫码登记，确保信息唯一可追溯。</w:t>
      </w:r>
    </w:p>
    <w:p w14:paraId="277D2962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（4）紧急 / 急诊样本启动绿色通道，优先送检、优先检测、优先出报告。</w:t>
      </w:r>
    </w:p>
    <w:p w14:paraId="07A95B43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▲3、检测时效要求</w:t>
      </w:r>
    </w:p>
    <w:p w14:paraId="071ED7D5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常规检测项目：10-20</w:t>
      </w:r>
      <w:bookmarkStart w:id="0" w:name="OLE_LINK1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个工作日</w:t>
      </w:r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出具正式报告，三代WGS 30个工作日出具报告。</w:t>
      </w:r>
    </w:p>
    <w:p w14:paraId="454ACC96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加急检测项目：5-10个工作日内出具正式报告。</w:t>
      </w:r>
    </w:p>
    <w:p w14:paraId="619777E6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报告以电子版 + 纸质版同步提供，电子版可通过指定系统 / 邮箱发送。</w:t>
      </w:r>
    </w:p>
    <w:p w14:paraId="0ADF917E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▲4、报告与咨询服务</w:t>
      </w:r>
    </w:p>
    <w:p w14:paraId="3DDD4792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（1）检测报告包含检测项目、检测方法、结果、参考范围、临床解读要点、检测局限性说明。</w:t>
      </w:r>
    </w:p>
    <w:p w14:paraId="6D0F79BD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（2）供应商配备遗传咨询师 / 遗传学专业人员，提供线上 / 线下结果解读、临床咨询支持。</w:t>
      </w:r>
    </w:p>
    <w:p w14:paraId="05BE2F5D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（3）对疑难病例、阳性病例提供专家会诊支持。</w:t>
      </w:r>
    </w:p>
    <w:p w14:paraId="6C2BC53F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▲5、隐私与安全要求</w:t>
      </w:r>
    </w:p>
    <w:p w14:paraId="663AE025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（1）严格保护患者隐私、样本信息与基因数据，遵守《个人信息保护法》和《医疗卫生机构网络安全管理办法》。</w:t>
      </w:r>
    </w:p>
    <w:p w14:paraId="7BB5D8C2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（2）样本与数据仅用于本次检测，不得用于其他用途，检测后按规定妥善处置。</w:t>
      </w:r>
    </w:p>
    <w:p w14:paraId="0A498B35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（3）建立信息安全与数据备份机制，防止泄露、丢失、篡改。</w:t>
      </w:r>
    </w:p>
    <w:p w14:paraId="6AD5102B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D9AA32C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（二）商务要求</w:t>
      </w:r>
    </w:p>
    <w:p w14:paraId="1072BA23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1、服务期限：1 年，实际结算金额以实际送检数量 × 成交单价为准。若服务期内实际结算金额提前达到合同总金额（即预算总金额），则合同提前终止。</w:t>
      </w:r>
    </w:p>
    <w:p w14:paraId="1C5B7A74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▲2、报价要求</w:t>
      </w:r>
    </w:p>
    <w:p w14:paraId="7C756E48">
      <w:pPr>
        <w:numPr>
          <w:ilvl w:val="0"/>
          <w:numId w:val="1"/>
        </w:num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报价为全包价，包含检测费、试剂耗材、人员、冷链运输、报告、咨询、售后、税费等一切费用，采购人不另行支付任何费用。</w:t>
      </w:r>
    </w:p>
    <w:p w14:paraId="4014BE90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（3）报价不得高于市场公允价格及同级别医院采购价格，不得设置不合理加价条件。</w:t>
      </w:r>
    </w:p>
    <w:p w14:paraId="7230739A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（4）报价人报价时按折扣率报价，实际检测数量以采购人实际需求为准，按实结算。结算金额=折扣后检测单价×实际数量,但服务期内最终总结算金额不得超过合同总金额。</w:t>
      </w:r>
    </w:p>
    <w:p w14:paraId="47CFC292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3、付款方式</w:t>
      </w:r>
    </w:p>
    <w:p w14:paraId="08683CF9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（1）本项目无预付款，按实结算。</w:t>
      </w:r>
    </w:p>
    <w:p w14:paraId="21F7DF72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（2）原则上按月结算，每月结束后 7 个工作日内，供应商提交检测明细、验收记录、合法发票，采购人审核后20 个工作日内支付。</w:t>
      </w:r>
    </w:p>
    <w:p w14:paraId="3D43DABA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（3）因供应商原因导致报告错误、延误、丢失的，采购人有权暂缓付款，直至问题整改完成。</w:t>
      </w:r>
    </w:p>
    <w:p w14:paraId="0FE8204D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4、履约保证金</w:t>
      </w:r>
    </w:p>
    <w:p w14:paraId="4477AE14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本项目不收取履约保证金。</w:t>
      </w:r>
    </w:p>
    <w:p w14:paraId="31697EB0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本项目收取履约保证金，具体规定如下：</w:t>
      </w:r>
    </w:p>
    <w:p w14:paraId="1CD46A7C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履约保证金金额：按成交总金额的5%收取，如成交供应商为中小企业的，向采购人出具《中小企业声明函》，按成交总金额的2%收取，并于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成交通知书发出5个工作日内提交至采购人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指定账户。</w:t>
      </w:r>
    </w:p>
    <w:p w14:paraId="0649D7D0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履约保证金递交方式：银行转账方式。</w:t>
      </w:r>
    </w:p>
    <w:p w14:paraId="445DD21B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履约保证金退付的方式、时间及条件：待合同履约完毕后，且服务无质量问题，成交供应商向采购人提供《采购项目合同验收书》，采购人在收到合格材料后10个工作日内办理退还手续（不计利息）（如有涉及违约行为的，扣除违约金后退还）。</w:t>
      </w:r>
    </w:p>
    <w:p w14:paraId="53876459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不予退还的情形：签订合同后，成交供应商不按双方签订的合同规定履约，则其全部履约保证金不予退还。</w:t>
      </w:r>
    </w:p>
    <w:p w14:paraId="1F05DEBA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▲5、售后服务与质量保障</w:t>
      </w:r>
    </w:p>
    <w:p w14:paraId="2C4E92AE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（1）对检测结果有异议时，供应商应免费复核检测，并在 3 个工作日内给出复核结论。</w:t>
      </w:r>
    </w:p>
    <w:p w14:paraId="3161415C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（2）因样本、运输、检测、报告等问题导致差错、延误、损失的，由供应商承担全部责任。</w:t>
      </w:r>
    </w:p>
    <w:p w14:paraId="3ADDBCA7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（3）建立服务台账、质量台账、投诉处理台账，每月向我院提交服务质量小结。</w:t>
      </w:r>
    </w:p>
    <w:p w14:paraId="3D064505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4）售后服务：合作方售后咨询组人员将提供查询服务，包括检测进度查询、检测结果查询、检测报告邮寄查询，及时处理和反馈客户问题。服务期内提供7*24小时电话支持，电话工作时间实时响应，工作人员1小时内到达现场处理。</w:t>
      </w:r>
    </w:p>
    <w:p w14:paraId="684F0869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83A5DB1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6、验收标准</w:t>
      </w:r>
    </w:p>
    <w:p w14:paraId="0229294B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按采购需求、响应承诺、合同条款、国家及行业标准进行验收。</w:t>
      </w:r>
    </w:p>
    <w:p w14:paraId="6DBED801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重点验收：</w:t>
      </w:r>
    </w:p>
    <w:p w14:paraId="5ED287F4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资质有效性（提供在有效期内的医疗机构执业许可证、近2年内的室间质评合格证书、生物安全备案证明等）、</w:t>
      </w:r>
    </w:p>
    <w:p w14:paraId="0021DB7F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检测时效（按照医院要求规定时间完成检测，出具检测报告，如有违约承担相应违约责任）、报告质量（保证对采购人所送检的标本在双方约定时间内完成检验，并对检验结果的质量负责。由中标人原因导致的医疗纠纷，如时间延误、结果误差、标本丢失等问题，其责任由中标人负责相应责任）、冷链记录、室间质评结果、咨询服务、投诉处理。</w:t>
      </w:r>
    </w:p>
    <w:p w14:paraId="45F50128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▲7、违约责任</w:t>
      </w:r>
    </w:p>
    <w:p w14:paraId="414FD671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（1）未按约定时效出具报告，每延迟 1 天，支付违约金300 元，累计不超过合同金额的 10%。</w:t>
      </w:r>
    </w:p>
    <w:p w14:paraId="7C2BFDC6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（2）延迟超过7 天或一个季度内延误达3 次，采购人有权解除合同。</w:t>
      </w:r>
    </w:p>
    <w:p w14:paraId="219BD46E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（3）提供虚假资质、室间质评不合格、报告造假、数据违规使用的，采购人有权立即终止合同并追究法律与经济责任。</w:t>
      </w:r>
    </w:p>
    <w:p w14:paraId="5EE99534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（4）泄露患者隐私或基因数据的，承担全部法律责任与损失赔偿。</w:t>
      </w:r>
    </w:p>
    <w:p w14:paraId="5A6BABD8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2DEE41ED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8、其他要求</w:t>
      </w:r>
    </w:p>
    <w:p w14:paraId="2863E0B5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（1）供应商指定1 名项目负责人与 1 名技术对接人员，保持通讯畅通，人员变更需提前 15 天书面征得我院同意。</w:t>
      </w:r>
    </w:p>
    <w:p w14:paraId="1AB05181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（2）配合我院完成三级医院评审、质控检查、数据上报等工作。</w:t>
      </w:r>
    </w:p>
    <w:p w14:paraId="47237107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（3）因供应商责任的检测服务引发的医疗纠纷、法律诉讼，由供应商承担全部责任。</w:t>
      </w:r>
    </w:p>
    <w:p w14:paraId="0A015F5A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▲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五、商家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特定资格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条件</w:t>
      </w:r>
    </w:p>
    <w:p w14:paraId="31219AF9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供应商必须为在中华人民共和国境内依法成立的独立法人机构，持有有效的《医疗机构执业许可证》，诊疗科目包含医学检验科 / 临床细胞分子遗传学，具备开展临床基因检测的合法资质（《临床基因扩增检验实验室技术审核验收合格证书》、CMA 资质认定等）。</w:t>
      </w:r>
    </w:p>
    <w:p w14:paraId="35B3E5BF">
      <w:pPr>
        <w:spacing w:line="360" w:lineRule="auto"/>
        <w:ind w:firstLine="643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六、附件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如有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请提供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）</w:t>
      </w:r>
    </w:p>
    <w:p w14:paraId="1FB87458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供应商资质提交清单</w:t>
      </w:r>
    </w:p>
    <w:p w14:paraId="0AE10B65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样本交接与验收记录表</w:t>
      </w:r>
    </w:p>
    <w:p w14:paraId="07E065DD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服务质量月度考核表</w:t>
      </w:r>
    </w:p>
    <w:p w14:paraId="44B9048D">
      <w:pPr>
        <w:spacing w:line="360" w:lineRule="auto"/>
        <w:jc w:val="both"/>
        <w:rPr>
          <w:rFonts w:hint="eastAsia" w:asciiTheme="minorEastAsia" w:hAnsi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346A0A74-BB14-491D-90B7-67F195FF9778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C55E39F-AF73-4D99-9FB6-E51DB8BD8F4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B3019673-13C3-49FC-B8DA-13B23204480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418E5F"/>
    <w:multiLevelType w:val="singleLevel"/>
    <w:tmpl w:val="56418E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F4D"/>
    <w:rsid w:val="00055C3C"/>
    <w:rsid w:val="000C6491"/>
    <w:rsid w:val="000C7A08"/>
    <w:rsid w:val="00111734"/>
    <w:rsid w:val="001E4D39"/>
    <w:rsid w:val="002409AB"/>
    <w:rsid w:val="003972BA"/>
    <w:rsid w:val="0040760A"/>
    <w:rsid w:val="00420F4D"/>
    <w:rsid w:val="00452587"/>
    <w:rsid w:val="005969BA"/>
    <w:rsid w:val="006303C8"/>
    <w:rsid w:val="006717D6"/>
    <w:rsid w:val="007524D1"/>
    <w:rsid w:val="0081750E"/>
    <w:rsid w:val="00831F5B"/>
    <w:rsid w:val="00834CA1"/>
    <w:rsid w:val="008C5AC3"/>
    <w:rsid w:val="00966795"/>
    <w:rsid w:val="009D3FC8"/>
    <w:rsid w:val="00BB668F"/>
    <w:rsid w:val="00BF5D2F"/>
    <w:rsid w:val="00C434C5"/>
    <w:rsid w:val="00DF5DEE"/>
    <w:rsid w:val="00E33455"/>
    <w:rsid w:val="00E40F1E"/>
    <w:rsid w:val="00EA03C9"/>
    <w:rsid w:val="00F12EB1"/>
    <w:rsid w:val="00F53EA1"/>
    <w:rsid w:val="00FA2024"/>
    <w:rsid w:val="05217442"/>
    <w:rsid w:val="0C2706BF"/>
    <w:rsid w:val="0D4F1718"/>
    <w:rsid w:val="1961418C"/>
    <w:rsid w:val="1C6120B7"/>
    <w:rsid w:val="21D23859"/>
    <w:rsid w:val="2BB50F2C"/>
    <w:rsid w:val="2C130A14"/>
    <w:rsid w:val="2CC07D85"/>
    <w:rsid w:val="2FA31782"/>
    <w:rsid w:val="30472845"/>
    <w:rsid w:val="314B55B4"/>
    <w:rsid w:val="37760AE5"/>
    <w:rsid w:val="3D70022A"/>
    <w:rsid w:val="40A45A04"/>
    <w:rsid w:val="42CC5406"/>
    <w:rsid w:val="4A165430"/>
    <w:rsid w:val="4A481150"/>
    <w:rsid w:val="4B5B183B"/>
    <w:rsid w:val="5037248D"/>
    <w:rsid w:val="58037B7E"/>
    <w:rsid w:val="5D4B5084"/>
    <w:rsid w:val="6424333D"/>
    <w:rsid w:val="68953657"/>
    <w:rsid w:val="6CAE756D"/>
    <w:rsid w:val="74B9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6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6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6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unhideWhenUsed/>
    <w:qFormat/>
    <w:uiPriority w:val="99"/>
    <w:pPr>
      <w:jc w:val="left"/>
    </w:pPr>
  </w:style>
  <w:style w:type="paragraph" w:styleId="12">
    <w:name w:val="Body Text"/>
    <w:basedOn w:val="1"/>
    <w:next w:val="13"/>
    <w:qFormat/>
    <w:uiPriority w:val="0"/>
    <w:pPr>
      <w:spacing w:line="380" w:lineRule="exact"/>
    </w:pPr>
    <w:rPr>
      <w:sz w:val="24"/>
    </w:rPr>
  </w:style>
  <w:style w:type="paragraph" w:styleId="13">
    <w:name w:val="Body Text First Indent 2"/>
    <w:basedOn w:val="14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仿宋_GB2312" w:hAnsi="Times New Roman" w:eastAsia="仿宋_GB2312" w:cs="Times New Roman"/>
      <w:kern w:val="2"/>
      <w:sz w:val="21"/>
      <w:szCs w:val="24"/>
      <w:lang w:val="en-US" w:eastAsia="zh-CN" w:bidi="ar-SA"/>
    </w:rPr>
  </w:style>
  <w:style w:type="paragraph" w:styleId="14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sz w:val="32"/>
      <w:szCs w:val="20"/>
    </w:rPr>
  </w:style>
  <w:style w:type="paragraph" w:styleId="15">
    <w:name w:val="Subtitle"/>
    <w:basedOn w:val="1"/>
    <w:next w:val="1"/>
    <w:link w:val="32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3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</w:rPr>
  </w:style>
  <w:style w:type="character" w:styleId="21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2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customStyle="1" w:styleId="23">
    <w:name w:val="标题 6 字符"/>
    <w:basedOn w:val="19"/>
    <w:link w:val="7"/>
    <w:semiHidden/>
    <w:qFormat/>
    <w:uiPriority w:val="9"/>
    <w:rPr>
      <w:rFonts w:cstheme="majorBidi"/>
      <w:b/>
      <w:bCs/>
      <w:color w:val="2E75B6" w:themeColor="accent1" w:themeShade="BF"/>
    </w:rPr>
  </w:style>
  <w:style w:type="character" w:customStyle="1" w:styleId="24">
    <w:name w:val="标题 5 字符"/>
    <w:basedOn w:val="19"/>
    <w:link w:val="6"/>
    <w:semiHidden/>
    <w:qFormat/>
    <w:uiPriority w:val="9"/>
    <w:rPr>
      <w:rFonts w:cstheme="majorBidi"/>
      <w:color w:val="2E75B6" w:themeColor="accent1" w:themeShade="BF"/>
      <w:sz w:val="24"/>
      <w:szCs w:val="24"/>
    </w:rPr>
  </w:style>
  <w:style w:type="character" w:customStyle="1" w:styleId="25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6">
    <w:name w:val="标题 4 字符"/>
    <w:basedOn w:val="19"/>
    <w:link w:val="5"/>
    <w:semiHidden/>
    <w:qFormat/>
    <w:uiPriority w:val="9"/>
    <w:rPr>
      <w:rFonts w:cstheme="majorBidi"/>
      <w:color w:val="2E75B6" w:themeColor="accent1" w:themeShade="BF"/>
      <w:sz w:val="28"/>
      <w:szCs w:val="28"/>
    </w:rPr>
  </w:style>
  <w:style w:type="character" w:customStyle="1" w:styleId="27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28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19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19"/>
    <w:qFormat/>
    <w:uiPriority w:val="21"/>
    <w:rPr>
      <w:i/>
      <w:iCs/>
      <w:color w:val="2E75B6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8">
    <w:name w:val="明显引用 字符"/>
    <w:basedOn w:val="19"/>
    <w:link w:val="37"/>
    <w:qFormat/>
    <w:uiPriority w:val="30"/>
    <w:rPr>
      <w:i/>
      <w:iCs/>
      <w:color w:val="2E75B6" w:themeColor="accent1" w:themeShade="BF"/>
    </w:rPr>
  </w:style>
  <w:style w:type="character" w:customStyle="1" w:styleId="39">
    <w:name w:val="明显参考1"/>
    <w:basedOn w:val="19"/>
    <w:qFormat/>
    <w:uiPriority w:val="32"/>
    <w:rPr>
      <w:b/>
      <w:bCs/>
      <w:smallCaps/>
      <w:color w:val="2E75B6" w:themeColor="accent1" w:themeShade="BF"/>
      <w:spacing w:val="5"/>
    </w:rPr>
  </w:style>
  <w:style w:type="paragraph" w:customStyle="1" w:styleId="4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1">
    <w:name w:val="font11"/>
    <w:basedOn w:val="19"/>
    <w:qFormat/>
    <w:uiPriority w:val="0"/>
    <w:rPr>
      <w:rFonts w:hint="eastAsia" w:ascii="等线" w:hAnsi="等线" w:eastAsia="等线" w:cs="等线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3686</Words>
  <Characters>3919</Characters>
  <Lines>28</Lines>
  <Paragraphs>8</Paragraphs>
  <TotalTime>2</TotalTime>
  <ScaleCrop>false</ScaleCrop>
  <LinksUpToDate>false</LinksUpToDate>
  <CharactersWithSpaces>4011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2026-06-30T10:16:00Z</dcterms:created>
  <dc:creator>User</dc:creator>
  <cp:lastModifiedBy>yuan</cp:lastModifiedBy>
  <dcterms:modified xsi:type="dcterms:W3CDTF">2026-08-05T06:49:25Z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eyJoZGlkIjoiMzIzMWQ3YzdhMjQ3ZjdmMTNiZWVkMmE4OTNjMWI2NjAiLCJ1c2VySWQiOiI2NjU5NzMyMDYifQ==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B24B2D5FE6C34724BC32A39883716073_13</vt:lpwstr>
  </property>
</Properties>
</file>