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601FEE">
      <w:pPr>
        <w:rPr>
          <w:b/>
          <w:color w:val="000000" w:themeColor="text1"/>
          <w:sz w:val="30"/>
          <w:szCs w:val="30"/>
          <w14:textFill>
            <w14:solidFill>
              <w14:schemeClr w14:val="tx1"/>
            </w14:solidFill>
          </w14:textFill>
        </w:rPr>
      </w:pPr>
    </w:p>
    <w:p w14:paraId="0746709D">
      <w:pPr>
        <w:spacing w:line="440" w:lineRule="exact"/>
        <w:ind w:firstLine="723" w:firstLineChars="200"/>
        <w:jc w:val="center"/>
        <w:rPr>
          <w:rFonts w:ascii="宋体" w:hAnsi="宋体" w:cs="宋体"/>
          <w:b/>
          <w:color w:val="000000" w:themeColor="text1"/>
          <w:sz w:val="36"/>
          <w:szCs w:val="36"/>
          <w14:textFill>
            <w14:solidFill>
              <w14:schemeClr w14:val="tx1"/>
            </w14:solidFill>
          </w14:textFill>
        </w:rPr>
      </w:pPr>
      <w:bookmarkStart w:id="0" w:name="_GoBack"/>
      <w:bookmarkEnd w:id="0"/>
      <w:r>
        <w:rPr>
          <w:rFonts w:hint="eastAsia" w:ascii="宋体" w:hAnsi="宋体" w:cs="宋体"/>
          <w:b/>
          <w:color w:val="000000" w:themeColor="text1"/>
          <w:sz w:val="36"/>
          <w:szCs w:val="36"/>
          <w14:textFill>
            <w14:solidFill>
              <w14:schemeClr w14:val="tx1"/>
            </w14:solidFill>
          </w14:textFill>
        </w:rPr>
        <w:t>项目需求书</w:t>
      </w:r>
    </w:p>
    <w:p w14:paraId="7B90A126">
      <w:pPr>
        <w:ind w:firstLine="562" w:firstLineChars="200"/>
        <w:rPr>
          <w:rFonts w:ascii="仿宋" w:hAnsi="仿宋" w:eastAsia="仿宋"/>
          <w:b/>
          <w:bCs/>
          <w:sz w:val="28"/>
          <w:szCs w:val="28"/>
        </w:rPr>
      </w:pPr>
      <w:r>
        <w:rPr>
          <w:rFonts w:hint="eastAsia" w:ascii="仿宋" w:hAnsi="仿宋" w:eastAsia="仿宋"/>
          <w:b/>
          <w:bCs/>
          <w:sz w:val="28"/>
          <w:szCs w:val="28"/>
        </w:rPr>
        <w:t>一、资格条件</w:t>
      </w:r>
    </w:p>
    <w:p w14:paraId="09A2C48E">
      <w:pPr>
        <w:spacing w:line="400" w:lineRule="exact"/>
        <w:ind w:firstLine="560" w:firstLineChars="200"/>
        <w:rPr>
          <w:rFonts w:hint="eastAsia" w:ascii="仿宋" w:hAnsi="仿宋" w:eastAsia="仿宋"/>
          <w:sz w:val="28"/>
          <w:szCs w:val="28"/>
        </w:rPr>
      </w:pPr>
      <w:r>
        <w:rPr>
          <w:rFonts w:hint="eastAsia" w:ascii="仿宋" w:hAnsi="仿宋" w:eastAsia="仿宋"/>
          <w:sz w:val="28"/>
          <w:szCs w:val="28"/>
        </w:rPr>
        <w:t>1、满足《中华人民共和国政府采购法》第二十二条规定。</w:t>
      </w:r>
    </w:p>
    <w:p w14:paraId="3D6203DC">
      <w:pPr>
        <w:ind w:firstLine="560" w:firstLineChars="200"/>
        <w:rPr>
          <w:rFonts w:ascii="仿宋" w:hAnsi="仿宋" w:eastAsia="仿宋"/>
          <w:sz w:val="28"/>
          <w:szCs w:val="28"/>
        </w:rPr>
      </w:pPr>
      <w:r>
        <w:rPr>
          <w:rFonts w:hint="eastAsia" w:ascii="仿宋" w:hAnsi="仿宋" w:eastAsia="仿宋"/>
          <w:sz w:val="28"/>
          <w:szCs w:val="28"/>
          <w:lang w:val="en-US" w:eastAsia="zh-CN"/>
        </w:rPr>
        <w:t>2</w:t>
      </w:r>
      <w:r>
        <w:rPr>
          <w:rFonts w:hint="eastAsia" w:ascii="仿宋" w:hAnsi="仿宋" w:eastAsia="仿宋"/>
          <w:sz w:val="28"/>
          <w:szCs w:val="28"/>
        </w:rPr>
        <w:t>、本项目不接受联合体。</w:t>
      </w:r>
    </w:p>
    <w:p w14:paraId="7A49F673">
      <w:pPr>
        <w:ind w:firstLine="562" w:firstLineChars="200"/>
        <w:rPr>
          <w:rFonts w:ascii="仿宋" w:hAnsi="仿宋" w:eastAsia="仿宋"/>
          <w:b/>
          <w:bCs/>
          <w:sz w:val="28"/>
          <w:szCs w:val="28"/>
        </w:rPr>
      </w:pPr>
      <w:r>
        <w:rPr>
          <w:rFonts w:hint="eastAsia" w:ascii="仿宋" w:hAnsi="仿宋" w:eastAsia="仿宋"/>
          <w:b/>
          <w:bCs/>
          <w:sz w:val="28"/>
          <w:szCs w:val="28"/>
        </w:rPr>
        <w:t>二、项目预算</w:t>
      </w:r>
    </w:p>
    <w:p w14:paraId="02AE4147">
      <w:pPr>
        <w:ind w:firstLine="560" w:firstLineChars="200"/>
        <w:rPr>
          <w:rFonts w:ascii="仿宋" w:hAnsi="仿宋" w:eastAsia="仿宋"/>
          <w:sz w:val="28"/>
          <w:szCs w:val="28"/>
        </w:rPr>
      </w:pPr>
      <w:r>
        <w:rPr>
          <w:rFonts w:hint="eastAsia" w:ascii="仿宋" w:hAnsi="仿宋" w:eastAsia="仿宋"/>
          <w:sz w:val="28"/>
          <w:szCs w:val="28"/>
        </w:rPr>
        <w:t>项目预算金额</w:t>
      </w:r>
      <w:r>
        <w:rPr>
          <w:rFonts w:hint="eastAsia" w:ascii="仿宋" w:hAnsi="仿宋" w:eastAsia="仿宋"/>
          <w:sz w:val="28"/>
          <w:szCs w:val="28"/>
          <w:lang w:val="en-US" w:eastAsia="zh-CN"/>
        </w:rPr>
        <w:t>16</w:t>
      </w:r>
      <w:r>
        <w:rPr>
          <w:rFonts w:hint="eastAsia" w:ascii="仿宋" w:hAnsi="仿宋" w:eastAsia="仿宋"/>
          <w:sz w:val="28"/>
          <w:szCs w:val="28"/>
        </w:rPr>
        <w:t>万元。</w:t>
      </w:r>
    </w:p>
    <w:p w14:paraId="1EAF644F">
      <w:pPr>
        <w:ind w:firstLine="562" w:firstLineChars="200"/>
        <w:rPr>
          <w:rFonts w:hint="default" w:ascii="仿宋" w:hAnsi="仿宋" w:eastAsia="仿宋"/>
          <w:b/>
          <w:bCs/>
          <w:sz w:val="28"/>
          <w:szCs w:val="28"/>
          <w:lang w:val="en-US" w:eastAsia="zh-CN"/>
        </w:rPr>
      </w:pPr>
      <w:r>
        <w:rPr>
          <w:rFonts w:hint="eastAsia" w:ascii="仿宋" w:hAnsi="仿宋" w:eastAsia="仿宋"/>
          <w:b/>
          <w:bCs/>
          <w:sz w:val="28"/>
          <w:szCs w:val="28"/>
        </w:rPr>
        <w:t>三、</w:t>
      </w:r>
      <w:r>
        <w:rPr>
          <w:rFonts w:hint="eastAsia" w:ascii="仿宋" w:hAnsi="仿宋" w:eastAsia="仿宋"/>
          <w:b/>
          <w:bCs/>
          <w:sz w:val="28"/>
          <w:szCs w:val="28"/>
          <w:lang w:val="en-US" w:eastAsia="zh-CN"/>
        </w:rPr>
        <w:t>项目概况</w:t>
      </w:r>
    </w:p>
    <w:p w14:paraId="3A75A398">
      <w:pPr>
        <w:ind w:firstLine="640" w:firstLineChars="200"/>
        <w:rPr>
          <w:rFonts w:hint="eastAsia" w:ascii="仿宋" w:hAnsi="仿宋" w:eastAsia="仿宋"/>
          <w:sz w:val="28"/>
          <w:szCs w:val="28"/>
        </w:rPr>
      </w:pPr>
      <w:r>
        <w:rPr>
          <w:rFonts w:hint="eastAsia" w:ascii="仿宋_GB2312" w:hAnsi="Times New Roman" w:eastAsia="仿宋_GB2312" w:cs="Times New Roman"/>
          <w:kern w:val="2"/>
          <w:sz w:val="32"/>
          <w:szCs w:val="32"/>
          <w:lang w:val="en-US" w:eastAsia="zh-CN" w:bidi="ar-SA"/>
          <w14:ligatures w14:val="none"/>
        </w:rPr>
        <w:t>男科实验室、检验科、12楼手术室、消控室现有UPS设备共4套，启用时间为2021年5月。根据《电力设备预防性试验规程》（DL/T 596-2021）及《不间断电源（UPS）运行维护规范》（GB/T 29319-2023）相关要求，UPS蓄电池组的定期检测与更换是确保电力系统可靠运行的重要保障。为确保重点区域电力系统的稳定运行，消除安全隐患，现拟对4套UPS设备的蓄电池组进行统一更换。</w:t>
      </w:r>
    </w:p>
    <w:p w14:paraId="705F724C">
      <w:pPr>
        <w:ind w:firstLine="562" w:firstLineChars="200"/>
        <w:rPr>
          <w:rFonts w:hint="default" w:ascii="仿宋" w:hAnsi="仿宋" w:eastAsia="仿宋"/>
          <w:b/>
          <w:bCs/>
          <w:sz w:val="28"/>
          <w:szCs w:val="28"/>
          <w:lang w:val="en-US" w:eastAsia="zh-CN"/>
        </w:rPr>
      </w:pPr>
      <w:r>
        <w:rPr>
          <w:rFonts w:hint="eastAsia" w:ascii="仿宋" w:hAnsi="仿宋" w:eastAsia="仿宋"/>
          <w:b/>
          <w:bCs/>
          <w:sz w:val="28"/>
          <w:szCs w:val="28"/>
          <w:lang w:val="en-US" w:eastAsia="zh-CN"/>
        </w:rPr>
        <w:t>四、服务要求</w:t>
      </w:r>
    </w:p>
    <w:p w14:paraId="76F4CEF7">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供货产品的生产批次为近3个月且须为正规渠道产品，需提供产品泰尔认证证书复印件及同型号产品泰尔检测报告复印件加盖厂家公章。质保期≥3年，质保期间每年度出具二份电池检测报告（每半年一次）与培训相关人员（每半年一次），并形成培训记录。所有的旧电池需提供回收，并折算价格，新电池提供更换服务。所提供的产品需满足国家《通信用阀控式铅酸蓄电池》(YD/T 799-2024)。电池具体需求及安装位置详见附件一。</w:t>
      </w:r>
    </w:p>
    <w:p w14:paraId="7FD9D9EB">
      <w:pPr>
        <w:ind w:firstLine="560" w:firstLineChars="200"/>
        <w:rPr>
          <w:rFonts w:hint="eastAsia" w:ascii="仿宋" w:hAnsi="仿宋" w:eastAsia="仿宋"/>
          <w:sz w:val="28"/>
          <w:szCs w:val="28"/>
        </w:rPr>
      </w:pPr>
    </w:p>
    <w:p w14:paraId="279CC740">
      <w:pPr>
        <w:ind w:firstLine="560" w:firstLineChars="200"/>
        <w:rPr>
          <w:rFonts w:hint="eastAsia" w:ascii="仿宋" w:hAnsi="仿宋" w:eastAsia="仿宋"/>
          <w:sz w:val="28"/>
          <w:szCs w:val="28"/>
        </w:rPr>
      </w:pPr>
    </w:p>
    <w:p w14:paraId="35D2C6D7">
      <w:pPr>
        <w:numPr>
          <w:ilvl w:val="0"/>
          <w:numId w:val="0"/>
        </w:numPr>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五、商务要求</w:t>
      </w:r>
    </w:p>
    <w:tbl>
      <w:tblPr>
        <w:tblStyle w:val="3"/>
        <w:tblW w:w="9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1"/>
        <w:gridCol w:w="6947"/>
      </w:tblGrid>
      <w:tr w14:paraId="6833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31" w:type="dxa"/>
            <w:tcBorders>
              <w:top w:val="single" w:color="auto" w:sz="4" w:space="0"/>
              <w:left w:val="single" w:color="auto" w:sz="4" w:space="0"/>
              <w:bottom w:val="single" w:color="auto" w:sz="4" w:space="0"/>
              <w:right w:val="single" w:color="auto" w:sz="4" w:space="0"/>
            </w:tcBorders>
            <w:noWrap w:val="0"/>
            <w:vAlign w:val="center"/>
          </w:tcPr>
          <w:p w14:paraId="6634C8EA">
            <w:pPr>
              <w:jc w:val="left"/>
              <w:rPr>
                <w:rFonts w:hint="eastAsia" w:ascii="仿宋" w:hAnsi="仿宋" w:eastAsia="仿宋"/>
                <w:sz w:val="28"/>
                <w:szCs w:val="28"/>
                <w:lang w:val="en-US" w:eastAsia="zh-CN"/>
              </w:rPr>
            </w:pPr>
            <w:r>
              <w:rPr>
                <w:rFonts w:hint="eastAsia" w:ascii="仿宋" w:hAnsi="仿宋" w:eastAsia="仿宋"/>
                <w:sz w:val="28"/>
                <w:szCs w:val="28"/>
                <w:lang w:val="en-US" w:eastAsia="zh-CN"/>
              </w:rPr>
              <w:t>（一）质量要求</w:t>
            </w:r>
          </w:p>
          <w:p w14:paraId="1C8D7174">
            <w:pPr>
              <w:ind w:firstLine="560" w:firstLineChars="200"/>
              <w:jc w:val="left"/>
              <w:rPr>
                <w:rFonts w:hint="eastAsia" w:ascii="仿宋" w:hAnsi="仿宋" w:eastAsia="仿宋"/>
                <w:sz w:val="28"/>
                <w:szCs w:val="28"/>
                <w:lang w:val="en-US" w:eastAsia="zh-CN"/>
              </w:rPr>
            </w:pPr>
          </w:p>
        </w:tc>
        <w:tc>
          <w:tcPr>
            <w:tcW w:w="6947" w:type="dxa"/>
            <w:tcBorders>
              <w:top w:val="single" w:color="auto" w:sz="4" w:space="0"/>
              <w:left w:val="single" w:color="auto" w:sz="4" w:space="0"/>
              <w:bottom w:val="single" w:color="auto" w:sz="4" w:space="0"/>
              <w:right w:val="single" w:color="auto" w:sz="4" w:space="0"/>
            </w:tcBorders>
            <w:noWrap w:val="0"/>
            <w:vAlign w:val="center"/>
          </w:tcPr>
          <w:p w14:paraId="491A6993">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货品质量符合国家现行有关技术规范和质量检验标准、行业标准以及本项目技术参数规定的标准</w:t>
            </w:r>
          </w:p>
        </w:tc>
      </w:tr>
      <w:tr w14:paraId="5E8A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31" w:type="dxa"/>
            <w:tcBorders>
              <w:top w:val="single" w:color="auto" w:sz="4" w:space="0"/>
              <w:left w:val="single" w:color="auto" w:sz="4" w:space="0"/>
              <w:bottom w:val="single" w:color="auto" w:sz="4" w:space="0"/>
              <w:right w:val="single" w:color="auto" w:sz="4" w:space="0"/>
            </w:tcBorders>
            <w:noWrap w:val="0"/>
            <w:vAlign w:val="center"/>
          </w:tcPr>
          <w:p w14:paraId="0FF94F99">
            <w:pPr>
              <w:jc w:val="left"/>
              <w:rPr>
                <w:rFonts w:hint="eastAsia" w:ascii="仿宋" w:hAnsi="仿宋" w:eastAsia="仿宋"/>
                <w:sz w:val="28"/>
                <w:szCs w:val="28"/>
                <w:lang w:val="en-US" w:eastAsia="zh-CN"/>
              </w:rPr>
            </w:pPr>
            <w:r>
              <w:rPr>
                <w:rFonts w:hint="eastAsia" w:ascii="仿宋" w:hAnsi="仿宋" w:eastAsia="仿宋"/>
                <w:sz w:val="28"/>
                <w:szCs w:val="28"/>
                <w:lang w:val="en-US" w:eastAsia="zh-CN"/>
              </w:rPr>
              <w:t>（二）验收方式</w:t>
            </w:r>
          </w:p>
        </w:tc>
        <w:tc>
          <w:tcPr>
            <w:tcW w:w="6947" w:type="dxa"/>
            <w:tcBorders>
              <w:top w:val="single" w:color="auto" w:sz="4" w:space="0"/>
              <w:left w:val="single" w:color="auto" w:sz="4" w:space="0"/>
              <w:bottom w:val="single" w:color="auto" w:sz="4" w:space="0"/>
              <w:right w:val="single" w:color="auto" w:sz="4" w:space="0"/>
            </w:tcBorders>
            <w:noWrap w:val="0"/>
            <w:vAlign w:val="center"/>
          </w:tcPr>
          <w:p w14:paraId="676AF7DF">
            <w:pPr>
              <w:ind w:firstLine="560" w:firstLineChars="200"/>
              <w:rPr>
                <w:rFonts w:hint="default" w:ascii="仿宋" w:hAnsi="仿宋" w:eastAsia="仿宋"/>
                <w:sz w:val="28"/>
                <w:szCs w:val="28"/>
                <w:lang w:val="en-US" w:eastAsia="zh-CN"/>
              </w:rPr>
            </w:pPr>
            <w:r>
              <w:rPr>
                <w:rFonts w:hint="eastAsia" w:ascii="仿宋" w:hAnsi="仿宋" w:eastAsia="仿宋"/>
                <w:sz w:val="28"/>
                <w:szCs w:val="28"/>
                <w:lang w:val="en-US" w:eastAsia="zh-CN"/>
              </w:rPr>
              <w:t>货到现场，清点数量、规格型号、生产日期，待安装并UPS设备检测后十五个工作日内验收</w:t>
            </w:r>
          </w:p>
        </w:tc>
      </w:tr>
      <w:tr w14:paraId="7D81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9" w:hRule="atLeast"/>
          <w:jc w:val="center"/>
        </w:trPr>
        <w:tc>
          <w:tcPr>
            <w:tcW w:w="2331" w:type="dxa"/>
            <w:tcBorders>
              <w:top w:val="single" w:color="auto" w:sz="4" w:space="0"/>
              <w:left w:val="single" w:color="auto" w:sz="4" w:space="0"/>
              <w:bottom w:val="single" w:color="auto" w:sz="4" w:space="0"/>
              <w:right w:val="single" w:color="auto" w:sz="4" w:space="0"/>
            </w:tcBorders>
            <w:noWrap w:val="0"/>
            <w:vAlign w:val="center"/>
          </w:tcPr>
          <w:p w14:paraId="4D437447">
            <w:pPr>
              <w:jc w:val="left"/>
              <w:rPr>
                <w:rFonts w:hint="eastAsia" w:ascii="仿宋" w:hAnsi="仿宋" w:eastAsia="仿宋"/>
                <w:sz w:val="28"/>
                <w:szCs w:val="28"/>
                <w:lang w:val="en-US" w:eastAsia="zh-CN"/>
              </w:rPr>
            </w:pPr>
            <w:r>
              <w:rPr>
                <w:rFonts w:hint="eastAsia" w:ascii="仿宋" w:hAnsi="仿宋" w:eastAsia="仿宋"/>
                <w:sz w:val="28"/>
                <w:szCs w:val="28"/>
                <w:lang w:val="en-US" w:eastAsia="zh-CN"/>
              </w:rPr>
              <w:t>（三）质保期限</w:t>
            </w:r>
          </w:p>
          <w:p w14:paraId="027EE50D">
            <w:pPr>
              <w:ind w:firstLine="560" w:firstLineChars="200"/>
              <w:jc w:val="left"/>
              <w:rPr>
                <w:rFonts w:hint="eastAsia" w:ascii="仿宋" w:hAnsi="仿宋" w:eastAsia="仿宋"/>
                <w:sz w:val="28"/>
                <w:szCs w:val="28"/>
                <w:lang w:val="en-US" w:eastAsia="zh-CN"/>
              </w:rPr>
            </w:pPr>
          </w:p>
        </w:tc>
        <w:tc>
          <w:tcPr>
            <w:tcW w:w="6947" w:type="dxa"/>
            <w:tcBorders>
              <w:top w:val="single" w:color="auto" w:sz="4" w:space="0"/>
              <w:left w:val="single" w:color="auto" w:sz="4" w:space="0"/>
              <w:bottom w:val="single" w:color="auto" w:sz="4" w:space="0"/>
              <w:right w:val="single" w:color="auto" w:sz="4" w:space="0"/>
            </w:tcBorders>
            <w:noWrap w:val="0"/>
            <w:vAlign w:val="center"/>
          </w:tcPr>
          <w:p w14:paraId="25756FF3">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质保期限3年，自货物安装之日起计算。在产品质量保证期间，如商品出现非人为质量问题，乙方均负责提供免费调换，并承担由此产生的运费、安装费等所有费用。</w:t>
            </w:r>
          </w:p>
        </w:tc>
      </w:tr>
      <w:tr w14:paraId="70A28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31" w:type="dxa"/>
            <w:tcBorders>
              <w:top w:val="single" w:color="auto" w:sz="4" w:space="0"/>
              <w:left w:val="single" w:color="auto" w:sz="4" w:space="0"/>
              <w:bottom w:val="single" w:color="auto" w:sz="4" w:space="0"/>
              <w:right w:val="single" w:color="auto" w:sz="4" w:space="0"/>
            </w:tcBorders>
            <w:noWrap w:val="0"/>
            <w:vAlign w:val="center"/>
          </w:tcPr>
          <w:p w14:paraId="3A091004">
            <w:pPr>
              <w:jc w:val="left"/>
              <w:rPr>
                <w:rFonts w:hint="eastAsia" w:ascii="仿宋" w:hAnsi="仿宋" w:eastAsia="仿宋"/>
                <w:sz w:val="28"/>
                <w:szCs w:val="28"/>
                <w:lang w:val="en-US" w:eastAsia="zh-CN"/>
              </w:rPr>
            </w:pPr>
            <w:r>
              <w:rPr>
                <w:rFonts w:hint="eastAsia" w:ascii="仿宋" w:hAnsi="仿宋" w:eastAsia="仿宋"/>
                <w:sz w:val="28"/>
                <w:szCs w:val="28"/>
                <w:lang w:val="en-US" w:eastAsia="zh-CN"/>
              </w:rPr>
              <w:t>（四）供货地点</w:t>
            </w:r>
          </w:p>
        </w:tc>
        <w:tc>
          <w:tcPr>
            <w:tcW w:w="6947" w:type="dxa"/>
            <w:tcBorders>
              <w:top w:val="single" w:color="auto" w:sz="4" w:space="0"/>
              <w:left w:val="single" w:color="auto" w:sz="4" w:space="0"/>
              <w:bottom w:val="single" w:color="auto" w:sz="4" w:space="0"/>
              <w:right w:val="single" w:color="auto" w:sz="4" w:space="0"/>
            </w:tcBorders>
            <w:noWrap w:val="0"/>
            <w:vAlign w:val="center"/>
          </w:tcPr>
          <w:p w14:paraId="3E9C7DF1">
            <w:pPr>
              <w:ind w:firstLine="560" w:firstLineChars="200"/>
              <w:rPr>
                <w:rFonts w:hint="default" w:ascii="仿宋" w:hAnsi="仿宋" w:eastAsia="仿宋"/>
                <w:sz w:val="28"/>
                <w:szCs w:val="28"/>
                <w:lang w:val="en-US" w:eastAsia="zh-CN"/>
              </w:rPr>
            </w:pPr>
            <w:r>
              <w:rPr>
                <w:rFonts w:hint="eastAsia" w:ascii="仿宋" w:hAnsi="仿宋" w:eastAsia="仿宋"/>
                <w:sz w:val="28"/>
                <w:szCs w:val="28"/>
                <w:lang w:val="en-US" w:eastAsia="zh-CN"/>
              </w:rPr>
              <w:t>南宁市青秀区龙源路3号广西壮族自治区生殖医院</w:t>
            </w:r>
          </w:p>
        </w:tc>
      </w:tr>
      <w:tr w14:paraId="31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31" w:type="dxa"/>
            <w:tcBorders>
              <w:top w:val="single" w:color="auto" w:sz="4" w:space="0"/>
              <w:left w:val="single" w:color="auto" w:sz="4" w:space="0"/>
              <w:bottom w:val="single" w:color="auto" w:sz="4" w:space="0"/>
              <w:right w:val="single" w:color="auto" w:sz="4" w:space="0"/>
            </w:tcBorders>
            <w:noWrap w:val="0"/>
            <w:vAlign w:val="center"/>
          </w:tcPr>
          <w:p w14:paraId="5E12900D">
            <w:pPr>
              <w:jc w:val="left"/>
              <w:rPr>
                <w:rFonts w:hint="eastAsia" w:ascii="仿宋" w:hAnsi="仿宋" w:eastAsia="仿宋"/>
                <w:sz w:val="28"/>
                <w:szCs w:val="28"/>
                <w:lang w:val="en-US" w:eastAsia="zh-CN"/>
              </w:rPr>
            </w:pPr>
            <w:r>
              <w:rPr>
                <w:rFonts w:hint="eastAsia" w:ascii="仿宋" w:hAnsi="仿宋" w:eastAsia="仿宋"/>
                <w:sz w:val="28"/>
                <w:szCs w:val="28"/>
                <w:lang w:val="en-US" w:eastAsia="zh-CN"/>
              </w:rPr>
              <w:t>（五）违约责任</w:t>
            </w:r>
          </w:p>
          <w:p w14:paraId="48E798FA">
            <w:pPr>
              <w:ind w:firstLine="560" w:firstLineChars="200"/>
              <w:jc w:val="left"/>
              <w:rPr>
                <w:rFonts w:hint="eastAsia" w:ascii="仿宋" w:hAnsi="仿宋" w:eastAsia="仿宋"/>
                <w:sz w:val="28"/>
                <w:szCs w:val="28"/>
                <w:lang w:val="en-US" w:eastAsia="zh-CN"/>
              </w:rPr>
            </w:pPr>
          </w:p>
        </w:tc>
        <w:tc>
          <w:tcPr>
            <w:tcW w:w="6947" w:type="dxa"/>
            <w:tcBorders>
              <w:top w:val="single" w:color="auto" w:sz="4" w:space="0"/>
              <w:left w:val="single" w:color="auto" w:sz="4" w:space="0"/>
              <w:bottom w:val="single" w:color="auto" w:sz="4" w:space="0"/>
              <w:right w:val="single" w:color="auto" w:sz="4" w:space="0"/>
            </w:tcBorders>
            <w:noWrap w:val="0"/>
            <w:vAlign w:val="center"/>
          </w:tcPr>
          <w:p w14:paraId="285D820F">
            <w:pPr>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1.中标人不能交货的，需偿付不能交货部分货款的 1 %的违约金。</w:t>
            </w:r>
          </w:p>
          <w:p w14:paraId="3D5304BA">
            <w:pPr>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2中标人逾期交货的，每逾期一个日历日，由中标人按逾期交货部分货款0.1%偿付违约金。逾期交货超过七个日历日后，按不能交货处理。</w:t>
            </w:r>
          </w:p>
          <w:p w14:paraId="00891A31">
            <w:pPr>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3中标人所交付产品、工程或服务不符合其投标承诺的，或在投标阶段为了中标而盲目虚假承诺、低价恶性竞争，在履约阶段则通过偷工减料、在产品中掺杂、掺假，以假充真，以次充好或者以不合格产品冒充合格产品的，由中标人负责包修、包换或退货，或将没收履约保证金，且需偿付验收不合格部分货款的1%的违约金，同时将报相关部门进行依法处理。</w:t>
            </w:r>
          </w:p>
          <w:p w14:paraId="3F51CDC1">
            <w:pPr>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4针对中标人不能交货、逾期交货或所交付产品验收不合格等情形，采购人有权终止合同。</w:t>
            </w:r>
          </w:p>
          <w:p w14:paraId="2EF38D62">
            <w:pPr>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5违约金从履约保证金中扣除，不足部分由中标人偿付。</w:t>
            </w:r>
          </w:p>
          <w:p w14:paraId="5233215F">
            <w:pPr>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6中标人应保证采购人在使用该货物或其任何一部分时，免受第三方提出的侵犯其专利权、商标权、著作权或其他知识产权的起诉。中标人保证所提供软件的合法性，所产生的任何知识产权纠纷与采购人无关，若因知识产权纠纷造成的一切损害赔偿及损失由中标人承担，包括但不限于实际损失、预期损失和对方要求赔偿损失及支出的律师费、交通费和差旅费等。</w:t>
            </w:r>
          </w:p>
          <w:p w14:paraId="1D2884F9">
            <w:pPr>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7中标人在承担上述一项或多项违约责任后，仍需继续履行合同规定的义务（采购人另有要求的除外）。采购人未能及时追究中标人的任何一项违约责任并不代表采购人放弃追究中标人该项或其他违约责任。</w:t>
            </w:r>
          </w:p>
          <w:p w14:paraId="1FA5B493">
            <w:pPr>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8验收合格后，采购人逾期付款，应向中标人每日支付合同总价千分之三的违约金。如遇法定节假日或财政拨款等非因甲方原因造成甲方付款延迟，甲方不对此承担任何责任。</w:t>
            </w:r>
          </w:p>
        </w:tc>
      </w:tr>
      <w:tr w14:paraId="6033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31" w:type="dxa"/>
            <w:tcBorders>
              <w:top w:val="single" w:color="auto" w:sz="4" w:space="0"/>
              <w:left w:val="single" w:color="auto" w:sz="4" w:space="0"/>
              <w:bottom w:val="single" w:color="auto" w:sz="4" w:space="0"/>
              <w:right w:val="single" w:color="auto" w:sz="4" w:space="0"/>
            </w:tcBorders>
            <w:noWrap w:val="0"/>
            <w:vAlign w:val="center"/>
          </w:tcPr>
          <w:p w14:paraId="4E7A8CC6">
            <w:pPr>
              <w:jc w:val="left"/>
              <w:rPr>
                <w:rFonts w:hint="eastAsia" w:ascii="仿宋" w:hAnsi="仿宋" w:eastAsia="仿宋"/>
                <w:sz w:val="28"/>
                <w:szCs w:val="28"/>
                <w:lang w:val="en-US" w:eastAsia="zh-CN"/>
              </w:rPr>
            </w:pPr>
            <w:r>
              <w:rPr>
                <w:rFonts w:hint="eastAsia" w:ascii="仿宋" w:hAnsi="仿宋" w:eastAsia="仿宋"/>
                <w:sz w:val="28"/>
                <w:szCs w:val="28"/>
                <w:lang w:val="en-US" w:eastAsia="zh-CN"/>
              </w:rPr>
              <w:t>（六）付款方式</w:t>
            </w:r>
          </w:p>
        </w:tc>
        <w:tc>
          <w:tcPr>
            <w:tcW w:w="6947" w:type="dxa"/>
            <w:tcBorders>
              <w:top w:val="single" w:color="auto" w:sz="4" w:space="0"/>
              <w:left w:val="single" w:color="auto" w:sz="4" w:space="0"/>
              <w:bottom w:val="single" w:color="auto" w:sz="4" w:space="0"/>
              <w:right w:val="single" w:color="auto" w:sz="4" w:space="0"/>
            </w:tcBorders>
            <w:noWrap w:val="0"/>
            <w:vAlign w:val="center"/>
          </w:tcPr>
          <w:p w14:paraId="6B80D22E">
            <w:pPr>
              <w:ind w:firstLine="560" w:firstLineChars="200"/>
              <w:rPr>
                <w:rFonts w:hint="default" w:ascii="仿宋" w:hAnsi="仿宋" w:eastAsia="仿宋" w:cs="Times New Roman"/>
                <w:sz w:val="28"/>
                <w:szCs w:val="28"/>
                <w:lang w:val="en-US" w:eastAsia="zh-CN"/>
              </w:rPr>
            </w:pPr>
            <w:r>
              <w:rPr>
                <w:rFonts w:hint="eastAsia" w:ascii="仿宋" w:hAnsi="仿宋" w:eastAsia="仿宋" w:cs="Times New Roman"/>
                <w:sz w:val="28"/>
                <w:szCs w:val="28"/>
                <w:lang w:val="en-US" w:eastAsia="zh-CN"/>
              </w:rPr>
              <w:t>本项目无预付款，项目验收合格后，在收到发票的20个工作日内支付全部款项。</w:t>
            </w:r>
          </w:p>
        </w:tc>
      </w:tr>
      <w:tr w14:paraId="46C3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331" w:type="dxa"/>
            <w:tcBorders>
              <w:top w:val="single" w:color="auto" w:sz="4" w:space="0"/>
              <w:left w:val="single" w:color="auto" w:sz="4" w:space="0"/>
              <w:bottom w:val="single" w:color="auto" w:sz="4" w:space="0"/>
              <w:right w:val="single" w:color="auto" w:sz="4" w:space="0"/>
            </w:tcBorders>
            <w:noWrap w:val="0"/>
            <w:vAlign w:val="center"/>
          </w:tcPr>
          <w:p w14:paraId="538552F2">
            <w:pPr>
              <w:jc w:val="left"/>
              <w:rPr>
                <w:rFonts w:hint="eastAsia" w:ascii="仿宋" w:hAnsi="仿宋" w:eastAsia="仿宋"/>
                <w:sz w:val="28"/>
                <w:szCs w:val="28"/>
                <w:lang w:val="en-US" w:eastAsia="zh-CN"/>
              </w:rPr>
            </w:pPr>
            <w:r>
              <w:rPr>
                <w:rFonts w:hint="eastAsia" w:ascii="仿宋" w:hAnsi="仿宋" w:eastAsia="仿宋"/>
                <w:sz w:val="28"/>
                <w:szCs w:val="28"/>
                <w:lang w:val="en-US" w:eastAsia="zh-CN"/>
              </w:rPr>
              <w:t>（七）报价要求</w:t>
            </w:r>
          </w:p>
          <w:p w14:paraId="56C9D885">
            <w:pPr>
              <w:ind w:firstLine="560" w:firstLineChars="200"/>
              <w:jc w:val="left"/>
              <w:rPr>
                <w:rFonts w:hint="eastAsia" w:ascii="仿宋" w:hAnsi="仿宋" w:eastAsia="仿宋"/>
                <w:sz w:val="28"/>
                <w:szCs w:val="28"/>
                <w:lang w:val="en-US" w:eastAsia="zh-CN"/>
              </w:rPr>
            </w:pPr>
          </w:p>
        </w:tc>
        <w:tc>
          <w:tcPr>
            <w:tcW w:w="6947" w:type="dxa"/>
            <w:tcBorders>
              <w:top w:val="single" w:color="auto" w:sz="4" w:space="0"/>
              <w:left w:val="single" w:color="auto" w:sz="4" w:space="0"/>
              <w:bottom w:val="single" w:color="auto" w:sz="4" w:space="0"/>
              <w:right w:val="single" w:color="auto" w:sz="4" w:space="0"/>
            </w:tcBorders>
            <w:noWrap w:val="0"/>
            <w:vAlign w:val="center"/>
          </w:tcPr>
          <w:p w14:paraId="6C120573">
            <w:pPr>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本项目采用固定总价报价方式。报价包含人工、材料、旧蓄电池折价费、检测、运输、安装、设备测试、人工搬运至安装位置及最终验收等全部工作内容。</w:t>
            </w:r>
          </w:p>
          <w:p w14:paraId="164B9CEA">
            <w:pPr>
              <w:ind w:firstLine="560" w:firstLineChars="200"/>
              <w:rPr>
                <w:rFonts w:hint="eastAsia" w:ascii="仿宋" w:hAnsi="仿宋" w:eastAsia="仿宋" w:cs="Times New Roman"/>
                <w:sz w:val="28"/>
                <w:szCs w:val="28"/>
                <w:lang w:val="en-US" w:eastAsia="zh-CN"/>
              </w:rPr>
            </w:pPr>
          </w:p>
        </w:tc>
      </w:tr>
      <w:tr w14:paraId="724E4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331" w:type="dxa"/>
            <w:tcBorders>
              <w:top w:val="single" w:color="auto" w:sz="4" w:space="0"/>
              <w:left w:val="single" w:color="auto" w:sz="4" w:space="0"/>
              <w:bottom w:val="single" w:color="auto" w:sz="4" w:space="0"/>
              <w:right w:val="single" w:color="auto" w:sz="4" w:space="0"/>
            </w:tcBorders>
            <w:noWrap w:val="0"/>
            <w:vAlign w:val="center"/>
          </w:tcPr>
          <w:p w14:paraId="7413F4CB">
            <w:pPr>
              <w:jc w:val="left"/>
              <w:rPr>
                <w:rFonts w:hint="default" w:ascii="仿宋" w:hAnsi="仿宋" w:eastAsia="仿宋"/>
                <w:sz w:val="28"/>
                <w:szCs w:val="28"/>
                <w:lang w:val="en-US" w:eastAsia="zh-CN"/>
              </w:rPr>
            </w:pPr>
            <w:r>
              <w:rPr>
                <w:rFonts w:hint="eastAsia" w:ascii="仿宋" w:hAnsi="仿宋" w:eastAsia="仿宋"/>
                <w:sz w:val="28"/>
                <w:szCs w:val="28"/>
                <w:lang w:val="en-US" w:eastAsia="zh-CN"/>
              </w:rPr>
              <w:t>（八）其他要求</w:t>
            </w:r>
          </w:p>
        </w:tc>
        <w:tc>
          <w:tcPr>
            <w:tcW w:w="6947" w:type="dxa"/>
            <w:tcBorders>
              <w:top w:val="single" w:color="auto" w:sz="4" w:space="0"/>
              <w:left w:val="single" w:color="auto" w:sz="4" w:space="0"/>
              <w:bottom w:val="single" w:color="auto" w:sz="4" w:space="0"/>
              <w:right w:val="single" w:color="auto" w:sz="4" w:space="0"/>
            </w:tcBorders>
            <w:noWrap w:val="0"/>
            <w:vAlign w:val="center"/>
          </w:tcPr>
          <w:p w14:paraId="2075724E">
            <w:pPr>
              <w:ind w:firstLine="560" w:firstLineChars="200"/>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交付周期：自合同签订日起30个日历日完成项目交付</w:t>
            </w:r>
          </w:p>
        </w:tc>
      </w:tr>
    </w:tbl>
    <w:p w14:paraId="7313F86C">
      <w:pPr>
        <w:ind w:firstLine="480" w:firstLineChars="200"/>
        <w:rPr>
          <w:rFonts w:hint="eastAsia" w:ascii="仿宋" w:hAnsi="仿宋" w:eastAsia="仿宋" w:cs="Times New Roman"/>
          <w:sz w:val="24"/>
          <w:szCs w:val="24"/>
        </w:rPr>
      </w:pPr>
    </w:p>
    <w:p w14:paraId="174280B0">
      <w:pPr>
        <w:ind w:firstLine="560" w:firstLineChars="200"/>
        <w:rPr>
          <w:rFonts w:ascii="仿宋" w:hAnsi="仿宋" w:eastAsia="仿宋"/>
          <w:sz w:val="28"/>
          <w:szCs w:val="28"/>
        </w:rPr>
      </w:pPr>
    </w:p>
    <w:p w14:paraId="1225ADD8">
      <w:pPr>
        <w:snapToGrid w:val="0"/>
        <w:spacing w:line="240" w:lineRule="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附件一：</w:t>
      </w:r>
    </w:p>
    <w:p w14:paraId="0372CCF1">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蓄电池1（安装位置：4楼安装30节，5楼安装16节）</w:t>
      </w:r>
    </w:p>
    <w:p w14:paraId="62599C1D">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1.采用阀控式密封铅酸蓄电池，单节蓄电池标称电压12V，单节蓄电池容量≥100Ah，共计46节电池。</w:t>
      </w:r>
    </w:p>
    <w:p w14:paraId="227B6448">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 xml:space="preserve">★2.蓄电池抗震加固应符合YD/T 5096-2016《通信用电源设备抗地震性能检测规范》的要求。需满足8、9烈度抗震性能检测要求；（提供同系列抗震性能合格证及相应检测报告） </w:t>
      </w:r>
    </w:p>
    <w:p w14:paraId="306ABD46">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★3.容量一致性：各单体电池容量偏差要求不超过1.</w:t>
      </w:r>
      <w:r>
        <w:rPr>
          <w:rFonts w:hint="eastAsia" w:ascii="仿宋_GB2312" w:eastAsia="仿宋_GB2312" w:cs="Times New Roman"/>
          <w:kern w:val="2"/>
          <w:sz w:val="24"/>
          <w:szCs w:val="24"/>
          <w:lang w:val="en-US" w:eastAsia="zh-CN" w:bidi="ar-SA"/>
        </w:rPr>
        <w:t>5</w:t>
      </w:r>
      <w:r>
        <w:rPr>
          <w:rFonts w:hint="eastAsia" w:ascii="仿宋_GB2312" w:hAnsi="Times New Roman" w:eastAsia="仿宋_GB2312" w:cs="Times New Roman"/>
          <w:kern w:val="2"/>
          <w:sz w:val="24"/>
          <w:szCs w:val="24"/>
          <w:lang w:val="en-US" w:eastAsia="zh-CN" w:bidi="ar-SA"/>
        </w:rPr>
        <w:t>％（10小时率容量最大和最小的差值/平均值）。（要求厂商提供具体数据和泰尔检测报告）</w:t>
      </w:r>
    </w:p>
    <w:p w14:paraId="60148658">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4.容量保存率：蓄电池静置28天后其容量保存率不低于98.3％（要求厂商提供具体数据和泰尔检测报告）。</w:t>
      </w:r>
    </w:p>
    <w:p w14:paraId="46E134A0">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★5.密封反应效率：蓄电池密封反应效率应不低于99.</w:t>
      </w:r>
      <w:r>
        <w:rPr>
          <w:rFonts w:hint="eastAsia" w:ascii="仿宋_GB2312" w:eastAsia="仿宋_GB2312" w:cs="Times New Roman"/>
          <w:kern w:val="2"/>
          <w:sz w:val="24"/>
          <w:szCs w:val="24"/>
          <w:lang w:val="en-US" w:eastAsia="zh-CN" w:bidi="ar-SA"/>
        </w:rPr>
        <w:t>5</w:t>
      </w:r>
      <w:r>
        <w:rPr>
          <w:rFonts w:hint="eastAsia" w:ascii="仿宋_GB2312" w:hAnsi="Times New Roman" w:eastAsia="仿宋_GB2312" w:cs="Times New Roman"/>
          <w:kern w:val="2"/>
          <w:sz w:val="24"/>
          <w:szCs w:val="24"/>
          <w:lang w:val="en-US" w:eastAsia="zh-CN" w:bidi="ar-SA"/>
        </w:rPr>
        <w:t>%（要求厂商提供同系列产品测试数据与第三方检测报告）。</w:t>
      </w:r>
    </w:p>
    <w:p w14:paraId="22E0568A">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6.电池连接条压降：蓄电池按1h率电流放电，在两只电池极柱根部测量的电池之间的连接条压降≤</w:t>
      </w:r>
      <w:r>
        <w:rPr>
          <w:rFonts w:hint="eastAsia" w:ascii="仿宋_GB2312" w:eastAsia="仿宋_GB2312" w:cs="Times New Roman"/>
          <w:kern w:val="2"/>
          <w:sz w:val="24"/>
          <w:szCs w:val="24"/>
          <w:lang w:val="en-US" w:eastAsia="zh-CN" w:bidi="ar-SA"/>
        </w:rPr>
        <w:t>5</w:t>
      </w:r>
      <w:r>
        <w:rPr>
          <w:rFonts w:hint="eastAsia" w:ascii="仿宋_GB2312" w:hAnsi="Times New Roman" w:eastAsia="仿宋_GB2312" w:cs="Times New Roman"/>
          <w:kern w:val="2"/>
          <w:sz w:val="24"/>
          <w:szCs w:val="24"/>
          <w:lang w:val="en-US" w:eastAsia="zh-CN" w:bidi="ar-SA"/>
        </w:rPr>
        <w:t>mV（要求厂商提供具体数据和泰尔检测报告）。</w:t>
      </w:r>
    </w:p>
    <w:p w14:paraId="77F9134F">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7.防酸雾性能：蓄电池在正常浮充工作过程中应无酸雾逸出。</w:t>
      </w:r>
    </w:p>
    <w:p w14:paraId="23DB85E7">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8.防爆性能：蓄电池在充电过程中遇有明火，内部应不引燃、不引爆。</w:t>
      </w:r>
    </w:p>
    <w:p w14:paraId="21A3C010">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9.阻燃性能：蓄电池壳、盖、连接条保护罩应符合GB/T2408-2021中第8.4.2条HB（水平级）和第9.4条V-0（垂直级）的要求。</w:t>
      </w:r>
    </w:p>
    <w:p w14:paraId="4C638299">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10.气密性：蓄电池应能承受50kPa的正压或负压而不破裂、不开胶，压力释放后壳体无残余变形。</w:t>
      </w:r>
    </w:p>
    <w:p w14:paraId="195A3292">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11.安全阀要求：蓄电池安全阀应具有自动开启和自动关闭的功能，其开阀压应是10 kPa～35 kPa，闭阀压应是3 kPa～30 kPa。（要求厂商提供具体数据）</w:t>
      </w:r>
    </w:p>
    <w:p w14:paraId="24DFA55B">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12.蓄电池外观不得有变形、漏液、裂纹及污迹，标志要清晰。</w:t>
      </w:r>
    </w:p>
    <w:p w14:paraId="6E58DBD8">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★13．蓄电池寿命12V电池单体在浮充状态下不少于8年。（要求提供第三方高温加速浮充寿命检测报告）</w:t>
      </w:r>
    </w:p>
    <w:p w14:paraId="61253680">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14．过度放电性能要求：蓄电池按YD/T 799-2024中规定的方法试验，其容量恢复值应≥99%。（要求厂商提供具体数据和泰尔检测报告）。</w:t>
      </w:r>
    </w:p>
    <w:p w14:paraId="51C731BE">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15. 大电流放电：蓄电池以30I10（A）放电3min，极柱、内部汇流排不应熔断，其外观不得出现异常。</w:t>
      </w:r>
    </w:p>
    <w:p w14:paraId="0EE13E9D">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16. 再充电性能：恒压充电24h的再充电能力因素应≥102.7%Cₑ。（要求厂商提供具体数据和泰尔检测报告）。</w:t>
      </w:r>
    </w:p>
    <w:p w14:paraId="75A31E9F">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★17．100%DOD循环寿命要求：</w:t>
      </w:r>
    </w:p>
    <w:p w14:paraId="415FF942">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以I10电流放电进行 C10率容量检测，再以2.35V/单体恒压限流I10充电24h ,连续循环300次，检测C10容量应不低于80%标称容量。（要求厂商提供具体数据和第三方检测报告）（放出100％额定容量，再充满电为一次循环；终止条件为：在终止电压为1.8V时放出的容量低于80％额定容量时，循环结束。）</w:t>
      </w:r>
    </w:p>
    <w:p w14:paraId="29273681">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18.生产蓄电池用的原料铅应采用Pb99.994牌号电解铅［满足《铅锭》（GB/T 469-2023）要求］，铅锭的铅纯度应不低于99.994%。</w:t>
      </w:r>
    </w:p>
    <w:p w14:paraId="53AFF543">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★19、蓄电池生产厂家应具备自制隔板，保证蓄电池的质量稳定性及一致性，（提供证明材料）。</w:t>
      </w:r>
    </w:p>
    <w:p w14:paraId="6A471275">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★20.供货产品的生产批次为近3个月且须为正规渠道产品，需提供产品泰尔认证证书复印件及同型号产品泰尔检测报告复印件加盖厂家公章。</w:t>
      </w:r>
    </w:p>
    <w:p w14:paraId="5331A22C">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★21.质保期≥3年，质保期间每年度出具二份电池检测报告（每半年一次）与培训相关人员（每半年一次），并形成培训记录。</w:t>
      </w:r>
    </w:p>
    <w:p w14:paraId="509CA7C7">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★22.蓄电池生产企业必须具备废旧电池回收资质，应具有《排放污染物许可证》、《危险废物经营许可证》。所有的旧电池需提供回收，并折算价格，新电池提供更换服务。</w:t>
      </w:r>
    </w:p>
    <w:p w14:paraId="2EF688B1">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★23.所提供的产品需满足国家《通信用阀控式铅酸蓄电池》(YD/T 799-2024)。</w:t>
      </w:r>
    </w:p>
    <w:p w14:paraId="688D0128">
      <w:pPr>
        <w:snapToGrid w:val="0"/>
        <w:spacing w:line="240" w:lineRule="auto"/>
        <w:rPr>
          <w:rFonts w:hint="default"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★24.为保证原装正品，供货时需提供产品制造商（或生产厂家）针对本项目出具的授权函、售后服务承诺函。</w:t>
      </w:r>
    </w:p>
    <w:p w14:paraId="4DF4B0A4">
      <w:pPr>
        <w:snapToGrid w:val="0"/>
        <w:spacing w:line="240" w:lineRule="auto"/>
        <w:rPr>
          <w:rFonts w:hint="eastAsia" w:ascii="仿宋_GB2312" w:hAnsi="Times New Roman" w:eastAsia="仿宋_GB2312" w:cs="Times New Roman"/>
          <w:kern w:val="2"/>
          <w:sz w:val="24"/>
          <w:szCs w:val="24"/>
          <w:lang w:val="en-US" w:eastAsia="zh-CN" w:bidi="ar-SA"/>
        </w:rPr>
      </w:pPr>
    </w:p>
    <w:p w14:paraId="51F02AEA">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蓄电池2（安装位置：消控室4节）</w:t>
      </w:r>
    </w:p>
    <w:p w14:paraId="122F5594">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1.本项目应采用阀控式密封铅酸蓄电池，单节蓄电池标称电压12V，单节蓄电池容量：≥7Ah。</w:t>
      </w:r>
    </w:p>
    <w:p w14:paraId="333497D7">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2.蓄电池正常浮充状态下，其浮充期待寿命可达10年。</w:t>
      </w:r>
    </w:p>
    <w:p w14:paraId="63F02280">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3.蓄电池静置28天后容量保存率应≥96%。</w:t>
      </w:r>
    </w:p>
    <w:p w14:paraId="42F6C45C">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4.蓄电池密封反应效率应≥98.3%，，投标时须提供本项目蓄电池同系列的第三方检验报告复印件佐证。</w:t>
      </w:r>
    </w:p>
    <w:p w14:paraId="07DA22C0">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5.蓄电池间连接电压降应≤4.2mV。</w:t>
      </w:r>
    </w:p>
    <w:p w14:paraId="577876BA">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6.蓄电池端电压均衡性，开路应≤10mV，浮充应≤7mV，放电应≤0.2V。</w:t>
      </w:r>
    </w:p>
    <w:p w14:paraId="3AA111ED">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7.低温敏感性：蓄电池10h率容量应≥0.93C10，外观应无破裂，过度膨胀及槽、盖分离现象。</w:t>
      </w:r>
    </w:p>
    <w:p w14:paraId="6117ADCB">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★8.供货产品的生产批次为近3个月且须为正规渠道产品，需提供产品泰尔认证证书复印件及同型号产品泰尔检测报告复印件加盖厂家公章。</w:t>
      </w:r>
    </w:p>
    <w:p w14:paraId="151E3344">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★9.质保期≥3年。</w:t>
      </w:r>
    </w:p>
    <w:p w14:paraId="3AFB492E">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★10.蓄电池生产企业必须具备废旧电池回收资质，应具有《排放污染物许可证》、《危险废物经营许可证》。所有的旧电池需提供回收，并折算价格，新电池提供更换服务。。</w:t>
      </w:r>
    </w:p>
    <w:p w14:paraId="2978DD65">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★11.所提供的产品需满足国家《通信用阀控式铅酸蓄电池》(YD/T 799-2024)</w:t>
      </w:r>
    </w:p>
    <w:p w14:paraId="3E3851AF">
      <w:pPr>
        <w:snapToGrid w:val="0"/>
        <w:spacing w:line="240" w:lineRule="auto"/>
        <w:rPr>
          <w:rFonts w:hint="default"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★12.为保证原装正品，供货时需提供产品制造商（或生产厂家）针对本项目出具的授权函、售后服务承诺函。</w:t>
      </w:r>
    </w:p>
    <w:p w14:paraId="44EB5603">
      <w:pPr>
        <w:snapToGrid w:val="0"/>
        <w:spacing w:line="240" w:lineRule="auto"/>
        <w:rPr>
          <w:rFonts w:hint="eastAsia" w:ascii="仿宋_GB2312" w:hAnsi="Times New Roman" w:eastAsia="仿宋_GB2312" w:cs="Times New Roman"/>
          <w:kern w:val="2"/>
          <w:sz w:val="24"/>
          <w:szCs w:val="24"/>
          <w:lang w:val="en-US" w:eastAsia="zh-CN" w:bidi="ar-SA"/>
        </w:rPr>
      </w:pPr>
    </w:p>
    <w:p w14:paraId="076AE322">
      <w:pPr>
        <w:snapToGrid w:val="0"/>
        <w:spacing w:line="240" w:lineRule="auto"/>
        <w:rPr>
          <w:rFonts w:hint="eastAsia" w:ascii="仿宋_GB2312" w:hAnsi="Times New Roman" w:eastAsia="仿宋_GB2312" w:cs="Times New Roman"/>
          <w:kern w:val="2"/>
          <w:sz w:val="24"/>
          <w:szCs w:val="24"/>
          <w:lang w:val="en-US" w:eastAsia="zh-CN" w:bidi="ar-SA"/>
        </w:rPr>
      </w:pPr>
    </w:p>
    <w:p w14:paraId="0DCB69D9">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蓄电池3（安装位置：消控室2节）</w:t>
      </w:r>
    </w:p>
    <w:p w14:paraId="101CAC60">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本项目应采用阀控式密封铅酸蓄电池，单节蓄电池标称电压12V，单节蓄电池容量：≥12Ah。安装位置尺寸为：151（±5mm）×98（±5mm）×95（±5mm）mm，</w:t>
      </w:r>
    </w:p>
    <w:p w14:paraId="5E889819">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★2.供货产品的生产批次为近3个月且须为正规渠道产品，需提供产品泰尔认证证书复印件及同型号产品泰尔检测报告复印件加盖厂家公章。</w:t>
      </w:r>
    </w:p>
    <w:p w14:paraId="599DAD0B">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★3.质保期≥3年。</w:t>
      </w:r>
    </w:p>
    <w:p w14:paraId="1EA68B0C">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★4.蓄电池生产企业必须具备废旧电池回收资质，应具有《排放污染物许可证》、《危险废物经营许可证》。所有的旧电池需提供回收，并折算价格，新电池提供更换服务。</w:t>
      </w:r>
    </w:p>
    <w:p w14:paraId="70D4891A">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★5.所提供的产品需满足国家《通信用阀控式铅酸蓄电池》(YD/T 799-2024)</w:t>
      </w:r>
    </w:p>
    <w:p w14:paraId="66A101A1">
      <w:pPr>
        <w:snapToGrid w:val="0"/>
        <w:spacing w:line="240" w:lineRule="auto"/>
        <w:rPr>
          <w:rFonts w:hint="default"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★6.为保证原装正品，供货时需提供产品制造商（或生产厂家）针对本项目出具的授权函、售后服务承诺函。</w:t>
      </w:r>
    </w:p>
    <w:p w14:paraId="262F1756">
      <w:pPr>
        <w:snapToGrid w:val="0"/>
        <w:spacing w:line="240" w:lineRule="auto"/>
        <w:rPr>
          <w:rFonts w:hint="eastAsia" w:ascii="仿宋_GB2312" w:hAnsi="Times New Roman" w:eastAsia="仿宋_GB2312" w:cs="Times New Roman"/>
          <w:kern w:val="2"/>
          <w:sz w:val="24"/>
          <w:szCs w:val="24"/>
          <w:lang w:val="en-US" w:eastAsia="zh-CN" w:bidi="ar-SA"/>
        </w:rPr>
      </w:pPr>
    </w:p>
    <w:p w14:paraId="44D2A509">
      <w:pPr>
        <w:snapToGrid w:val="0"/>
        <w:spacing w:line="240" w:lineRule="auto"/>
        <w:rPr>
          <w:rFonts w:hint="eastAsia" w:ascii="仿宋_GB2312" w:hAnsi="Times New Roman" w:eastAsia="仿宋_GB2312" w:cs="Times New Roman"/>
          <w:kern w:val="2"/>
          <w:sz w:val="24"/>
          <w:szCs w:val="24"/>
          <w:lang w:val="en-US" w:eastAsia="zh-CN" w:bidi="ar-SA"/>
        </w:rPr>
      </w:pPr>
    </w:p>
    <w:p w14:paraId="566645E8">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蓄电池4（安装位置： 消控室2节）</w:t>
      </w:r>
    </w:p>
    <w:p w14:paraId="45F3D483">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本项目应采用阀控式密封铅酸蓄电池，单节蓄电池标称电压12V，单节蓄电池容量：≥24Ah。安装位置尺寸为166（±5mm）×175（±5mm）×125（±5mm）mm，</w:t>
      </w:r>
    </w:p>
    <w:p w14:paraId="71B59C67">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★2.供货产品的生产批次为近3个月且须为正规渠道产品，需提供产品泰尔认证证书复印件及同型号产品泰尔检测报告复印件加盖厂家公章。</w:t>
      </w:r>
    </w:p>
    <w:p w14:paraId="3A3C3B8A">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★3.质保期≥3年。</w:t>
      </w:r>
    </w:p>
    <w:p w14:paraId="68386FCA">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★4.蓄电池生产企业必须具备废旧电池回收资质，应具有《排放污染物许可证》、《危险废物经营许可证》。所有的旧电池需提供回收，并折算价格，新电池提供更换服务。</w:t>
      </w:r>
    </w:p>
    <w:p w14:paraId="38344D41">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★5.所提供的产品需满足国家《通信用阀控式铅酸蓄电池》(YD/T 799-2024)</w:t>
      </w:r>
    </w:p>
    <w:p w14:paraId="44094C3A">
      <w:pPr>
        <w:snapToGrid w:val="0"/>
        <w:spacing w:line="240" w:lineRule="auto"/>
        <w:rPr>
          <w:rFonts w:hint="default"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★6.为保证原装正品，供货时需提供产品制造商（或生产厂家）针对本项目出具的授权函、售后服务承诺函。</w:t>
      </w:r>
    </w:p>
    <w:p w14:paraId="2F80A79D">
      <w:pPr>
        <w:snapToGrid w:val="0"/>
        <w:spacing w:line="240" w:lineRule="auto"/>
        <w:rPr>
          <w:rFonts w:hint="eastAsia" w:ascii="仿宋_GB2312" w:hAnsi="Times New Roman" w:eastAsia="仿宋_GB2312" w:cs="Times New Roman"/>
          <w:kern w:val="2"/>
          <w:sz w:val="24"/>
          <w:szCs w:val="24"/>
          <w:lang w:val="en-US" w:eastAsia="zh-CN" w:bidi="ar-SA"/>
        </w:rPr>
      </w:pPr>
    </w:p>
    <w:p w14:paraId="6892807C">
      <w:pPr>
        <w:snapToGrid w:val="0"/>
        <w:spacing w:line="240" w:lineRule="auto"/>
        <w:rPr>
          <w:rFonts w:hint="eastAsia" w:ascii="仿宋_GB2312" w:hAnsi="Times New Roman" w:eastAsia="仿宋_GB2312" w:cs="Times New Roman"/>
          <w:kern w:val="2"/>
          <w:sz w:val="24"/>
          <w:szCs w:val="24"/>
          <w:lang w:val="en-US" w:eastAsia="zh-CN" w:bidi="ar-SA"/>
        </w:rPr>
      </w:pPr>
    </w:p>
    <w:p w14:paraId="031AEB5A">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蓄电池5（安装位置： 消控室2节）</w:t>
      </w:r>
    </w:p>
    <w:p w14:paraId="066138BA">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本项目应采用阀控式密封铅酸蓄电池，单节蓄电池标称电压12V，单节蓄电池容量：≥4.5Ah。安装位置尺寸为：9（±5mm）×7（±5mm）×10（±5mm）CM，</w:t>
      </w:r>
    </w:p>
    <w:p w14:paraId="5E890FD8">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★2.供货产品的生产批次为近3个月且须为正规渠道产品，需提供产品泰尔认证证书复印件及同型号产品泰尔检测报告复印件加盖厂家公章。</w:t>
      </w:r>
    </w:p>
    <w:p w14:paraId="1827BC2B">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★3.质保期≥3年。</w:t>
      </w:r>
    </w:p>
    <w:p w14:paraId="3A50E89F">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★4.蓄电池生产企业必须具备废旧电池回收资质，应具有《排放污染物许可证》、《危险废物经营许可证》。所有的旧电池需提供回收，并折算价格，新电池提供更换服务。</w:t>
      </w:r>
    </w:p>
    <w:p w14:paraId="2D86113B">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★5.所提供的产品需满足国家《通信用阀控式铅酸蓄电池》(YD/T 799-2024)</w:t>
      </w:r>
    </w:p>
    <w:p w14:paraId="217AC7CD">
      <w:pPr>
        <w:snapToGrid w:val="0"/>
        <w:spacing w:line="240" w:lineRule="auto"/>
        <w:rPr>
          <w:rFonts w:hint="default"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★6.为保证原装正品，供货时需提供产品制造商（或生产厂家）针对本项目出具的授权函、售后服务承诺函。</w:t>
      </w:r>
    </w:p>
    <w:p w14:paraId="3B5DF401">
      <w:pPr>
        <w:snapToGrid w:val="0"/>
        <w:spacing w:line="240" w:lineRule="auto"/>
        <w:rPr>
          <w:rFonts w:hint="eastAsia" w:ascii="仿宋_GB2312" w:hAnsi="Times New Roman" w:eastAsia="仿宋_GB2312" w:cs="Times New Roman"/>
          <w:kern w:val="2"/>
          <w:sz w:val="24"/>
          <w:szCs w:val="24"/>
          <w:lang w:val="en-US" w:eastAsia="zh-CN" w:bidi="ar-SA"/>
        </w:rPr>
      </w:pPr>
    </w:p>
    <w:p w14:paraId="740606E0">
      <w:pPr>
        <w:snapToGrid w:val="0"/>
        <w:spacing w:line="240" w:lineRule="auto"/>
        <w:rPr>
          <w:rFonts w:hint="eastAsia" w:ascii="仿宋_GB2312" w:hAnsi="Times New Roman" w:eastAsia="仿宋_GB2312" w:cs="Times New Roman"/>
          <w:kern w:val="2"/>
          <w:sz w:val="24"/>
          <w:szCs w:val="24"/>
          <w:lang w:val="en-US" w:eastAsia="zh-CN" w:bidi="ar-SA"/>
        </w:rPr>
      </w:pPr>
    </w:p>
    <w:p w14:paraId="4A1F1399">
      <w:pPr>
        <w:snapToGrid w:val="0"/>
        <w:spacing w:line="240" w:lineRule="auto"/>
        <w:rPr>
          <w:rFonts w:hint="eastAsia" w:ascii="仿宋_GB2312" w:hAnsi="Times New Roman" w:eastAsia="仿宋_GB2312" w:cs="Times New Roman"/>
          <w:kern w:val="2"/>
          <w:sz w:val="24"/>
          <w:szCs w:val="24"/>
          <w:lang w:val="en-US" w:eastAsia="zh-CN" w:bidi="ar-SA"/>
        </w:rPr>
      </w:pPr>
    </w:p>
    <w:p w14:paraId="4118C5F8">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蓄电池6（安装位置：安装楼顶手术室空调机房）</w:t>
      </w:r>
    </w:p>
    <w:p w14:paraId="372B22E7">
      <w:pPr>
        <w:snapToGrid w:val="0"/>
        <w:spacing w:line="240" w:lineRule="auto"/>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1.采用阀控式密封铅酸蓄电池，单节蓄电池标称电压12V，单节蓄电池容量≥200Ah，共计64节电池。</w:t>
      </w:r>
    </w:p>
    <w:p w14:paraId="2E23D2C0">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 xml:space="preserve">★2.蓄电池抗震加固应符合YD/T 5096-2016《通信用电源设备抗地震性能检测规范》的要求。需满足8、9烈度抗震性能检测要求；（提供同系列抗震性能合格证及相应检测报告） </w:t>
      </w:r>
    </w:p>
    <w:p w14:paraId="5BB7FC6D">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★3.容量一致性：各单体电池容量偏差要求不超过1.</w:t>
      </w:r>
      <w:r>
        <w:rPr>
          <w:rFonts w:hint="eastAsia" w:ascii="仿宋_GB2312" w:eastAsia="仿宋_GB2312" w:cs="Times New Roman"/>
          <w:kern w:val="2"/>
          <w:sz w:val="24"/>
          <w:szCs w:val="24"/>
          <w:lang w:val="en-US" w:eastAsia="zh-CN" w:bidi="ar-SA"/>
        </w:rPr>
        <w:t>5</w:t>
      </w:r>
      <w:r>
        <w:rPr>
          <w:rFonts w:hint="eastAsia" w:ascii="仿宋_GB2312" w:hAnsi="Times New Roman" w:eastAsia="仿宋_GB2312" w:cs="Times New Roman"/>
          <w:kern w:val="2"/>
          <w:sz w:val="24"/>
          <w:szCs w:val="24"/>
          <w:lang w:val="en-US" w:eastAsia="zh-CN" w:bidi="ar-SA"/>
        </w:rPr>
        <w:t>％（10小时率容量最大和最小的差值/平均值）。（要求厂商提供具体数据和泰尔检测报告）</w:t>
      </w:r>
    </w:p>
    <w:p w14:paraId="202DDB4F">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4.容量保存率：蓄电池静置28天后其容量保存率不低于98.3％（要求厂商提供具体数据和泰尔检测报告）。</w:t>
      </w:r>
    </w:p>
    <w:p w14:paraId="6411202D">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★5.密封反应效率：蓄电池密封反应效率应不低于99.</w:t>
      </w:r>
      <w:r>
        <w:rPr>
          <w:rFonts w:hint="eastAsia" w:ascii="仿宋_GB2312" w:eastAsia="仿宋_GB2312" w:cs="Times New Roman"/>
          <w:kern w:val="2"/>
          <w:sz w:val="24"/>
          <w:szCs w:val="24"/>
          <w:lang w:val="en-US" w:eastAsia="zh-CN" w:bidi="ar-SA"/>
        </w:rPr>
        <w:t>5</w:t>
      </w:r>
      <w:r>
        <w:rPr>
          <w:rFonts w:hint="eastAsia" w:ascii="仿宋_GB2312" w:hAnsi="Times New Roman" w:eastAsia="仿宋_GB2312" w:cs="Times New Roman"/>
          <w:kern w:val="2"/>
          <w:sz w:val="24"/>
          <w:szCs w:val="24"/>
          <w:lang w:val="en-US" w:eastAsia="zh-CN" w:bidi="ar-SA"/>
        </w:rPr>
        <w:t>%（要求厂商提供同系列产品测试数据与第三方检测报告）。</w:t>
      </w:r>
    </w:p>
    <w:p w14:paraId="15752412">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6.电池连接条压降：蓄电池按1h率电流放电，在两只电池极柱根部测量的电池之间的连接条压降≤5mV（要求厂商提供具体数据和泰尔检测报告）。</w:t>
      </w:r>
    </w:p>
    <w:p w14:paraId="713189F7">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7.防酸雾性能：蓄电池在正常浮充工作过程中应无酸雾逸出。</w:t>
      </w:r>
    </w:p>
    <w:p w14:paraId="13DB2669">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8.防爆性能：蓄电池在充电过程中遇有明火，内部应不引燃、不引爆。</w:t>
      </w:r>
    </w:p>
    <w:p w14:paraId="4F8869F2">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9.阻燃性能：蓄电池壳、盖、连接条保护罩应符合GB/T2408-2021中第8.4.2条HB（水平级）和第9.4条V-0（垂直级）的要求。</w:t>
      </w:r>
    </w:p>
    <w:p w14:paraId="4F504D8D">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10.气密性：蓄电池应能承受50kPa的正压或负压而不破裂、不开胶，压力释放后壳体无残余变形。</w:t>
      </w:r>
    </w:p>
    <w:p w14:paraId="3E04A63A">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11.安全阀要求：蓄电池安全阀应具有自动开启和自动关闭的功能，其开阀压应是10 kPa～35 kPa，闭阀压应是3 kPa～30 kPa。（要求厂商提供具体数据）</w:t>
      </w:r>
    </w:p>
    <w:p w14:paraId="09481939">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12.蓄电池外观不得有变形、漏液、裂纹及污迹，标志要清晰。</w:t>
      </w:r>
    </w:p>
    <w:p w14:paraId="5C1A4CD7">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★13．蓄电池寿命</w:t>
      </w:r>
    </w:p>
    <w:p w14:paraId="287C47CC">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12V电池单体在浮充状态下不少于8年。（要求提供第三方高温加速浮充寿命检测报告）</w:t>
      </w:r>
    </w:p>
    <w:p w14:paraId="0D94A46E">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14．过度放电性能要求：蓄电池按YD/T 799-2024中规定的方法试验，其容量恢复值应≥99%。（要求厂商提供具体数据和泰尔检测报告）。</w:t>
      </w:r>
    </w:p>
    <w:p w14:paraId="3C7C0EE2">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15. 大电流放电：蓄电池以30I10（A）放电3min，极柱、内部汇流排不应熔断，其外观不得出现异常。</w:t>
      </w:r>
    </w:p>
    <w:p w14:paraId="53E9D58A">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16. 再充电性能：恒压充电24h的再充电能力因素应≥102.7%Cₑ。（要求厂商提供具体数据和泰尔检测报告）。</w:t>
      </w:r>
    </w:p>
    <w:p w14:paraId="349D5D3F">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★17．100%DOD循环寿命要求：</w:t>
      </w:r>
    </w:p>
    <w:p w14:paraId="1002C413">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以I10电流放电进行 C10率容量检测，再以2.35V/单体恒压限流I10充电24h ,连续循环300次，检测C10容量应不低于80%标称容量。（要求厂商提供具体数据和第三方检测报告）（放出100％额定容量，再充满电为一次循环；终止条件为：在终止电压为1.8V时放出的容量低于80％额定容量时，循环结束。）</w:t>
      </w:r>
    </w:p>
    <w:p w14:paraId="53E638DF">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18.生产蓄电池用的原料铅应采用Pb99.994牌号电解铅［满足《铅锭》（GB/T 469-2023）要求］，铅锭的铅纯度应不低于99.994%。</w:t>
      </w:r>
    </w:p>
    <w:p w14:paraId="363F6B48">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★19、蓄电池生产厂家应具备自制隔板，保证蓄电池的质量稳定性及一致性，（提供证明材料）。</w:t>
      </w:r>
    </w:p>
    <w:p w14:paraId="72241648">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★20.供货产品的生产批次为近3个月且须为正规渠道产品，需提供产品泰尔认证证书复印件及同型号产品泰尔检测报告复印件加盖厂家公章。</w:t>
      </w:r>
    </w:p>
    <w:p w14:paraId="473633B2">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★21.质保期≥3年，质保期间每年度出具二份电池检测报告（每半年一次）与培训相关人员（每半年一次），并形成培训记录。</w:t>
      </w:r>
    </w:p>
    <w:p w14:paraId="56741153">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★22.蓄电池生产企业必须具备废旧电池回收资质，应具有《排放污染物许可证》、《危险废物经营许可证》。所有的旧电池需提供回收，并折算价格，新电池提供更换服务。</w:t>
      </w:r>
    </w:p>
    <w:p w14:paraId="5D2EB549">
      <w:pPr>
        <w:rPr>
          <w:rFonts w:hint="eastAsia"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★23.所提供的产品需满足国家《通信用阀控式铅酸蓄电池》(YD/T 799-2024)</w:t>
      </w:r>
    </w:p>
    <w:p w14:paraId="7395ED96">
      <w:pPr>
        <w:snapToGrid w:val="0"/>
        <w:spacing w:line="240" w:lineRule="auto"/>
        <w:rPr>
          <w:rFonts w:hint="default" w:ascii="仿宋_GB2312" w:hAnsi="Times New Roman" w:eastAsia="仿宋_GB2312" w:cs="Times New Roman"/>
          <w:kern w:val="2"/>
          <w:sz w:val="24"/>
          <w:szCs w:val="24"/>
          <w:lang w:val="en-US" w:eastAsia="zh-CN" w:bidi="ar-SA"/>
        </w:rPr>
      </w:pPr>
      <w:r>
        <w:rPr>
          <w:rFonts w:hint="eastAsia" w:ascii="仿宋_GB2312" w:hAnsi="Times New Roman" w:eastAsia="仿宋_GB2312" w:cs="Times New Roman"/>
          <w:kern w:val="2"/>
          <w:sz w:val="24"/>
          <w:szCs w:val="24"/>
          <w:lang w:val="en-US" w:eastAsia="zh-CN" w:bidi="ar-SA"/>
        </w:rPr>
        <w:t>★24.为保证原装正品，供货时需提供产品制造商（或生产厂家）针对本项目出具的授权函、售后服务承诺函。</w:t>
      </w:r>
    </w:p>
    <w:p w14:paraId="05225489">
      <w:pPr>
        <w:rPr>
          <w:rFonts w:hint="eastAsia" w:ascii="仿宋_GB2312" w:hAnsi="Times New Roman" w:eastAsia="仿宋_GB2312" w:cs="Times New Roman"/>
          <w:kern w:val="2"/>
          <w:sz w:val="24"/>
          <w:szCs w:val="24"/>
          <w:lang w:val="en-US" w:eastAsia="zh-CN" w:bidi="ar-SA"/>
        </w:rPr>
      </w:pPr>
    </w:p>
    <w:p w14:paraId="5FC37B08"/>
    <w:p w14:paraId="036169E9">
      <w:pPr>
        <w:ind w:firstLine="560" w:firstLineChars="200"/>
        <w:rPr>
          <w:rFonts w:hint="eastAsia" w:ascii="仿宋" w:hAnsi="仿宋" w:eastAsia="仿宋"/>
          <w:sz w:val="28"/>
          <w:szCs w:val="28"/>
        </w:rPr>
      </w:pPr>
    </w:p>
    <w:p w14:paraId="6F95B723"/>
    <w:p w14:paraId="6F572261"/>
    <w:sectPr>
      <w:footerReference r:id="rId3" w:type="default"/>
      <w:footerReference r:id="rId4" w:type="even"/>
      <w:pgSz w:w="11906" w:h="16838"/>
      <w:pgMar w:top="1417" w:right="1474" w:bottom="1417" w:left="1588" w:header="851" w:footer="1588"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8BEED">
    <w:pPr>
      <w:pStyle w:val="2"/>
      <w:framePr w:wrap="around" w:vAnchor="text" w:hAnchor="margin" w:xAlign="outside" w:y="1"/>
      <w:rPr>
        <w:rStyle w:val="5"/>
        <w:rFonts w:hint="eastAsia" w:ascii="宋体" w:hAnsi="宋体"/>
        <w:sz w:val="28"/>
        <w:szCs w:val="28"/>
      </w:rPr>
    </w:pPr>
    <w:r>
      <w:rPr>
        <w:rStyle w:val="5"/>
        <w:rFonts w:hint="eastAsia" w:ascii="宋体" w:hAnsi="宋体"/>
        <w:sz w:val="28"/>
        <w:szCs w:val="28"/>
      </w:rPr>
      <w:t>—</w:t>
    </w: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6</w:t>
    </w:r>
    <w:r>
      <w:rPr>
        <w:rStyle w:val="5"/>
        <w:rFonts w:ascii="宋体" w:hAnsi="宋体"/>
        <w:sz w:val="28"/>
        <w:szCs w:val="28"/>
      </w:rPr>
      <w:fldChar w:fldCharType="end"/>
    </w:r>
    <w:r>
      <w:rPr>
        <w:rStyle w:val="5"/>
        <w:rFonts w:hint="eastAsia" w:ascii="宋体" w:hAnsi="宋体"/>
        <w:sz w:val="28"/>
        <w:szCs w:val="28"/>
      </w:rPr>
      <w:t xml:space="preserve">— </w:t>
    </w:r>
  </w:p>
  <w:p w14:paraId="1F81E289">
    <w:pPr>
      <w:pStyle w:val="2"/>
      <w:ind w:right="360" w:firstLine="360"/>
      <w:rPr>
        <w:rFonts w:hint="eastAsia"/>
      </w:rPr>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1CB28">
    <w:pPr>
      <w:pStyle w:val="2"/>
      <w:framePr w:wrap="around" w:vAnchor="text" w:hAnchor="margin" w:xAlign="outside" w:y="1"/>
      <w:ind w:firstLine="280" w:firstLineChars="100"/>
      <w:rPr>
        <w:rStyle w:val="5"/>
        <w:rFonts w:ascii="宋体" w:hAnsi="宋体"/>
        <w:sz w:val="28"/>
        <w:szCs w:val="28"/>
      </w:rPr>
    </w:pPr>
    <w:r>
      <w:rPr>
        <w:rStyle w:val="5"/>
        <w:rFonts w:hint="eastAsia" w:ascii="宋体" w:hAnsi="宋体"/>
        <w:sz w:val="28"/>
        <w:szCs w:val="28"/>
      </w:rPr>
      <w:t>—</w:t>
    </w: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4</w:t>
    </w:r>
    <w:r>
      <w:rPr>
        <w:rStyle w:val="5"/>
        <w:rFonts w:ascii="宋体" w:hAnsi="宋体"/>
        <w:sz w:val="28"/>
        <w:szCs w:val="28"/>
      </w:rPr>
      <w:fldChar w:fldCharType="end"/>
    </w:r>
    <w:r>
      <w:rPr>
        <w:rStyle w:val="5"/>
        <w:rFonts w:hint="eastAsia" w:ascii="宋体" w:hAnsi="宋体"/>
        <w:sz w:val="28"/>
        <w:szCs w:val="28"/>
      </w:rPr>
      <w:t>—</w:t>
    </w:r>
  </w:p>
  <w:p w14:paraId="135634BD">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696C81"/>
    <w:rsid w:val="1B3E4C43"/>
    <w:rsid w:val="21696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page number"/>
    <w:basedOn w:val="4"/>
    <w:qFormat/>
    <w:uiPriority w:val="0"/>
  </w:style>
  <w:style w:type="paragraph" w:styleId="6">
    <w:name w:val="No Spacing"/>
    <w:qFormat/>
    <w:uiPriority w:val="1"/>
    <w:pPr>
      <w:widowControl w:val="0"/>
      <w:spacing w:line="240" w:lineRule="auto"/>
      <w:ind w:firstLine="0" w:firstLineChars="0"/>
      <w:jc w:val="both"/>
    </w:pPr>
    <w:rPr>
      <w:rFonts w:ascii="Times New Roman" w:hAnsi="Times New Roman" w:eastAsia="宋体" w:cs="Times New Roman"/>
      <w:kern w:val="2"/>
      <w:sz w:val="21"/>
      <w:szCs w:val="24"/>
      <w:lang w:val="en-US" w:eastAsia="zh-CN" w:bidi="ar-SA"/>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2026-09-11T08:39:00Z</dcterms:created>
  <dc:creator>○</dc:creator>
  <cp:lastModifiedBy>○</cp:lastModifiedBy>
  <dcterms:modified xsi:type="dcterms:W3CDTF">2026-09-11T08:46:20Z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CEA914CA7AB445F29F69ED6B0B4C8E69_11</vt:lpwstr>
  </property>
  <property fmtid="{D5CDD505-2E9C-101B-9397-08002B2CF9AE}" pid="4" name="KSOTemplateDocerSaveRecord">
    <vt:lpwstr>eyJoZGlkIjoiZTI3MDVlOTkzYTRjYzZmYTE2NjFhMTc1YzJiNTljMjMiLCJ1c2VySWQiOiI0MDc5OTM2MTMifQ==</vt:lpwstr>
  </property>
</Properties>
</file>