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bookmarkStart w:id="8" w:name="_GoBack"/>
      <w:bookmarkEnd w:id="8"/>
    </w:p>
    <w:p w14:paraId="04D2F264">
      <w:pPr>
        <w:pStyle w:val="18"/>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default" w:ascii="Times New Roman" w:hAnsi="宋体" w:eastAsia="宋体" w:cs="Times New Roman"/>
          <w:b/>
          <w:kern w:val="2"/>
          <w:sz w:val="32"/>
          <w:szCs w:val="32"/>
          <w:lang w:val="en-US" w:eastAsia="zh-CN" w:bidi="ar-SA"/>
        </w:rPr>
      </w:pPr>
      <w:r>
        <w:rPr>
          <w:rFonts w:hint="eastAsia" w:ascii="宋体" w:hAnsi="宋体" w:eastAsia="宋体"/>
          <w:b/>
          <w:sz w:val="32"/>
          <w:szCs w:val="32"/>
          <w:lang w:eastAsia="zh-CN"/>
        </w:rPr>
        <w:t>项目名称：2024—2025年度科研经费专项审计服务</w:t>
      </w:r>
    </w:p>
    <w:p w14:paraId="0FE7D269">
      <w:pPr>
        <w:pStyle w:val="18"/>
        <w:keepNext w:val="0"/>
        <w:keepLines w:val="0"/>
        <w:pageBreakBefore w:val="0"/>
        <w:widowControl w:val="0"/>
        <w:kinsoku/>
        <w:wordWrap/>
        <w:overflowPunct/>
        <w:topLinePunct w:val="0"/>
        <w:autoSpaceDE/>
        <w:autoSpaceDN/>
        <w:bidi w:val="0"/>
        <w:adjustRightInd/>
        <w:snapToGrid w:val="0"/>
        <w:spacing w:before="50" w:after="120" w:line="360" w:lineRule="auto"/>
        <w:ind w:firstLine="964" w:firstLineChars="3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项目编号：GXSZ2026-00</w:t>
      </w:r>
      <w:r>
        <w:rPr>
          <w:rFonts w:hint="eastAsia" w:hAnsi="宋体"/>
          <w:b/>
          <w:sz w:val="32"/>
          <w:szCs w:val="32"/>
          <w:lang w:val="en-US" w:eastAsia="zh-CN"/>
        </w:rPr>
        <w:t>7</w:t>
      </w:r>
      <w:r>
        <w:rPr>
          <w:rFonts w:hint="eastAsia" w:ascii="宋体" w:hAnsi="宋体"/>
          <w:b/>
          <w:sz w:val="32"/>
          <w:szCs w:val="32"/>
          <w:lang w:eastAsia="zh-CN"/>
        </w:rPr>
        <w:t>-JYB</w:t>
      </w:r>
    </w:p>
    <w:p w14:paraId="28764F66">
      <w:pPr>
        <w:keepNext w:val="0"/>
        <w:keepLines w:val="0"/>
        <w:pageBreakBefore w:val="0"/>
        <w:widowControl w:val="0"/>
        <w:kinsoku/>
        <w:wordWrap/>
        <w:overflowPunct/>
        <w:topLinePunct w:val="0"/>
        <w:autoSpaceDE/>
        <w:autoSpaceDN/>
        <w:bidi w:val="0"/>
        <w:adjustRightInd/>
        <w:spacing w:line="360" w:lineRule="auto"/>
        <w:ind w:firstLine="964" w:firstLineChars="3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9</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rFonts w:hint="eastAsia"/>
          <w:sz w:val="28"/>
          <w:szCs w:val="28"/>
          <w:lang w:val="en-US" w:eastAsia="zh-CN"/>
        </w:rPr>
        <w:t>6</w:t>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rFonts w:hint="eastAsia"/>
          <w:sz w:val="28"/>
          <w:szCs w:val="28"/>
          <w:lang w:val="en-US" w:eastAsia="zh-CN"/>
        </w:rPr>
        <w:t>9</w:t>
      </w:r>
      <w:r>
        <w:rPr>
          <w:rFonts w:hint="eastAsia" w:ascii="Times New Roman" w:hAnsi="Times New Roman" w:eastAsia="宋体" w:cs="Times New Roman"/>
          <w:sz w:val="28"/>
          <w:szCs w:val="28"/>
          <w:highlight w:val="none"/>
          <w:lang w:val="en-US" w:eastAsia="zh-CN"/>
        </w:rPr>
        <w:fldChar w:fldCharType="end"/>
      </w:r>
    </w:p>
    <w:p w14:paraId="73BAD2EA">
      <w:pPr>
        <w:pStyle w:val="21"/>
        <w:tabs>
          <w:tab w:val="right" w:leader="dot" w:pos="8788"/>
        </w:tabs>
        <w:rPr>
          <w:rFonts w:hint="default"/>
          <w:sz w:val="28"/>
          <w:szCs w:val="28"/>
          <w:lang w:val="en-US"/>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rFonts w:hint="eastAsia"/>
          <w:sz w:val="28"/>
          <w:szCs w:val="28"/>
          <w:lang w:val="en-US" w:eastAsia="zh-CN"/>
        </w:rPr>
        <w:t>1</w:t>
      </w:r>
      <w:r>
        <w:rPr>
          <w:rFonts w:hint="eastAsia" w:ascii="Times New Roman" w:hAnsi="Times New Roman" w:eastAsia="宋体" w:cs="Times New Roman"/>
          <w:sz w:val="28"/>
          <w:szCs w:val="28"/>
          <w:highlight w:val="none"/>
          <w:lang w:val="en-US" w:eastAsia="zh-CN"/>
        </w:rPr>
        <w:fldChar w:fldCharType="end"/>
      </w:r>
      <w:r>
        <w:rPr>
          <w:rFonts w:hint="eastAsia" w:cs="Times New Roman"/>
          <w:sz w:val="28"/>
          <w:szCs w:val="28"/>
          <w:highlight w:val="none"/>
          <w:lang w:val="en-US" w:eastAsia="zh-CN"/>
        </w:rPr>
        <w:t>5</w:t>
      </w:r>
    </w:p>
    <w:p w14:paraId="29AD163D">
      <w:pPr>
        <w:pStyle w:val="21"/>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499576933"/>
      <w:bookmarkStart w:id="1" w:name="_Toc9294"/>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789D1D0A">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根据医院工作需要，现对2024—2025年度科研经费专项审计服务项目进行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6F5C82CF">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AF440E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项目名称：2024—2025年度科研经费专项审计服务</w:t>
      </w:r>
    </w:p>
    <w:p w14:paraId="270973D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项目编号：GXSZ2026-00</w:t>
      </w:r>
      <w:r>
        <w:rPr>
          <w:rFonts w:hint="eastAsia" w:ascii="宋体" w:hAnsi="宋体" w:cs="Times New Roman"/>
          <w:szCs w:val="21"/>
          <w:lang w:val="en-US" w:eastAsia="zh-CN"/>
        </w:rPr>
        <w:t>7</w:t>
      </w:r>
      <w:r>
        <w:rPr>
          <w:rFonts w:hint="eastAsia" w:ascii="宋体" w:hAnsi="宋体" w:eastAsia="宋体" w:cs="Times New Roman"/>
          <w:szCs w:val="21"/>
          <w:lang w:val="en-US" w:eastAsia="zh-CN"/>
        </w:rPr>
        <w:t>-JYB</w:t>
      </w:r>
    </w:p>
    <w:p w14:paraId="55B4C651">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采购方式：</w:t>
      </w:r>
      <w:r>
        <w:rPr>
          <w:rFonts w:hint="eastAsia" w:ascii="宋体" w:hAnsi="宋体" w:cs="Times New Roman"/>
          <w:szCs w:val="21"/>
          <w:lang w:val="en-US" w:eastAsia="zh-CN"/>
        </w:rPr>
        <w:t>院内询价</w:t>
      </w:r>
    </w:p>
    <w:p w14:paraId="4D8A742A">
      <w:pPr>
        <w:spacing w:line="400" w:lineRule="exact"/>
        <w:ind w:firstLine="420" w:firstLineChars="200"/>
        <w:rPr>
          <w:rFonts w:hint="eastAsia" w:ascii="宋体" w:hAnsi="宋体" w:eastAsia="宋体"/>
          <w:szCs w:val="21"/>
          <w:lang w:eastAsia="zh-CN"/>
        </w:rPr>
      </w:pPr>
      <w:r>
        <w:rPr>
          <w:rFonts w:hint="eastAsia" w:ascii="宋体" w:hAnsi="宋体" w:eastAsia="宋体" w:cs="Times New Roman"/>
          <w:szCs w:val="21"/>
          <w:lang w:val="en-US" w:eastAsia="zh-CN"/>
        </w:rPr>
        <w:t>4</w:t>
      </w:r>
      <w:r>
        <w:rPr>
          <w:rFonts w:hint="eastAsia" w:ascii="宋体" w:hAnsi="宋体" w:cs="Times New Roman"/>
          <w:szCs w:val="21"/>
          <w:lang w:val="en-US" w:eastAsia="zh-CN"/>
        </w:rPr>
        <w:t>、</w:t>
      </w:r>
      <w:r>
        <w:rPr>
          <w:rFonts w:hint="eastAsia" w:ascii="宋体" w:hAnsi="宋体" w:eastAsia="宋体" w:cs="Times New Roman"/>
          <w:szCs w:val="21"/>
          <w:lang w:val="en-US" w:eastAsia="zh-CN"/>
        </w:rPr>
        <w:t>预算金额：人民币（大写）肆万伍仟元整 （￥45000.00）</w:t>
      </w:r>
    </w:p>
    <w:p w14:paraId="3E8E6BB6">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采购内容：详见</w:t>
      </w:r>
      <w:r>
        <w:rPr>
          <w:rFonts w:hint="eastAsia" w:ascii="宋体" w:hAnsi="宋体" w:cs="Times New Roman"/>
          <w:szCs w:val="21"/>
          <w:lang w:val="en-US" w:eastAsia="zh-CN"/>
        </w:rPr>
        <w:t>《采购项目需求》第二章内容。</w:t>
      </w:r>
    </w:p>
    <w:p w14:paraId="7D4D46D5">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74635DA0">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满足《中华人民共和国政府采购法》第二十二条规定</w:t>
      </w:r>
      <w:r>
        <w:rPr>
          <w:rFonts w:hint="eastAsia" w:ascii="宋体" w:hAnsi="宋体"/>
          <w:szCs w:val="21"/>
          <w:highlight w:val="none"/>
          <w:lang w:eastAsia="zh-CN"/>
        </w:rPr>
        <w:t>：</w:t>
      </w:r>
    </w:p>
    <w:p w14:paraId="547B6C99">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D7008B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59DE8609">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9BDC357">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76BF961B">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5D97E133">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52828DBF">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国内注册（指按工商管理有关规定要求核准登记的）依法取得营业执照，经营范围达到本次采购需求的供应商。</w:t>
      </w:r>
    </w:p>
    <w:p w14:paraId="354ADD59">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w:t>
      </w:r>
    </w:p>
    <w:p w14:paraId="214375FF">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（1）项目负责人 1 名：须持有有效的注册会计师（CPA）执业证书，具备5 年及以上审计执业工作经验，有科研经费或医疗卫生系统审计相关工作经历优先；项目负责人须全程统筹本项目，关键节点工作必须亲自参与，未经采购人书面同意不得更换。</w:t>
      </w:r>
    </w:p>
    <w:p w14:paraId="01CEC7A5">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（2）项目团队其他成员：应具备相应审计实务工作经验，财务、审计等相关专业本科及以上学历，熟悉医疗机构财务及科研经费管理政策。</w:t>
      </w:r>
    </w:p>
    <w:p w14:paraId="2648F65E">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（3）项目现场驻点人员不少于 3 人。</w:t>
      </w:r>
    </w:p>
    <w:p w14:paraId="301208D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4、本项目不允许外包、分包、转包，不接受联合体供应商参与本项目采购活动。</w:t>
      </w:r>
    </w:p>
    <w:p w14:paraId="70323B09">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3944EBD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3FE64566">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7FA08AC4">
      <w:pPr>
        <w:spacing w:line="400" w:lineRule="exact"/>
        <w:ind w:firstLine="422" w:firstLineChars="200"/>
        <w:rPr>
          <w:rFonts w:hint="default" w:ascii="宋体" w:hAnsi="宋体" w:eastAsia="宋体"/>
          <w:b/>
          <w:szCs w:val="21"/>
          <w:highlight w:val="none"/>
          <w:lang w:val="en-US" w:eastAsia="zh-CN"/>
        </w:rPr>
      </w:pPr>
      <w:r>
        <w:rPr>
          <w:rFonts w:hint="eastAsia" w:ascii="宋体" w:hAnsi="宋体"/>
          <w:b/>
          <w:szCs w:val="21"/>
          <w:highlight w:val="none"/>
          <w:lang w:val="en-US" w:eastAsia="zh-CN"/>
        </w:rPr>
        <w:t>四</w:t>
      </w:r>
      <w:r>
        <w:rPr>
          <w:rFonts w:hint="eastAsia" w:ascii="宋体" w:hAnsi="宋体"/>
          <w:b/>
          <w:szCs w:val="21"/>
          <w:highlight w:val="none"/>
        </w:rPr>
        <w:t>、响应文件递交</w:t>
      </w:r>
      <w:r>
        <w:rPr>
          <w:rFonts w:hint="eastAsia" w:ascii="宋体" w:hAnsi="宋体"/>
          <w:b/>
          <w:szCs w:val="21"/>
          <w:highlight w:val="none"/>
          <w:lang w:val="en-US" w:eastAsia="zh-CN"/>
        </w:rPr>
        <w:t>时间和地点</w:t>
      </w:r>
    </w:p>
    <w:p w14:paraId="27C11174">
      <w:pPr>
        <w:snapToGrid w:val="0"/>
        <w:spacing w:line="400" w:lineRule="exact"/>
        <w:ind w:firstLine="420" w:firstLineChars="200"/>
        <w:rPr>
          <w:rFonts w:ascii="宋体" w:hAnsi="宋体"/>
          <w:szCs w:val="21"/>
          <w:highlight w:val="none"/>
        </w:rPr>
      </w:pPr>
      <w:r>
        <w:rPr>
          <w:rFonts w:hint="eastAsia" w:ascii="宋体" w:hAnsi="宋体"/>
          <w:szCs w:val="21"/>
          <w:highlight w:val="none"/>
          <w:lang w:val="en-US" w:eastAsia="zh-CN"/>
        </w:rPr>
        <w:t>1、 递交时间：2026年9月 22日起至2026年9月 24日，</w:t>
      </w:r>
      <w:r>
        <w:rPr>
          <w:rFonts w:hint="eastAsia" w:ascii="宋体" w:hAnsi="宋体" w:cs="Arial"/>
          <w:szCs w:val="21"/>
          <w:lang w:val="en-US" w:eastAsia="zh-CN"/>
        </w:rPr>
        <w:t>每天</w:t>
      </w:r>
      <w:r>
        <w:rPr>
          <w:rFonts w:hint="eastAsia" w:ascii="宋体" w:hAnsi="宋体" w:cs="Arial"/>
          <w:szCs w:val="21"/>
        </w:rPr>
        <w:t>上午8:00-12:00，下午13:30-16:30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555B0511">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7C9EA546">
      <w:pPr>
        <w:spacing w:line="400" w:lineRule="exact"/>
        <w:ind w:firstLine="422" w:firstLineChars="200"/>
        <w:rPr>
          <w:rFonts w:hint="eastAsia" w:ascii="宋体" w:hAnsi="宋体" w:eastAsia="宋体"/>
          <w:b/>
          <w:bCs/>
          <w:szCs w:val="21"/>
          <w:highlight w:val="none"/>
          <w:lang w:val="en-US" w:eastAsia="zh-CN"/>
        </w:rPr>
      </w:pPr>
      <w:r>
        <w:rPr>
          <w:rFonts w:hint="eastAsia" w:ascii="宋体" w:hAnsi="宋体"/>
          <w:b/>
          <w:szCs w:val="21"/>
          <w:highlight w:val="none"/>
        </w:rPr>
        <w:t>※</w:t>
      </w:r>
      <w:r>
        <w:rPr>
          <w:rFonts w:hint="eastAsia" w:ascii="宋体" w:hAnsi="宋体" w:eastAsia="宋体" w:cs="Times New Roman"/>
          <w:b/>
          <w:szCs w:val="21"/>
          <w:highlight w:val="none"/>
        </w:rPr>
        <w:t>特别说明：（</w:t>
      </w:r>
      <w:r>
        <w:rPr>
          <w:rFonts w:hint="eastAsia" w:ascii="宋体" w:hAnsi="宋体" w:cs="Times New Roman"/>
          <w:b/>
          <w:szCs w:val="21"/>
          <w:highlight w:val="none"/>
          <w:lang w:val="en-US" w:eastAsia="zh-CN"/>
        </w:rPr>
        <w:t>1</w:t>
      </w:r>
      <w:r>
        <w:rPr>
          <w:rFonts w:hint="eastAsia" w:ascii="宋体" w:hAnsi="宋体" w:eastAsia="宋体" w:cs="Times New Roman"/>
          <w:b/>
          <w:szCs w:val="21"/>
          <w:highlight w:val="none"/>
        </w:rPr>
        <w:t>）《采购项目报名表》不需要密封，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w:t>
      </w:r>
      <w:r>
        <w:rPr>
          <w:rFonts w:hint="eastAsia" w:ascii="宋体" w:hAnsi="宋体" w:cs="Times New Roman"/>
          <w:b/>
          <w:szCs w:val="21"/>
          <w:highlight w:val="none"/>
          <w:lang w:val="en-US" w:eastAsia="zh-CN"/>
        </w:rPr>
        <w:t>2</w:t>
      </w:r>
      <w:r>
        <w:rPr>
          <w:rFonts w:hint="eastAsia" w:ascii="宋体" w:hAnsi="宋体" w:eastAsia="宋体" w:cs="Times New Roman"/>
          <w:b/>
          <w:szCs w:val="21"/>
          <w:highlight w:val="none"/>
        </w:rPr>
        <w:t>）响应文件加盖单位公章</w:t>
      </w:r>
      <w:r>
        <w:rPr>
          <w:rFonts w:hint="eastAsia" w:ascii="宋体" w:hAnsi="宋体" w:cs="Times New Roman"/>
          <w:b/>
          <w:szCs w:val="21"/>
          <w:highlight w:val="none"/>
          <w:lang w:val="en-US" w:eastAsia="zh-CN"/>
        </w:rPr>
        <w:t>密封</w:t>
      </w:r>
      <w:r>
        <w:rPr>
          <w:rFonts w:hint="eastAsia" w:ascii="宋体" w:hAnsi="宋体" w:eastAsia="宋体" w:cs="Times New Roman"/>
          <w:b/>
          <w:szCs w:val="21"/>
          <w:highlight w:val="none"/>
        </w:rPr>
        <w:t>有效（一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），未按要求密封</w:t>
      </w:r>
      <w:r>
        <w:rPr>
          <w:rFonts w:hint="eastAsia" w:ascii="宋体" w:hAnsi="宋体" w:cs="Times New Roman"/>
          <w:b/>
          <w:szCs w:val="21"/>
          <w:highlight w:val="none"/>
          <w:lang w:val="en-US" w:eastAsia="zh-CN"/>
        </w:rPr>
        <w:t>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Times New Roman"/>
          <w:b/>
          <w:szCs w:val="21"/>
          <w:highlight w:val="none"/>
          <w:lang w:eastAsia="zh-CN"/>
        </w:rPr>
        <w:t>（</w:t>
      </w:r>
      <w:r>
        <w:rPr>
          <w:rFonts w:hint="eastAsia" w:ascii="宋体" w:hAnsi="宋体" w:cs="Times New Roman"/>
          <w:b/>
          <w:szCs w:val="21"/>
          <w:highlight w:val="none"/>
          <w:lang w:val="en-US" w:eastAsia="zh-CN"/>
        </w:rPr>
        <w:t>3）响应文件采用</w:t>
      </w:r>
      <w:r>
        <w:rPr>
          <w:rFonts w:hint="eastAsia" w:ascii="宋体" w:hAnsi="宋体" w:cs="Arial"/>
          <w:b/>
          <w:bCs/>
          <w:szCs w:val="21"/>
          <w:highlight w:val="none"/>
          <w:lang w:val="en-US" w:eastAsia="zh-CN"/>
        </w:rPr>
        <w:t>邮寄或现场递交方式，</w:t>
      </w:r>
      <w:r>
        <w:rPr>
          <w:rFonts w:hint="eastAsia" w:ascii="宋体" w:hAnsi="宋体" w:eastAsia="宋体" w:cs="Times New Roman"/>
          <w:b/>
          <w:szCs w:val="21"/>
          <w:highlight w:val="none"/>
        </w:rPr>
        <w:t>逾时送达的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Arial"/>
          <w:b/>
          <w:bCs/>
          <w:szCs w:val="21"/>
          <w:highlight w:val="none"/>
          <w:lang w:val="en-US" w:eastAsia="zh-CN"/>
        </w:rPr>
        <w:t>；</w:t>
      </w:r>
      <w:r>
        <w:rPr>
          <w:rFonts w:hint="eastAsia" w:ascii="宋体" w:hAnsi="宋体" w:eastAsia="宋体" w:cs="Times New Roman"/>
          <w:b/>
          <w:szCs w:val="21"/>
          <w:highlight w:val="none"/>
        </w:rPr>
        <w:t>（</w:t>
      </w:r>
      <w:r>
        <w:rPr>
          <w:rFonts w:hint="eastAsia" w:ascii="宋体" w:hAnsi="宋体" w:cs="Times New Roman"/>
          <w:b/>
          <w:szCs w:val="21"/>
          <w:highlight w:val="none"/>
          <w:lang w:val="en-US" w:eastAsia="zh-CN"/>
        </w:rPr>
        <w:t>4</w:t>
      </w:r>
      <w:r>
        <w:rPr>
          <w:rFonts w:hint="eastAsia" w:ascii="宋体" w:hAnsi="宋体" w:eastAsia="宋体" w:cs="Times New Roman"/>
          <w:b/>
          <w:szCs w:val="21"/>
          <w:highlight w:val="none"/>
        </w:rPr>
        <w:t>）询价时间由采购人另行电话通知</w:t>
      </w:r>
      <w:r>
        <w:rPr>
          <w:rFonts w:hint="eastAsia" w:ascii="宋体" w:hAnsi="宋体" w:cs="Arial"/>
          <w:b/>
          <w:bCs/>
          <w:szCs w:val="21"/>
          <w:highlight w:val="none"/>
          <w:lang w:val="en-US" w:eastAsia="zh-CN"/>
        </w:rPr>
        <w:t>。</w:t>
      </w:r>
    </w:p>
    <w:p w14:paraId="2AFAF0E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1823BC1E">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w:t>
      </w:r>
      <w:r>
        <w:rPr>
          <w:rFonts w:hint="eastAsia" w:ascii="宋体" w:hAnsi="宋体" w:cs="Arial"/>
          <w:szCs w:val="21"/>
          <w:highlight w:val="none"/>
          <w:lang w:eastAsia="zh-CN"/>
        </w:rPr>
        <w:t>、</w:t>
      </w:r>
      <w:r>
        <w:rPr>
          <w:rFonts w:hint="eastAsia" w:ascii="宋体" w:hAnsi="宋体" w:cs="Arial"/>
          <w:szCs w:val="21"/>
          <w:highlight w:val="none"/>
        </w:rPr>
        <w:t>采购人：广西壮族自治区生殖医院</w:t>
      </w:r>
    </w:p>
    <w:p w14:paraId="1B1DF300">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联系人：</w:t>
      </w:r>
      <w:r>
        <w:rPr>
          <w:rFonts w:hint="eastAsia" w:ascii="宋体" w:hAnsi="宋体" w:cs="Arial"/>
          <w:szCs w:val="21"/>
          <w:highlight w:val="none"/>
          <w:lang w:val="en-US" w:eastAsia="zh-CN"/>
        </w:rPr>
        <w:t>韦</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43D942D5">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w:t>
      </w:r>
      <w:r>
        <w:rPr>
          <w:rFonts w:hint="eastAsia" w:ascii="宋体" w:hAnsi="宋体" w:cs="Arial"/>
          <w:szCs w:val="21"/>
          <w:highlight w:val="none"/>
          <w:lang w:eastAsia="zh-CN"/>
        </w:rPr>
        <w:t>、</w:t>
      </w:r>
      <w:r>
        <w:rPr>
          <w:rFonts w:hint="eastAsia" w:ascii="宋体" w:hAnsi="宋体" w:cs="Arial"/>
          <w:szCs w:val="21"/>
          <w:highlight w:val="none"/>
        </w:rPr>
        <w:t>联系电话：0771-2239975（招标采购办公室）、2239681（监察室）</w:t>
      </w:r>
    </w:p>
    <w:p w14:paraId="772A3170">
      <w:pPr>
        <w:snapToGrid w:val="0"/>
        <w:spacing w:line="400" w:lineRule="exact"/>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5AAC25F7">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5</w:t>
      </w:r>
      <w:r>
        <w:rPr>
          <w:rFonts w:hint="eastAsia" w:ascii="宋体" w:hAnsi="宋体" w:cs="Arial"/>
          <w:szCs w:val="21"/>
          <w:highlight w:val="none"/>
          <w:lang w:eastAsia="zh-CN"/>
        </w:rPr>
        <w:t>、</w:t>
      </w:r>
      <w:r>
        <w:rPr>
          <w:rFonts w:hint="eastAsia" w:ascii="宋体" w:hAnsi="宋体" w:cs="Arial"/>
          <w:szCs w:val="21"/>
          <w:highlight w:val="none"/>
        </w:rPr>
        <w:t>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4A70E17D">
      <w:pPr>
        <w:spacing w:line="400" w:lineRule="exact"/>
        <w:ind w:firstLine="422" w:firstLineChars="200"/>
        <w:rPr>
          <w:rFonts w:hint="eastAsia" w:ascii="宋体" w:hAnsi="宋体"/>
          <w:b/>
          <w:szCs w:val="21"/>
        </w:rPr>
      </w:pPr>
      <w:r>
        <w:rPr>
          <w:rFonts w:hint="eastAsia" w:ascii="宋体" w:hAnsi="宋体"/>
          <w:b/>
          <w:szCs w:val="21"/>
          <w:lang w:val="en-US" w:eastAsia="zh-CN"/>
        </w:rPr>
        <w:t>六</w:t>
      </w:r>
      <w:r>
        <w:rPr>
          <w:rFonts w:hint="eastAsia" w:ascii="宋体" w:hAnsi="宋体"/>
          <w:b/>
          <w:szCs w:val="21"/>
        </w:rPr>
        <w:t>、网上公告媒体查询</w:t>
      </w:r>
    </w:p>
    <w:p w14:paraId="32CC549A">
      <w:pPr>
        <w:snapToGrid w:val="0"/>
        <w:spacing w:line="400" w:lineRule="exact"/>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p>
    <w:p w14:paraId="76B0E58A">
      <w:pPr>
        <w:pStyle w:val="37"/>
        <w:rPr>
          <w:rFonts w:hint="eastAsia"/>
        </w:rPr>
      </w:pPr>
    </w:p>
    <w:p w14:paraId="5F2E9A02">
      <w:pPr>
        <w:pStyle w:val="19"/>
        <w:spacing w:line="400" w:lineRule="exact"/>
        <w:rPr>
          <w:rFonts w:hint="eastAsia" w:ascii="宋体" w:hAnsi="宋体" w:cs="Arial"/>
          <w:szCs w:val="21"/>
          <w:highlight w:val="none"/>
        </w:rPr>
      </w:pPr>
    </w:p>
    <w:p w14:paraId="5187076D">
      <w:pPr>
        <w:widowControl/>
        <w:adjustRightInd w:val="0"/>
        <w:snapToGrid w:val="0"/>
        <w:spacing w:line="400" w:lineRule="exact"/>
        <w:ind w:firstLine="6300" w:firstLineChars="3000"/>
        <w:jc w:val="right"/>
        <w:rPr>
          <w:rFonts w:hint="eastAsia" w:ascii="宋体" w:hAnsi="宋体"/>
          <w:szCs w:val="21"/>
          <w:highlight w:val="none"/>
        </w:rPr>
      </w:pPr>
      <w:r>
        <w:rPr>
          <w:rFonts w:hint="eastAsia" w:ascii="宋体" w:hAnsi="宋体"/>
          <w:szCs w:val="21"/>
          <w:highlight w:val="none"/>
        </w:rPr>
        <w:t>广西壮族自治区生殖医院</w:t>
      </w:r>
    </w:p>
    <w:p w14:paraId="02606B2F">
      <w:pPr>
        <w:widowControl/>
        <w:adjustRightInd w:val="0"/>
        <w:snapToGrid w:val="0"/>
        <w:spacing w:line="400" w:lineRule="exact"/>
        <w:ind w:firstLine="6300" w:firstLineChars="3000"/>
        <w:jc w:val="right"/>
        <w:rPr>
          <w:rFonts w:hint="eastAsia" w:ascii="宋体" w:hAnsi="宋体"/>
          <w:szCs w:val="21"/>
          <w:highlight w:val="none"/>
        </w:rPr>
      </w:pPr>
      <w:r>
        <w:rPr>
          <w:rFonts w:hint="eastAsia" w:ascii="宋体" w:hAnsi="宋体"/>
          <w:szCs w:val="21"/>
          <w:highlight w:val="none"/>
        </w:rPr>
        <w:t xml:space="preserve">   2026年</w:t>
      </w:r>
      <w:r>
        <w:rPr>
          <w:rFonts w:hint="eastAsia" w:ascii="宋体" w:hAnsi="宋体"/>
          <w:szCs w:val="21"/>
          <w:highlight w:val="none"/>
          <w:lang w:val="en-US" w:eastAsia="zh-CN"/>
        </w:rPr>
        <w:t>9</w:t>
      </w:r>
      <w:r>
        <w:rPr>
          <w:rFonts w:hint="eastAsia" w:ascii="宋体" w:hAnsi="宋体"/>
          <w:szCs w:val="21"/>
          <w:highlight w:val="none"/>
        </w:rPr>
        <w:t>月</w:t>
      </w:r>
      <w:r>
        <w:rPr>
          <w:rFonts w:hint="eastAsia" w:ascii="宋体" w:hAnsi="宋体"/>
          <w:szCs w:val="21"/>
          <w:highlight w:val="none"/>
          <w:lang w:val="en-US" w:eastAsia="zh-CN"/>
        </w:rPr>
        <w:t xml:space="preserve"> 21</w:t>
      </w:r>
      <w:r>
        <w:rPr>
          <w:rFonts w:hint="eastAsia" w:ascii="宋体" w:hAnsi="宋体"/>
          <w:szCs w:val="21"/>
          <w:highlight w:val="none"/>
        </w:rPr>
        <w:t>日</w:t>
      </w:r>
    </w:p>
    <w:p w14:paraId="7E2E5FBD">
      <w:pPr>
        <w:rPr>
          <w:rFonts w:hint="eastAsia" w:ascii="宋体" w:hAnsi="宋体"/>
          <w:szCs w:val="21"/>
          <w:highlight w:val="yellow"/>
        </w:rPr>
      </w:pPr>
      <w:r>
        <w:rPr>
          <w:rFonts w:hint="eastAsia" w:ascii="宋体" w:hAnsi="宋体"/>
          <w:szCs w:val="21"/>
          <w:highlight w:val="yellow"/>
        </w:rPr>
        <w:br w:type="page"/>
      </w:r>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6AD37A66">
            <w:pPr>
              <w:pStyle w:val="4"/>
              <w:widowControl/>
              <w:spacing w:beforeAutospacing="0" w:afterAutospacing="0" w:line="480" w:lineRule="auto"/>
              <w:textAlignment w:val="baseline"/>
              <w:rPr>
                <w:rFonts w:hint="eastAsia" w:ascii="仿宋" w:hAnsi="仿宋" w:eastAsia="仿宋" w:cs="仿宋"/>
                <w:b w:val="0"/>
                <w:bCs w:val="0"/>
                <w:kern w:val="2"/>
                <w:sz w:val="28"/>
                <w:szCs w:val="28"/>
                <w:lang w:val="en-US" w:eastAsia="zh-CN" w:bidi="ar-SA"/>
              </w:rPr>
            </w:pPr>
            <w:bookmarkStart w:id="3" w:name="_Toc22895"/>
            <w:r>
              <w:rPr>
                <w:rFonts w:ascii="仿宋" w:hAnsi="仿宋" w:eastAsia="仿宋" w:cs="仿宋"/>
                <w:b w:val="0"/>
                <w:bCs w:val="0"/>
                <w:kern w:val="2"/>
                <w:sz w:val="28"/>
                <w:szCs w:val="28"/>
              </w:rPr>
              <w:t>项目名称</w:t>
            </w:r>
            <w:bookmarkEnd w:id="3"/>
            <w:r>
              <w:rPr>
                <w:rFonts w:hint="eastAsia" w:ascii="仿宋" w:hAnsi="仿宋" w:eastAsia="仿宋" w:cs="仿宋"/>
                <w:b w:val="0"/>
                <w:bCs w:val="0"/>
                <w:kern w:val="2"/>
                <w:sz w:val="28"/>
                <w:szCs w:val="28"/>
                <w:lang w:eastAsia="zh-CN"/>
              </w:rPr>
              <w:t>：</w:t>
            </w:r>
            <w:r>
              <w:rPr>
                <w:rFonts w:hint="eastAsia" w:ascii="仿宋" w:hAnsi="仿宋" w:eastAsia="仿宋" w:cs="仿宋"/>
                <w:b w:val="0"/>
                <w:bCs w:val="0"/>
                <w:kern w:val="2"/>
                <w:sz w:val="28"/>
                <w:szCs w:val="28"/>
              </w:rPr>
              <w:t>2024—2025年度科研经费专项审计服务</w:t>
            </w:r>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w:t>
            </w:r>
            <w:r>
              <w:rPr>
                <w:rFonts w:hint="eastAsia" w:ascii="仿宋" w:hAnsi="仿宋" w:eastAsia="仿宋" w:cs="仿宋"/>
                <w:sz w:val="28"/>
                <w:szCs w:val="28"/>
                <w:highlight w:val="none"/>
                <w:lang w:val="en-US" w:eastAsia="zh-CN"/>
              </w:rPr>
              <w:t>GXSZ2026-007-JYB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val="0"/>
                <w:bCs w:val="0"/>
                <w:kern w:val="2"/>
                <w:sz w:val="28"/>
                <w:szCs w:val="28"/>
                <w:u w:val="single"/>
              </w:rPr>
              <w:t>2024—2025年度科研经费专项审计</w:t>
            </w:r>
            <w:r>
              <w:rPr>
                <w:rFonts w:hint="eastAsia" w:ascii="仿宋" w:hAnsi="仿宋" w:eastAsia="仿宋" w:cs="仿宋"/>
                <w:b w:val="0"/>
                <w:bCs w:val="0"/>
                <w:kern w:val="2"/>
                <w:sz w:val="28"/>
                <w:szCs w:val="28"/>
                <w:u w:val="single"/>
                <w:lang w:val="en-US" w:eastAsia="zh-CN"/>
              </w:rPr>
              <w:t>服务</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4"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4"/>
    </w:p>
    <w:p w14:paraId="030785B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2245CDE1">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为进一步规范医院科研管理，防范经济风险，提升服务质量和资金使用效益，结合医院2026年内部审计工作计划，拟委托独立第三方专业机构对我院2024-2025年科研经费管理使用情况开展专项审计。采购1家服务商。</w:t>
      </w:r>
    </w:p>
    <w:p w14:paraId="0F024C57">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cs="宋体"/>
          <w:b/>
          <w:bCs w:val="0"/>
          <w:sz w:val="21"/>
          <w:szCs w:val="21"/>
          <w:highlight w:val="none"/>
          <w:lang w:val="en-US" w:eastAsia="zh-CN"/>
        </w:rPr>
      </w:pPr>
      <w:r>
        <w:rPr>
          <w:rFonts w:hint="eastAsia" w:ascii="宋体" w:hAnsi="宋体" w:cs="宋体"/>
          <w:b/>
          <w:bCs w:val="0"/>
          <w:sz w:val="21"/>
          <w:szCs w:val="21"/>
          <w:highlight w:val="none"/>
          <w:lang w:val="en-US" w:eastAsia="zh-CN"/>
        </w:rPr>
        <w:t>二、采购项目预（概）算</w:t>
      </w:r>
    </w:p>
    <w:p w14:paraId="00785290">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eastAsia" w:ascii="宋体" w:hAnsi="宋体" w:cs="宋体"/>
          <w:b w:val="0"/>
          <w:bCs/>
          <w:sz w:val="21"/>
          <w:szCs w:val="21"/>
          <w:highlight w:val="none"/>
          <w:lang w:val="en-US" w:eastAsia="zh-CN"/>
        </w:rPr>
      </w:pPr>
      <w:r>
        <w:rPr>
          <w:rFonts w:hint="eastAsia" w:ascii="宋体" w:hAnsi="宋体" w:cs="宋体"/>
          <w:b w:val="0"/>
          <w:bCs/>
          <w:sz w:val="21"/>
          <w:szCs w:val="21"/>
          <w:highlight w:val="none"/>
          <w:lang w:val="en-US" w:eastAsia="zh-CN"/>
        </w:rPr>
        <w:t xml:space="preserve">预算金额：人民币（大写）肆万伍仟元整 （￥45000.00）              </w:t>
      </w:r>
    </w:p>
    <w:p w14:paraId="7E9F95DF">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default" w:ascii="宋体" w:hAnsi="宋体" w:eastAsia="宋体" w:cs="宋体"/>
          <w:b w:val="0"/>
          <w:bCs/>
          <w:sz w:val="21"/>
          <w:szCs w:val="21"/>
          <w:highlight w:val="none"/>
          <w:lang w:val="en-US" w:eastAsia="zh-CN"/>
        </w:rPr>
      </w:pPr>
      <w:r>
        <w:rPr>
          <w:rFonts w:hint="eastAsia" w:ascii="宋体" w:hAnsi="宋体" w:cs="宋体"/>
          <w:b w:val="0"/>
          <w:bCs/>
          <w:sz w:val="21"/>
          <w:szCs w:val="21"/>
          <w:highlight w:val="none"/>
          <w:lang w:val="en-US" w:eastAsia="zh-CN"/>
        </w:rPr>
        <w:t>最高限价：人民币（大写）肆万伍仟元整 （￥45000.00）</w:t>
      </w:r>
    </w:p>
    <w:p w14:paraId="5237A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cs="宋体"/>
          <w:b/>
          <w:sz w:val="21"/>
          <w:szCs w:val="21"/>
          <w:highlight w:val="none"/>
          <w:lang w:val="en-US" w:eastAsia="zh-CN"/>
        </w:rPr>
        <w:t>三</w:t>
      </w:r>
      <w:r>
        <w:rPr>
          <w:rFonts w:hint="eastAsia" w:ascii="宋体" w:hAnsi="宋体" w:eastAsia="宋体" w:cs="宋体"/>
          <w:b/>
          <w:sz w:val="21"/>
          <w:szCs w:val="21"/>
          <w:highlight w:val="none"/>
          <w:lang w:val="en-US" w:eastAsia="zh-CN"/>
        </w:rPr>
        <w:t>、项目需求</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2615"/>
        <w:gridCol w:w="825"/>
        <w:gridCol w:w="875"/>
        <w:gridCol w:w="1197"/>
      </w:tblGrid>
      <w:tr w14:paraId="586B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shd w:val="clear" w:color="auto" w:fill="auto"/>
            <w:vAlign w:val="center"/>
          </w:tcPr>
          <w:p w14:paraId="383F6448">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2615" w:type="dxa"/>
            <w:shd w:val="clear" w:color="auto" w:fill="auto"/>
            <w:vAlign w:val="center"/>
          </w:tcPr>
          <w:p w14:paraId="4A38712D">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825" w:type="dxa"/>
            <w:shd w:val="clear" w:color="auto" w:fill="auto"/>
            <w:vAlign w:val="center"/>
          </w:tcPr>
          <w:p w14:paraId="2E0522C9">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875" w:type="dxa"/>
            <w:shd w:val="clear" w:color="auto" w:fill="auto"/>
            <w:vAlign w:val="center"/>
          </w:tcPr>
          <w:p w14:paraId="77530BA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1197" w:type="dxa"/>
            <w:shd w:val="clear" w:color="auto" w:fill="auto"/>
            <w:vAlign w:val="center"/>
          </w:tcPr>
          <w:p w14:paraId="78D4100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上控单价（元）</w:t>
            </w:r>
          </w:p>
        </w:tc>
      </w:tr>
      <w:tr w14:paraId="4778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00" w:type="dxa"/>
            <w:shd w:val="clear" w:color="auto" w:fill="auto"/>
            <w:vAlign w:val="center"/>
          </w:tcPr>
          <w:p w14:paraId="7DB2EC6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2615" w:type="dxa"/>
            <w:shd w:val="clear" w:color="auto" w:fill="auto"/>
            <w:vAlign w:val="center"/>
          </w:tcPr>
          <w:p w14:paraId="61941185">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2024—2025年度科研经费专项审计服务</w:t>
            </w:r>
          </w:p>
        </w:tc>
        <w:tc>
          <w:tcPr>
            <w:tcW w:w="825" w:type="dxa"/>
            <w:shd w:val="clear" w:color="auto" w:fill="auto"/>
            <w:vAlign w:val="center"/>
          </w:tcPr>
          <w:p w14:paraId="049DD83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项</w:t>
            </w:r>
          </w:p>
        </w:tc>
        <w:tc>
          <w:tcPr>
            <w:tcW w:w="875" w:type="dxa"/>
            <w:shd w:val="clear" w:color="auto" w:fill="auto"/>
            <w:vAlign w:val="center"/>
          </w:tcPr>
          <w:p w14:paraId="55695C0C">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1</w:t>
            </w:r>
          </w:p>
        </w:tc>
        <w:tc>
          <w:tcPr>
            <w:tcW w:w="1197" w:type="dxa"/>
            <w:vAlign w:val="center"/>
          </w:tcPr>
          <w:p w14:paraId="6CD90D5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45000.00</w:t>
            </w:r>
          </w:p>
        </w:tc>
      </w:tr>
    </w:tbl>
    <w:p w14:paraId="4E70F18C">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cs="宋体"/>
          <w:b/>
          <w:kern w:val="2"/>
          <w:sz w:val="21"/>
          <w:szCs w:val="21"/>
          <w:lang w:val="en-US" w:eastAsia="zh-CN" w:bidi="ar-SA"/>
        </w:rPr>
        <w:t>四</w:t>
      </w:r>
      <w:r>
        <w:rPr>
          <w:rFonts w:hint="eastAsia" w:ascii="宋体" w:hAnsi="宋体" w:eastAsia="宋体" w:cs="宋体"/>
          <w:b/>
          <w:kern w:val="2"/>
          <w:sz w:val="21"/>
          <w:szCs w:val="21"/>
          <w:lang w:val="en-US" w:eastAsia="zh-CN" w:bidi="ar-SA"/>
        </w:rPr>
        <w:t>、</w:t>
      </w:r>
      <w:r>
        <w:rPr>
          <w:rFonts w:hint="eastAsia" w:ascii="宋体" w:hAnsi="宋体" w:eastAsia="宋体" w:cs="宋体"/>
          <w:b/>
          <w:sz w:val="21"/>
          <w:szCs w:val="21"/>
          <w:highlight w:val="none"/>
          <w:lang w:val="en-US" w:eastAsia="zh-CN"/>
        </w:rPr>
        <w:t>技术商务需求</w:t>
      </w:r>
    </w:p>
    <w:p w14:paraId="34A3D7C0">
      <w:pPr>
        <w:numPr>
          <w:ilvl w:val="0"/>
          <w:numId w:val="2"/>
        </w:numPr>
        <w:spacing w:line="560" w:lineRule="exact"/>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技术参数及性能配置要求</w:t>
      </w:r>
    </w:p>
    <w:p w14:paraId="66DE30D4">
      <w:pPr>
        <w:numPr>
          <w:ilvl w:val="0"/>
          <w:numId w:val="0"/>
        </w:numPr>
        <w:spacing w:line="560" w:lineRule="exact"/>
        <w:ind w:firstLine="420" w:firstLineChars="200"/>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根据《广西壮族自治区生殖医院2026年专项审计项目实施方案》要求，拟委托第三方专业机构对我院2024—2025年度科研经费管理使用情况开展专项审计。</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759"/>
        <w:gridCol w:w="6523"/>
      </w:tblGrid>
      <w:tr w14:paraId="42909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4078CC32">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序号</w:t>
            </w:r>
          </w:p>
        </w:tc>
        <w:tc>
          <w:tcPr>
            <w:tcW w:w="1759" w:type="dxa"/>
          </w:tcPr>
          <w:p w14:paraId="7C0E66D5">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类型</w:t>
            </w:r>
          </w:p>
        </w:tc>
        <w:tc>
          <w:tcPr>
            <w:tcW w:w="6523" w:type="dxa"/>
          </w:tcPr>
          <w:p w14:paraId="2EE3A3C2">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要求</w:t>
            </w:r>
          </w:p>
        </w:tc>
      </w:tr>
      <w:tr w14:paraId="78C5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D4AD3B0">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1</w:t>
            </w:r>
          </w:p>
        </w:tc>
        <w:tc>
          <w:tcPr>
            <w:tcW w:w="1759" w:type="dxa"/>
          </w:tcPr>
          <w:p w14:paraId="602F6ED0">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委托审计内容与重点</w:t>
            </w:r>
          </w:p>
        </w:tc>
        <w:tc>
          <w:tcPr>
            <w:tcW w:w="6523" w:type="dxa"/>
          </w:tcPr>
          <w:p w14:paraId="215D3702">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围绕“合规性、合理性、效益性”三大维度，重点核查2024—2025年度科研经费管理使用情况，涵盖科研项目全生命周期管理及资金使用的各关键环节，针对审计发现的问题，必要时可向前追溯问题发生源头，向后延伸核查整改处置情况，完整核实问题全貌。审计涉及科研项目约61项（其中纵向课题51项、横向课题10项），项目立项经费总额约521万元。重点核查以下五个方面：</w:t>
            </w:r>
          </w:p>
          <w:p w14:paraId="562890B2">
            <w:pPr>
              <w:numPr>
                <w:ilvl w:val="0"/>
                <w:numId w:val="3"/>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科研经费内部控制体系建设与执行情况：审查医院科研经费管理、预算调整、间接费用分配、结余资金管理等制度是否健全有效；科研项目从申报、立项、中验、结题到结账的全生命周期管理是否规范；科研、财务、审计等部门在经费监管中的职责是否清晰，是否形成有效的联动监管机制。</w:t>
            </w:r>
          </w:p>
          <w:p w14:paraId="01203D67">
            <w:pPr>
              <w:numPr>
                <w:ilvl w:val="0"/>
                <w:numId w:val="3"/>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预算编制与执行的合规性：审查项目预算编制是否科学合理，是否存在虚报预算套取资金的情况；经费支出是否严格按照批复预算执行，有无超预算、无预算支出；预算调整是否履行了规定的审批程序。</w:t>
            </w:r>
          </w:p>
          <w:p w14:paraId="77237956">
            <w:pPr>
              <w:numPr>
                <w:ilvl w:val="0"/>
                <w:numId w:val="3"/>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经费支出真实性、相关性及合理性：逐笔核查大额支出，重点关注人员劳务费是否存在虚列冒领情况；设备与材料采购是否真实用于科研，购置设备是否纳入固定资产管理；测试化验加工费是否存在虚构业务、关联交易转移资金等问题；差旅/会议费是否与科研任务直接相关。</w:t>
            </w:r>
          </w:p>
          <w:p w14:paraId="4D32F80B">
            <w:pPr>
              <w:numPr>
                <w:ilvl w:val="0"/>
                <w:numId w:val="3"/>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经费使用与科研产出的匹配性（效益性审计）：对照项目合同书，审查科研产出（论文、专利、成果转化等）是否达标，经费投入与产出是否匹配，专项资金是否真正发挥了引导和支撑作用，重点关注“重立项、轻结题”、结题不结账及经费长期闲置沉淀问题。</w:t>
            </w:r>
          </w:p>
          <w:p w14:paraId="17D5EF4B">
            <w:pPr>
              <w:numPr>
                <w:ilvl w:val="0"/>
                <w:numId w:val="3"/>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科研经费使用“负面清单”排查：根据相关资金管理办法及负面清单，重点排查是否存在将科研经费用于支付罚款、捐款、赞助、投资及个人家庭消费等与科研无关的支出，是否存在违规转拨、套取经费等触碰红线的行为。</w:t>
            </w:r>
          </w:p>
        </w:tc>
      </w:tr>
      <w:tr w14:paraId="14E3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7D58B30A">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2</w:t>
            </w:r>
          </w:p>
        </w:tc>
        <w:tc>
          <w:tcPr>
            <w:tcW w:w="1759" w:type="dxa"/>
          </w:tcPr>
          <w:p w14:paraId="285C0706">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eastAsia="zh-CN"/>
              </w:rPr>
            </w:pPr>
            <w:r>
              <w:rPr>
                <w:rFonts w:hint="eastAsia" w:asciiTheme="minorEastAsia" w:hAnsiTheme="minorEastAsia" w:eastAsiaTheme="minorEastAsia" w:cstheme="minorEastAsia"/>
                <w:b/>
                <w:bCs/>
                <w:sz w:val="21"/>
                <w:szCs w:val="21"/>
                <w:vertAlign w:val="baseline"/>
              </w:rPr>
              <w:t>项目成果</w:t>
            </w:r>
            <w:r>
              <w:rPr>
                <w:rFonts w:hint="eastAsia" w:asciiTheme="minorEastAsia" w:hAnsiTheme="minorEastAsia" w:eastAsiaTheme="minorEastAsia" w:cstheme="minorEastAsia"/>
                <w:b/>
                <w:bCs/>
                <w:sz w:val="21"/>
                <w:szCs w:val="21"/>
                <w:vertAlign w:val="baseline"/>
                <w:lang w:eastAsia="zh-CN"/>
              </w:rPr>
              <w:t>（</w:t>
            </w:r>
            <w:r>
              <w:rPr>
                <w:rFonts w:hint="eastAsia" w:asciiTheme="minorEastAsia" w:hAnsiTheme="minorEastAsia" w:eastAsiaTheme="minorEastAsia" w:cstheme="minorEastAsia"/>
                <w:b/>
                <w:bCs/>
                <w:sz w:val="21"/>
                <w:szCs w:val="21"/>
                <w:vertAlign w:val="baseline"/>
              </w:rPr>
              <w:t>包括但不限于以下内容</w:t>
            </w:r>
            <w:r>
              <w:rPr>
                <w:rFonts w:hint="eastAsia" w:asciiTheme="minorEastAsia" w:hAnsiTheme="minorEastAsia" w:eastAsiaTheme="minorEastAsia" w:cstheme="minorEastAsia"/>
                <w:b/>
                <w:bCs/>
                <w:sz w:val="21"/>
                <w:szCs w:val="21"/>
                <w:vertAlign w:val="baseline"/>
                <w:lang w:eastAsia="zh-CN"/>
              </w:rPr>
              <w:t>）</w:t>
            </w:r>
          </w:p>
        </w:tc>
        <w:tc>
          <w:tcPr>
            <w:tcW w:w="6523" w:type="dxa"/>
          </w:tcPr>
          <w:p w14:paraId="536300F0">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val="0"/>
                <w:bCs w:val="0"/>
                <w:sz w:val="21"/>
                <w:szCs w:val="21"/>
                <w:vertAlign w:val="baseline"/>
              </w:rPr>
              <w:t>《广西壮族自治区生殖医院 2024—2025 年度科研经费专项审计项目实施方案》；全套审计工作底稿（含审计取证单、佐证证据材料，按规范索引整理）；审计报告（含征求意见稿、正式版）；审计发现问题清单（含问题定性、法规依据、整改建议）等全部项目档案资料，需同时提供纸质版与可编辑电子版。</w:t>
            </w:r>
          </w:p>
        </w:tc>
      </w:tr>
      <w:tr w14:paraId="56B1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E2DBDD9">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3</w:t>
            </w:r>
          </w:p>
        </w:tc>
        <w:tc>
          <w:tcPr>
            <w:tcW w:w="1759" w:type="dxa"/>
          </w:tcPr>
          <w:p w14:paraId="3C0B432E">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项目实施时限与驻场工作要求</w:t>
            </w:r>
          </w:p>
        </w:tc>
        <w:tc>
          <w:tcPr>
            <w:tcW w:w="6523" w:type="dxa"/>
          </w:tcPr>
          <w:p w14:paraId="0CB65085">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项目组进驻院内调研工作不得少于7个工作日，进点后30个日历天出具审计报告初稿，45个日历天出具正式审计报告。</w:t>
            </w:r>
          </w:p>
        </w:tc>
      </w:tr>
      <w:tr w14:paraId="2BB55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24C688DD">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4</w:t>
            </w:r>
          </w:p>
        </w:tc>
        <w:tc>
          <w:tcPr>
            <w:tcW w:w="1759" w:type="dxa"/>
          </w:tcPr>
          <w:p w14:paraId="6F74D002">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项目团队及驻点人员要求</w:t>
            </w:r>
          </w:p>
        </w:tc>
        <w:tc>
          <w:tcPr>
            <w:tcW w:w="6523" w:type="dxa"/>
          </w:tcPr>
          <w:p w14:paraId="0CE90356">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项目负责人 1 名：须持有有效的注册会计师（CPA）执业证书，具备5 年及以上审计执业工作经验，有科研经费或医疗卫生系统审计相关工作经历优先；项目负责人须全程统筹本项目，关键节点工作必须亲自参与，未经采购人书面同意不得更换。</w:t>
            </w:r>
          </w:p>
          <w:p w14:paraId="3D048F27">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项目团队其他成员：应具备相应审计实务工作经验，财务、审计等相关专业本科及以上学历，熟悉医疗机构财务及科研经费管理政策。</w:t>
            </w:r>
          </w:p>
          <w:p w14:paraId="5CDAE263">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项目现场驻点人员不少于 3 人。</w:t>
            </w:r>
          </w:p>
        </w:tc>
      </w:tr>
    </w:tbl>
    <w:p w14:paraId="623331EA">
      <w:pPr>
        <w:numPr>
          <w:ilvl w:val="0"/>
          <w:numId w:val="0"/>
        </w:numPr>
        <w:spacing w:line="560" w:lineRule="exact"/>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（二）商务要求</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552"/>
        <w:gridCol w:w="6730"/>
      </w:tblGrid>
      <w:tr w14:paraId="6074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5FF785C2">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序号</w:t>
            </w:r>
          </w:p>
        </w:tc>
        <w:tc>
          <w:tcPr>
            <w:tcW w:w="1552" w:type="dxa"/>
          </w:tcPr>
          <w:p w14:paraId="4A4A9757">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类型</w:t>
            </w:r>
          </w:p>
        </w:tc>
        <w:tc>
          <w:tcPr>
            <w:tcW w:w="6730" w:type="dxa"/>
          </w:tcPr>
          <w:p w14:paraId="4F06870A">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要求</w:t>
            </w:r>
          </w:p>
        </w:tc>
      </w:tr>
      <w:tr w14:paraId="41E0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22" w:type="dxa"/>
          </w:tcPr>
          <w:p w14:paraId="3276EB0B">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1</w:t>
            </w:r>
          </w:p>
        </w:tc>
        <w:tc>
          <w:tcPr>
            <w:tcW w:w="1552" w:type="dxa"/>
          </w:tcPr>
          <w:p w14:paraId="5894ED79">
            <w:pPr>
              <w:numPr>
                <w:ilvl w:val="0"/>
                <w:numId w:val="0"/>
              </w:numPr>
              <w:spacing w:line="560" w:lineRule="exact"/>
              <w:jc w:val="left"/>
              <w:rPr>
                <w:rFonts w:hint="eastAsia" w:asciiTheme="minorEastAsia" w:hAnsiTheme="minorEastAsia" w:eastAsiaTheme="minorEastAsia" w:cstheme="minorEastAsia"/>
                <w:b/>
                <w:bCs/>
                <w:sz w:val="21"/>
                <w:szCs w:val="21"/>
                <w:highlight w:val="none"/>
                <w:vertAlign w:val="baseline"/>
              </w:rPr>
            </w:pPr>
            <w:r>
              <w:rPr>
                <w:rFonts w:hint="eastAsia" w:asciiTheme="minorEastAsia" w:hAnsiTheme="minorEastAsia" w:eastAsiaTheme="minorEastAsia" w:cstheme="minorEastAsia"/>
                <w:b/>
                <w:bCs/>
                <w:color w:val="auto"/>
                <w:sz w:val="21"/>
                <w:szCs w:val="21"/>
                <w:highlight w:val="none"/>
                <w:vertAlign w:val="baseline"/>
              </w:rPr>
              <w:t>交付使用时间及地点</w:t>
            </w:r>
          </w:p>
        </w:tc>
        <w:tc>
          <w:tcPr>
            <w:tcW w:w="6730" w:type="dxa"/>
          </w:tcPr>
          <w:p w14:paraId="723B5F3E">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交付时间：项目组进驻院内调研工作不得少于7个工作日，进点后30个日历天出具审计报告初稿，45个日历天出具正式审计报告。</w:t>
            </w:r>
          </w:p>
          <w:p w14:paraId="2E05F522">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交付地点：采购方</w:t>
            </w:r>
            <w:r>
              <w:rPr>
                <w:rFonts w:hint="eastAsia" w:asciiTheme="minorEastAsia" w:hAnsiTheme="minorEastAsia" w:eastAsiaTheme="minorEastAsia" w:cstheme="minorEastAsia"/>
                <w:b w:val="0"/>
                <w:bCs w:val="0"/>
                <w:sz w:val="21"/>
                <w:szCs w:val="21"/>
                <w:vertAlign w:val="baseline"/>
              </w:rPr>
              <w:t xml:space="preserve">指定地点 </w:t>
            </w:r>
          </w:p>
        </w:tc>
      </w:tr>
      <w:tr w14:paraId="0F3D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722" w:type="dxa"/>
          </w:tcPr>
          <w:p w14:paraId="685A0CF8">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2</w:t>
            </w:r>
          </w:p>
        </w:tc>
        <w:tc>
          <w:tcPr>
            <w:tcW w:w="1552" w:type="dxa"/>
          </w:tcPr>
          <w:p w14:paraId="66348651">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付款方式</w:t>
            </w:r>
          </w:p>
        </w:tc>
        <w:tc>
          <w:tcPr>
            <w:tcW w:w="6730" w:type="dxa"/>
          </w:tcPr>
          <w:p w14:paraId="3DD3E2CC">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全额付款：本项目无预付款。服务商提交项目成果后，采购方应在 10 个工作日内组织验收；验收合格的，服务商向采购方开具合法有效的增值税普通发票。采购方在收到合格发票后 20 个工作日内，一次性支付本项目合同总价款。</w:t>
            </w:r>
          </w:p>
        </w:tc>
      </w:tr>
      <w:tr w14:paraId="7665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1E9F7A0C">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3</w:t>
            </w:r>
          </w:p>
        </w:tc>
        <w:tc>
          <w:tcPr>
            <w:tcW w:w="1552" w:type="dxa"/>
          </w:tcPr>
          <w:p w14:paraId="79DF79E5">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履约保证金</w:t>
            </w:r>
          </w:p>
        </w:tc>
        <w:tc>
          <w:tcPr>
            <w:tcW w:w="6730" w:type="dxa"/>
          </w:tcPr>
          <w:p w14:paraId="58BF8D28">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无</w:t>
            </w:r>
          </w:p>
        </w:tc>
      </w:tr>
      <w:tr w14:paraId="0AD4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48EAA20">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4</w:t>
            </w:r>
          </w:p>
        </w:tc>
        <w:tc>
          <w:tcPr>
            <w:tcW w:w="1552" w:type="dxa"/>
          </w:tcPr>
          <w:p w14:paraId="6AEC1578">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验收标准</w:t>
            </w:r>
          </w:p>
        </w:tc>
        <w:tc>
          <w:tcPr>
            <w:tcW w:w="6730" w:type="dxa"/>
          </w:tcPr>
          <w:p w14:paraId="2828832E">
            <w:pPr>
              <w:numPr>
                <w:ilvl w:val="0"/>
                <w:numId w:val="4"/>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审计范围符合合同约定，完整覆盖指定年度及全部科研项目；审计工作按照注册会计师审计准则及科研经费审计相关指引执行，审计底稿完整可复核；</w:t>
            </w:r>
          </w:p>
          <w:p w14:paraId="7ADAA716">
            <w:pPr>
              <w:numPr>
                <w:ilvl w:val="0"/>
                <w:numId w:val="4"/>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正式专项审计报告数据真实准确，完整反映各科研项目资金到位、预算执行、经费支出合规情况，对发现问题定性依据充分，整改建议具备可操作性；</w:t>
            </w:r>
          </w:p>
          <w:p w14:paraId="4BF89395">
            <w:pPr>
              <w:numPr>
                <w:ilvl w:val="0"/>
                <w:numId w:val="4"/>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 xml:space="preserve">按约定份数交付纸质审计报告及电子版全套资料，服务商配合采购方完成报告解读答疑工作。采购方收到审计成果后 10 个工作日内完成验收；若成果存在重大错漏、审计范围缺失等问题，采购方书面告知服务商，服务商须在 7 个工作日内免费补充审计、整改修正并重新提交全套报告资料。采购方逾期未提出书面异议的，视为本次验收合格。 </w:t>
            </w:r>
          </w:p>
        </w:tc>
      </w:tr>
      <w:tr w14:paraId="59BB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21C3E59">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5</w:t>
            </w:r>
          </w:p>
        </w:tc>
        <w:tc>
          <w:tcPr>
            <w:tcW w:w="1552" w:type="dxa"/>
          </w:tcPr>
          <w:p w14:paraId="43D3E4C0">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违约责任</w:t>
            </w:r>
          </w:p>
        </w:tc>
        <w:tc>
          <w:tcPr>
            <w:tcW w:w="6730" w:type="dxa"/>
          </w:tcPr>
          <w:p w14:paraId="77253973">
            <w:pPr>
              <w:numPr>
                <w:ilvl w:val="0"/>
                <w:numId w:val="5"/>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任何一方违反本合同约定，均应承担违约责任。</w:t>
            </w:r>
          </w:p>
          <w:p w14:paraId="44B6E0B7">
            <w:pPr>
              <w:numPr>
                <w:ilvl w:val="0"/>
                <w:numId w:val="5"/>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highlight w:val="none"/>
                <w:vertAlign w:val="baseline"/>
                <w:lang w:val="en-US" w:eastAsia="zh-CN"/>
              </w:rPr>
            </w:pPr>
            <w:r>
              <w:rPr>
                <w:rFonts w:hint="eastAsia" w:asciiTheme="minorEastAsia" w:hAnsiTheme="minorEastAsia" w:eastAsiaTheme="minorEastAsia" w:cstheme="minorEastAsia"/>
                <w:b w:val="0"/>
                <w:bCs w:val="0"/>
                <w:sz w:val="21"/>
                <w:szCs w:val="21"/>
                <w:highlight w:val="none"/>
                <w:vertAlign w:val="baseline"/>
                <w:lang w:val="en-US" w:eastAsia="zh-CN"/>
              </w:rPr>
              <w:t>服务商逾期提交审计报告，每逾期一日按合同总额万分之三支付违约金；逾期超过 15 日，采购方可解除合同并要求服务商承担合同总额 20% 违约金。</w:t>
            </w:r>
          </w:p>
          <w:p w14:paraId="40109EB6">
            <w:pPr>
              <w:numPr>
                <w:ilvl w:val="0"/>
                <w:numId w:val="5"/>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服务商审计成果验收不合格，未在约定期限内整改合格的，采购方有权不予支付服务费。</w:t>
            </w:r>
          </w:p>
          <w:p w14:paraId="21DA4F13">
            <w:pPr>
              <w:numPr>
                <w:ilvl w:val="0"/>
                <w:numId w:val="5"/>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服务商存在重大审计遗漏、隐瞒问题、出具虚假审计报告，造成采购方被主管部门问责的，服务商退还全部费用，并支付合同总额 30% 违约金，赔偿采购方由此产生的全部损失。</w:t>
            </w:r>
          </w:p>
          <w:p w14:paraId="585DD6C4">
            <w:pPr>
              <w:numPr>
                <w:ilvl w:val="0"/>
                <w:numId w:val="5"/>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服务商擅自转包项目、泄露审计资料的，承担合同总额 15% 违约金。</w:t>
            </w:r>
          </w:p>
          <w:p w14:paraId="5AF25EF4">
            <w:pPr>
              <w:numPr>
                <w:ilvl w:val="0"/>
                <w:numId w:val="5"/>
              </w:numPr>
              <w:spacing w:line="560" w:lineRule="exact"/>
              <w:ind w:left="425" w:leftChars="0" w:hanging="425" w:firstLine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 xml:space="preserve">采购方逾期付款的，每逾期一日按应付未付款项万分之三支付违约金。              </w:t>
            </w:r>
          </w:p>
        </w:tc>
      </w:tr>
    </w:tbl>
    <w:p w14:paraId="7F1F4114">
      <w:pPr>
        <w:numPr>
          <w:ilvl w:val="0"/>
          <w:numId w:val="0"/>
        </w:numPr>
        <w:spacing w:line="560" w:lineRule="exact"/>
        <w:jc w:val="left"/>
        <w:rPr>
          <w:rFonts w:hint="eastAsia" w:asciiTheme="minorEastAsia" w:hAnsiTheme="minorEastAsia" w:eastAsiaTheme="minorEastAsia" w:cstheme="minorEastAsia"/>
          <w:b/>
          <w:bCs/>
          <w:sz w:val="21"/>
          <w:szCs w:val="21"/>
        </w:rPr>
      </w:pPr>
    </w:p>
    <w:p w14:paraId="2A9B128D">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5" w:name="_Toc18067"/>
      <w:r>
        <w:rPr>
          <w:rFonts w:hint="eastAsia" w:ascii="Times New Roman" w:hAnsi="Times New Roman" w:eastAsia="宋体" w:cs="Times New Roman"/>
          <w:sz w:val="36"/>
          <w:szCs w:val="36"/>
          <w:highlight w:val="none"/>
          <w:lang w:val="en-US" w:eastAsia="zh-CN"/>
        </w:rPr>
        <w:t>第三章 响应文件格式</w:t>
      </w:r>
      <w:bookmarkEnd w:id="5"/>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8"/>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8"/>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8"/>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8"/>
        <w:spacing w:line="360" w:lineRule="auto"/>
        <w:ind w:firstLine="616" w:firstLineChars="257"/>
        <w:jc w:val="right"/>
        <w:rPr>
          <w:rFonts w:hint="eastAsia"/>
          <w:sz w:val="24"/>
          <w:szCs w:val="24"/>
          <w:highlight w:val="none"/>
          <w:u w:val="single"/>
        </w:rPr>
      </w:pPr>
    </w:p>
    <w:p w14:paraId="4A83CCAB">
      <w:pPr>
        <w:pStyle w:val="18"/>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07496639">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2"/>
          <w:sz w:val="21"/>
          <w:szCs w:val="21"/>
          <w:lang w:val="en-US" w:eastAsia="zh-CN" w:bidi="ar-SA"/>
        </w:rPr>
        <w:t>一、有效的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r>
        <w:rPr>
          <w:rFonts w:hint="eastAsia" w:ascii="宋体" w:hAnsi="宋体" w:cs="宋体"/>
          <w:b/>
          <w:bCs w:val="0"/>
          <w:color w:val="000000"/>
          <w:sz w:val="21"/>
          <w:szCs w:val="21"/>
          <w:highlight w:val="none"/>
          <w:lang w:eastAsia="zh-CN"/>
        </w:rPr>
        <w:t>。</w:t>
      </w:r>
    </w:p>
    <w:p w14:paraId="484ACBAC">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color w:val="000000"/>
          <w:sz w:val="21"/>
          <w:szCs w:val="21"/>
          <w:highlight w:val="none"/>
          <w:lang w:eastAsia="zh-CN"/>
        </w:rPr>
      </w:pPr>
    </w:p>
    <w:p w14:paraId="78E96BA1">
      <w:pPr>
        <w:keepNext w:val="0"/>
        <w:keepLines w:val="0"/>
        <w:pageBreakBefore w:val="0"/>
        <w:numPr>
          <w:ilvl w:val="0"/>
          <w:numId w:val="6"/>
        </w:numPr>
        <w:kinsoku/>
        <w:overflowPunct/>
        <w:topLinePunct w:val="0"/>
        <w:bidi w:val="0"/>
        <w:snapToGrid w:val="0"/>
        <w:spacing w:line="400" w:lineRule="exact"/>
        <w:textAlignment w:val="auto"/>
        <w:rPr>
          <w:rFonts w:hint="eastAsia"/>
          <w:lang w:eastAsia="zh-CN"/>
        </w:rPr>
      </w:pPr>
      <w:r>
        <w:rPr>
          <w:rFonts w:hint="eastAsia" w:ascii="宋体" w:hAnsi="宋体" w:eastAsia="宋体" w:cs="宋体"/>
          <w:b/>
          <w:bCs w:val="0"/>
          <w:color w:val="000000"/>
          <w:sz w:val="21"/>
          <w:szCs w:val="21"/>
          <w:highlight w:val="none"/>
          <w:lang w:eastAsia="zh-CN"/>
        </w:rPr>
        <w:t>法定代表人完整有效的身份证复印件（必须提供）</w:t>
      </w:r>
      <w:r>
        <w:rPr>
          <w:rFonts w:hint="eastAsia" w:ascii="宋体" w:hAnsi="宋体" w:cs="宋体"/>
          <w:b/>
          <w:bCs w:val="0"/>
          <w:color w:val="000000"/>
          <w:sz w:val="21"/>
          <w:szCs w:val="21"/>
          <w:highlight w:val="none"/>
          <w:lang w:eastAsia="zh-CN"/>
        </w:rPr>
        <w:t>。</w:t>
      </w:r>
    </w:p>
    <w:p w14:paraId="2043AA04">
      <w:pPr>
        <w:keepNext w:val="0"/>
        <w:keepLines w:val="0"/>
        <w:pageBreakBefore w:val="0"/>
        <w:widowControl w:val="0"/>
        <w:numPr>
          <w:ilvl w:val="0"/>
          <w:numId w:val="0"/>
        </w:numPr>
        <w:kinsoku/>
        <w:overflowPunct/>
        <w:topLinePunct w:val="0"/>
        <w:bidi w:val="0"/>
        <w:snapToGrid w:val="0"/>
        <w:spacing w:line="400" w:lineRule="exact"/>
        <w:jc w:val="both"/>
        <w:textAlignment w:val="auto"/>
        <w:rPr>
          <w:rFonts w:hint="eastAsia" w:ascii="宋体" w:hAnsi="宋体" w:cs="宋体"/>
          <w:b/>
          <w:bCs w:val="0"/>
          <w:color w:val="000000"/>
          <w:sz w:val="21"/>
          <w:szCs w:val="21"/>
          <w:highlight w:val="none"/>
          <w:lang w:eastAsia="zh-CN"/>
        </w:rPr>
      </w:pPr>
    </w:p>
    <w:p w14:paraId="0D35EAF2">
      <w:pPr>
        <w:keepNext w:val="0"/>
        <w:keepLines w:val="0"/>
        <w:pageBreakBefore w:val="0"/>
        <w:widowControl w:val="0"/>
        <w:numPr>
          <w:ilvl w:val="0"/>
          <w:numId w:val="0"/>
        </w:numPr>
        <w:kinsoku/>
        <w:overflowPunct/>
        <w:topLinePunct w:val="0"/>
        <w:bidi w:val="0"/>
        <w:snapToGrid w:val="0"/>
        <w:spacing w:line="400" w:lineRule="exact"/>
        <w:jc w:val="both"/>
        <w:textAlignment w:val="auto"/>
        <w:rPr>
          <w:rFonts w:hint="default" w:ascii="宋体" w:hAnsi="宋体" w:cs="宋体"/>
          <w:b/>
          <w:bCs w:val="0"/>
          <w:color w:val="000000"/>
          <w:sz w:val="21"/>
          <w:szCs w:val="21"/>
          <w:highlight w:val="none"/>
          <w:lang w:val="en-US" w:eastAsia="zh-CN"/>
        </w:rPr>
      </w:pPr>
      <w:r>
        <w:rPr>
          <w:rFonts w:hint="eastAsia" w:ascii="宋体" w:hAnsi="宋体" w:cs="宋体"/>
          <w:b/>
          <w:bCs w:val="0"/>
          <w:color w:val="000000"/>
          <w:sz w:val="21"/>
          <w:szCs w:val="21"/>
          <w:highlight w:val="none"/>
          <w:lang w:val="en-US" w:eastAsia="zh-CN"/>
        </w:rPr>
        <w:t>三、需提供项目负责人的持有有效的注册会计师（CPA）执业证书</w:t>
      </w:r>
      <w:r>
        <w:rPr>
          <w:rFonts w:hint="eastAsia" w:ascii="宋体" w:hAnsi="宋体" w:eastAsia="宋体" w:cs="宋体"/>
          <w:b/>
          <w:bCs w:val="0"/>
          <w:color w:val="000000"/>
          <w:sz w:val="21"/>
          <w:szCs w:val="21"/>
          <w:highlight w:val="none"/>
          <w:lang w:eastAsia="zh-CN"/>
        </w:rPr>
        <w:t>（必须提供）</w:t>
      </w:r>
      <w:r>
        <w:rPr>
          <w:rFonts w:hint="eastAsia" w:ascii="宋体" w:hAnsi="宋体" w:cs="宋体"/>
          <w:b/>
          <w:bCs w:val="0"/>
          <w:color w:val="000000"/>
          <w:sz w:val="21"/>
          <w:szCs w:val="21"/>
          <w:highlight w:val="none"/>
          <w:lang w:val="en-US" w:eastAsia="zh-CN"/>
        </w:rPr>
        <w:t>。</w:t>
      </w:r>
    </w:p>
    <w:p w14:paraId="64B529A2">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3F390E3E">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cs="宋体"/>
          <w:b/>
          <w:bCs w:val="0"/>
          <w:color w:val="000000"/>
          <w:sz w:val="21"/>
          <w:szCs w:val="21"/>
          <w:highlight w:val="none"/>
          <w:lang w:val="en-US" w:eastAsia="zh-CN"/>
        </w:rPr>
        <w:t>四</w:t>
      </w:r>
      <w:r>
        <w:rPr>
          <w:rFonts w:hint="eastAsia" w:ascii="宋体" w:hAnsi="宋体" w:eastAsia="宋体" w:cs="宋体"/>
          <w:b/>
          <w:bCs w:val="0"/>
          <w:color w:val="000000"/>
          <w:sz w:val="21"/>
          <w:szCs w:val="21"/>
          <w:highlight w:val="none"/>
          <w:lang w:val="en-US" w:eastAsia="zh-CN"/>
        </w:rPr>
        <w:t>、</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cs="宋体"/>
          <w:b/>
          <w:bCs w:val="0"/>
          <w:color w:val="000000"/>
          <w:sz w:val="21"/>
          <w:szCs w:val="21"/>
          <w:highlight w:val="yellow"/>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依法缴纳税收</w:t>
      </w:r>
      <w:r>
        <w:rPr>
          <w:rFonts w:hint="eastAsia" w:ascii="宋体" w:hAnsi="宋体" w:eastAsia="宋体" w:cs="宋体"/>
          <w:b/>
          <w:bCs w:val="0"/>
          <w:color w:val="000000"/>
          <w:sz w:val="21"/>
          <w:szCs w:val="21"/>
          <w:highlight w:val="none"/>
          <w:lang w:eastAsia="zh-CN"/>
        </w:rPr>
        <w:t>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r>
        <w:rPr>
          <w:rFonts w:hint="eastAsia" w:ascii="宋体" w:hAnsi="宋体" w:cs="宋体"/>
          <w:b/>
          <w:bCs w:val="0"/>
          <w:color w:val="000000"/>
          <w:sz w:val="21"/>
          <w:szCs w:val="21"/>
          <w:highlight w:val="none"/>
          <w:lang w:eastAsia="zh-CN"/>
        </w:rPr>
        <w:t>。</w:t>
      </w:r>
    </w:p>
    <w:p w14:paraId="15B7DD43">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0EA1E265">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cs="宋体"/>
          <w:b/>
          <w:bCs w:val="0"/>
          <w:color w:val="000000"/>
          <w:sz w:val="21"/>
          <w:szCs w:val="21"/>
          <w:highlight w:val="none"/>
          <w:lang w:val="en-US" w:eastAsia="zh-CN"/>
        </w:rPr>
        <w:t>五</w:t>
      </w:r>
      <w:r>
        <w:rPr>
          <w:rFonts w:hint="eastAsia" w:ascii="宋体" w:hAnsi="宋体" w:eastAsia="宋体" w:cs="宋体"/>
          <w:b/>
          <w:bCs w:val="0"/>
          <w:color w:val="000000"/>
          <w:sz w:val="21"/>
          <w:szCs w:val="21"/>
          <w:highlight w:val="none"/>
          <w:lang w:val="en-US" w:eastAsia="zh-CN"/>
        </w:rPr>
        <w:t>、</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cs="宋体"/>
          <w:b/>
          <w:bCs w:val="0"/>
          <w:color w:val="000000"/>
          <w:sz w:val="21"/>
          <w:szCs w:val="21"/>
          <w:highlight w:val="yellow"/>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依法缴纳社会保障资金</w:t>
      </w:r>
      <w:r>
        <w:rPr>
          <w:rFonts w:hint="eastAsia" w:ascii="宋体" w:hAnsi="宋体" w:eastAsia="宋体" w:cs="宋体"/>
          <w:b/>
          <w:bCs w:val="0"/>
          <w:color w:val="000000"/>
          <w:sz w:val="21"/>
          <w:szCs w:val="21"/>
          <w:highlight w:val="none"/>
          <w:lang w:eastAsia="zh-CN"/>
        </w:rPr>
        <w:t>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w:t>
      </w:r>
      <w:r>
        <w:rPr>
          <w:rFonts w:hint="eastAsia" w:ascii="宋体" w:hAnsi="宋体" w:cs="宋体"/>
          <w:b/>
          <w:bCs w:val="0"/>
          <w:color w:val="000000"/>
          <w:sz w:val="21"/>
          <w:szCs w:val="21"/>
          <w:highlight w:val="none"/>
          <w:lang w:val="en-US" w:eastAsia="zh-CN"/>
        </w:rPr>
        <w:t>必须提供</w:t>
      </w:r>
      <w:r>
        <w:rPr>
          <w:rFonts w:hint="eastAsia" w:ascii="宋体" w:hAnsi="宋体" w:eastAsia="宋体" w:cs="宋体"/>
          <w:b/>
          <w:bCs w:val="0"/>
          <w:color w:val="000000"/>
          <w:sz w:val="21"/>
          <w:szCs w:val="21"/>
          <w:highlight w:val="none"/>
          <w:lang w:eastAsia="zh-CN"/>
        </w:rPr>
        <w:t>）</w:t>
      </w:r>
      <w:r>
        <w:rPr>
          <w:rFonts w:hint="eastAsia" w:ascii="宋体" w:hAnsi="宋体" w:cs="宋体"/>
          <w:b/>
          <w:bCs w:val="0"/>
          <w:color w:val="000000"/>
          <w:sz w:val="21"/>
          <w:szCs w:val="21"/>
          <w:highlight w:val="none"/>
          <w:lang w:eastAsia="zh-CN"/>
        </w:rPr>
        <w:t>。</w:t>
      </w:r>
    </w:p>
    <w:p w14:paraId="1137DF56">
      <w:pPr>
        <w:keepNext w:val="0"/>
        <w:keepLines w:val="0"/>
        <w:pageBreakBefore w:val="0"/>
        <w:numPr>
          <w:ilvl w:val="0"/>
          <w:numId w:val="0"/>
        </w:numPr>
        <w:kinsoku/>
        <w:overflowPunct/>
        <w:topLinePunct w:val="0"/>
        <w:autoSpaceDE/>
        <w:autoSpaceDN/>
        <w:bidi w:val="0"/>
        <w:spacing w:line="400" w:lineRule="exact"/>
        <w:ind w:leftChars="0"/>
        <w:jc w:val="left"/>
        <w:textAlignment w:val="auto"/>
        <w:rPr>
          <w:rFonts w:hint="eastAsia" w:ascii="宋体" w:hAnsi="宋体" w:eastAsia="宋体" w:cs="宋体"/>
          <w:b/>
          <w:color w:val="000000"/>
          <w:sz w:val="21"/>
          <w:szCs w:val="21"/>
          <w:highlight w:val="none"/>
          <w:lang w:eastAsia="zh-CN"/>
        </w:rPr>
      </w:pPr>
    </w:p>
    <w:p w14:paraId="379C33D8">
      <w:pPr>
        <w:keepNext w:val="0"/>
        <w:keepLines w:val="0"/>
        <w:pageBreakBefore w:val="0"/>
        <w:kinsoku/>
        <w:overflowPunct/>
        <w:topLinePunct w:val="0"/>
        <w:autoSpaceDE/>
        <w:autoSpaceDN/>
        <w:bidi w:val="0"/>
        <w:spacing w:line="400" w:lineRule="exact"/>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六</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r>
        <w:rPr>
          <w:rFonts w:hint="eastAsia" w:ascii="宋体" w:hAnsi="宋体" w:cs="宋体"/>
          <w:b/>
          <w:color w:val="000000"/>
          <w:sz w:val="21"/>
          <w:szCs w:val="21"/>
          <w:highlight w:val="none"/>
          <w:lang w:eastAsia="zh-CN"/>
        </w:rPr>
        <w:t>。</w:t>
      </w:r>
    </w:p>
    <w:p w14:paraId="1D105EF7">
      <w:pPr>
        <w:keepNext w:val="0"/>
        <w:keepLines w:val="0"/>
        <w:pageBreakBefore w:val="0"/>
        <w:kinsoku/>
        <w:overflowPunct/>
        <w:topLinePunct w:val="0"/>
        <w:bidi w:val="0"/>
        <w:snapToGrid w:val="0"/>
        <w:spacing w:before="120" w:beforeLines="50" w:after="50" w:line="400" w:lineRule="exact"/>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8"/>
        <w:keepNext w:val="0"/>
        <w:keepLines w:val="0"/>
        <w:pageBreakBefore w:val="0"/>
        <w:widowControl w:val="0"/>
        <w:kinsoku/>
        <w:wordWrap w:val="0"/>
        <w:overflowPunct/>
        <w:topLinePunct w:val="0"/>
        <w:autoSpaceDE/>
        <w:autoSpaceDN/>
        <w:bidi w:val="0"/>
        <w:adjustRightInd/>
        <w:spacing w:line="40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p>
    <w:p w14:paraId="07DA74DD">
      <w:pPr>
        <w:keepNext w:val="0"/>
        <w:keepLines w:val="0"/>
        <w:pageBreakBefore w:val="0"/>
        <w:widowControl w:val="0"/>
        <w:kinsoku/>
        <w:wordWrap/>
        <w:overflowPunct/>
        <w:topLinePunct w:val="0"/>
        <w:autoSpaceDE/>
        <w:autoSpaceDN/>
        <w:bidi w:val="0"/>
        <w:adjustRightInd/>
        <w:snapToGrid w:val="0"/>
        <w:spacing w:before="120" w:beforeLines="50" w:after="50" w:line="400" w:lineRule="exact"/>
        <w:textAlignment w:val="auto"/>
        <w:rPr>
          <w:rFonts w:hint="eastAsia" w:ascii="宋体" w:hAnsi="宋体" w:eastAsia="宋体" w:cs="宋体"/>
          <w:sz w:val="21"/>
          <w:szCs w:val="21"/>
          <w:highlight w:val="none"/>
        </w:rPr>
      </w:pPr>
    </w:p>
    <w:p w14:paraId="5E40207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val="en-US" w:eastAsia="zh-CN"/>
        </w:rPr>
      </w:pPr>
    </w:p>
    <w:p w14:paraId="7785EBB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七</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8"/>
        <w:keepNext w:val="0"/>
        <w:keepLines w:val="0"/>
        <w:pageBreakBefore w:val="0"/>
        <w:numPr>
          <w:ilvl w:val="0"/>
          <w:numId w:val="0"/>
        </w:numPr>
        <w:kinsoku/>
        <w:wordWrap/>
        <w:overflowPunct/>
        <w:topLinePunct w:val="0"/>
        <w:bidi w:val="0"/>
        <w:adjustRightInd w:val="0"/>
        <w:spacing w:line="400" w:lineRule="exact"/>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p>
    <w:p w14:paraId="520C366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661BDDD4">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p>
    <w:tbl>
      <w:tblPr>
        <w:tblStyle w:val="30"/>
        <w:tblW w:w="48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2531"/>
        <w:gridCol w:w="2195"/>
        <w:gridCol w:w="818"/>
        <w:gridCol w:w="1188"/>
        <w:gridCol w:w="1330"/>
      </w:tblGrid>
      <w:tr w14:paraId="327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395" w:type="pct"/>
            <w:noWrap w:val="0"/>
            <w:vAlign w:val="center"/>
          </w:tcPr>
          <w:p w14:paraId="635B0DA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445" w:type="pct"/>
            <w:noWrap w:val="0"/>
            <w:vAlign w:val="center"/>
          </w:tcPr>
          <w:p w14:paraId="7501B25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标的</w:t>
            </w:r>
            <w:r>
              <w:rPr>
                <w:rFonts w:hint="eastAsia" w:ascii="宋体" w:hAnsi="宋体" w:eastAsia="宋体" w:cs="宋体"/>
                <w:sz w:val="21"/>
                <w:szCs w:val="21"/>
                <w:lang w:val="en-US" w:eastAsia="zh-CN"/>
              </w:rPr>
              <w:t>名称</w:t>
            </w:r>
          </w:p>
        </w:tc>
        <w:tc>
          <w:tcPr>
            <w:tcW w:w="1253" w:type="pct"/>
            <w:noWrap w:val="0"/>
            <w:vAlign w:val="center"/>
          </w:tcPr>
          <w:p w14:paraId="7007059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highlight w:val="none"/>
                <w:lang w:val="en-US" w:eastAsia="zh-CN"/>
              </w:rPr>
              <w:t>规格</w:t>
            </w:r>
          </w:p>
        </w:tc>
        <w:tc>
          <w:tcPr>
            <w:tcW w:w="467" w:type="pct"/>
            <w:noWrap w:val="0"/>
            <w:vAlign w:val="center"/>
          </w:tcPr>
          <w:p w14:paraId="1D395556">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计量单位</w:t>
            </w:r>
          </w:p>
        </w:tc>
        <w:tc>
          <w:tcPr>
            <w:tcW w:w="678" w:type="pct"/>
            <w:noWrap w:val="0"/>
            <w:vAlign w:val="center"/>
          </w:tcPr>
          <w:p w14:paraId="50926F5F">
            <w:pPr>
              <w:keepNext w:val="0"/>
              <w:keepLines w:val="0"/>
              <w:pageBreakBefore w:val="0"/>
              <w:kinsoku/>
              <w:overflowPunct/>
              <w:topLinePunct w:val="0"/>
              <w:bidi w:val="0"/>
              <w:spacing w:line="400" w:lineRule="exact"/>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数量</w:t>
            </w:r>
          </w:p>
        </w:tc>
        <w:tc>
          <w:tcPr>
            <w:tcW w:w="759" w:type="pct"/>
            <w:noWrap w:val="0"/>
            <w:vAlign w:val="center"/>
          </w:tcPr>
          <w:p w14:paraId="125D12AB">
            <w:pPr>
              <w:keepNext w:val="0"/>
              <w:keepLines w:val="0"/>
              <w:pageBreakBefore w:val="0"/>
              <w:kinsoku/>
              <w:overflowPunct/>
              <w:topLinePunct w:val="0"/>
              <w:bidi w:val="0"/>
              <w:spacing w:line="400" w:lineRule="exact"/>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报价</w:t>
            </w:r>
          </w:p>
          <w:p w14:paraId="48DB35C7">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（元）</w:t>
            </w:r>
          </w:p>
        </w:tc>
      </w:tr>
      <w:tr w14:paraId="6E3C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395" w:type="pct"/>
            <w:noWrap w:val="0"/>
            <w:vAlign w:val="center"/>
          </w:tcPr>
          <w:p w14:paraId="07642F1E">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445" w:type="pct"/>
            <w:noWrap w:val="0"/>
            <w:vAlign w:val="center"/>
          </w:tcPr>
          <w:p w14:paraId="1078D84C">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p>
        </w:tc>
        <w:tc>
          <w:tcPr>
            <w:tcW w:w="1253" w:type="pct"/>
            <w:noWrap w:val="0"/>
            <w:vAlign w:val="center"/>
          </w:tcPr>
          <w:p w14:paraId="6131A3E7">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sz w:val="21"/>
                <w:szCs w:val="21"/>
                <w:lang w:val="en-US" w:eastAsia="zh-CN"/>
              </w:rPr>
            </w:pPr>
          </w:p>
        </w:tc>
        <w:tc>
          <w:tcPr>
            <w:tcW w:w="467" w:type="pct"/>
            <w:noWrap w:val="0"/>
            <w:vAlign w:val="center"/>
          </w:tcPr>
          <w:p w14:paraId="1B08C66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项</w:t>
            </w:r>
          </w:p>
        </w:tc>
        <w:tc>
          <w:tcPr>
            <w:tcW w:w="678" w:type="pct"/>
            <w:noWrap w:val="0"/>
            <w:vAlign w:val="center"/>
          </w:tcPr>
          <w:p w14:paraId="6670048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cs="宋体"/>
                <w:kern w:val="2"/>
                <w:sz w:val="21"/>
                <w:szCs w:val="21"/>
                <w:lang w:val="en-US" w:eastAsia="zh-CN" w:bidi="ar-SA"/>
              </w:rPr>
              <w:t>1</w:t>
            </w:r>
          </w:p>
        </w:tc>
        <w:tc>
          <w:tcPr>
            <w:tcW w:w="759" w:type="pct"/>
            <w:noWrap w:val="0"/>
            <w:vAlign w:val="center"/>
          </w:tcPr>
          <w:p w14:paraId="33EE69CA">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p>
        </w:tc>
      </w:tr>
    </w:tbl>
    <w:p w14:paraId="48290457">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val="0"/>
          <w:bCs w:val="0"/>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1、根据采购内容要求提供明细内容（名称、规格、单位、单价）报价。</w:t>
      </w:r>
    </w:p>
    <w:p w14:paraId="7FB18543">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2、投标报价以人民币计价，单位为元，精确至小数点后两位。</w:t>
      </w:r>
    </w:p>
    <w:p w14:paraId="12CD619B">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5、供应商须对本项目全部服务内容作出完整唯一报价，投标报价超出上控单价、存在漏项报价、选择性报价及有条件报价的，均作响应无效处理。</w:t>
      </w:r>
    </w:p>
    <w:p w14:paraId="7D6AA114">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0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0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6" w:name="_Toc6622"/>
    </w:p>
    <w:p w14:paraId="3849939D">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460" w:lineRule="exact"/>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24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24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400" w:lineRule="exact"/>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400" w:lineRule="exact"/>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400" w:lineRule="exact"/>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400" w:lineRule="exact"/>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400" w:lineRule="exact"/>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460" w:lineRule="exact"/>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7" w:name="_Toc22671"/>
      <w:r>
        <w:rPr>
          <w:rFonts w:hint="eastAsia" w:ascii="Times New Roman" w:hAnsi="Times New Roman" w:cs="Times New Roman"/>
          <w:sz w:val="36"/>
          <w:szCs w:val="36"/>
          <w:highlight w:val="none"/>
          <w:lang w:val="en-US" w:eastAsia="zh-CN"/>
        </w:rPr>
        <w:t>第</w:t>
      </w:r>
      <w:r>
        <w:rPr>
          <w:rFonts w:hint="eastAsia" w:cs="Times New Roman"/>
          <w:sz w:val="36"/>
          <w:szCs w:val="36"/>
          <w:highlight w:val="none"/>
          <w:lang w:val="en-US" w:eastAsia="zh-CN"/>
        </w:rPr>
        <w:t>四</w:t>
      </w:r>
      <w:r>
        <w:rPr>
          <w:rFonts w:hint="eastAsia" w:ascii="Times New Roman" w:hAnsi="Times New Roman" w:cs="Times New Roman"/>
          <w:sz w:val="36"/>
          <w:szCs w:val="36"/>
          <w:highlight w:val="none"/>
          <w:lang w:val="en-US" w:eastAsia="zh-CN"/>
        </w:rPr>
        <w:t>章 合同主要条款</w:t>
      </w:r>
      <w:bookmarkEnd w:id="6"/>
      <w:bookmarkEnd w:id="7"/>
    </w:p>
    <w:p w14:paraId="1F0121DB">
      <w:pPr>
        <w:pStyle w:val="3"/>
        <w:keepNext/>
        <w:keepLines/>
        <w:pageBreakBefore w:val="0"/>
        <w:widowControl w:val="0"/>
        <w:kinsoku/>
        <w:wordWrap/>
        <w:overflowPunct/>
        <w:topLinePunct w:val="0"/>
        <w:autoSpaceDE/>
        <w:autoSpaceDN/>
        <w:bidi w:val="0"/>
        <w:adjustRightInd/>
        <w:snapToGrid/>
        <w:spacing w:before="0" w:after="0" w:line="240" w:lineRule="atLeast"/>
        <w:ind w:firstLine="3213" w:firstLineChars="1000"/>
        <w:jc w:val="both"/>
        <w:textAlignment w:val="auto"/>
        <w:outlineLvl w:val="1"/>
        <w:rPr>
          <w:rFonts w:hint="default" w:eastAsia="黑体"/>
          <w:lang w:val="en-US" w:eastAsia="zh-CN"/>
        </w:rPr>
      </w:pPr>
      <w:r>
        <w:rPr>
          <w:rFonts w:hint="eastAsia"/>
          <w:lang w:val="en-US" w:eastAsia="zh-CN"/>
        </w:rPr>
        <w:t xml:space="preserve"> </w:t>
      </w:r>
      <w:r>
        <w:rPr>
          <w:rFonts w:hint="eastAsia"/>
        </w:rPr>
        <w:t>合</w:t>
      </w:r>
      <w:r>
        <w:rPr>
          <w:rFonts w:hint="eastAsia"/>
          <w:lang w:val="en-US" w:eastAsia="zh-CN"/>
        </w:rPr>
        <w:t xml:space="preserve"> </w:t>
      </w:r>
      <w:r>
        <w:rPr>
          <w:rFonts w:hint="eastAsia"/>
        </w:rPr>
        <w:t>同</w:t>
      </w:r>
      <w:r>
        <w:rPr>
          <w:rFonts w:hint="eastAsia"/>
          <w:lang w:val="en-US" w:eastAsia="zh-CN"/>
        </w:rPr>
        <w:t xml:space="preserve"> 书（服务类）</w:t>
      </w:r>
    </w:p>
    <w:p w14:paraId="063F6A73">
      <w:pPr>
        <w:pStyle w:val="6"/>
        <w:rPr>
          <w:rFonts w:hint="eastAsia"/>
        </w:rPr>
      </w:pPr>
    </w:p>
    <w:p w14:paraId="67976BCA">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051DED05">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6B2535BA">
      <w:pPr>
        <w:keepNext w:val="0"/>
        <w:keepLines w:val="0"/>
        <w:pageBreakBefore w:val="0"/>
        <w:kinsoku/>
        <w:wordWrap/>
        <w:overflowPunct/>
        <w:topLinePunct w:val="0"/>
        <w:autoSpaceDE/>
        <w:autoSpaceDN/>
        <w:bidi w:val="0"/>
        <w:adjustRightInd/>
        <w:snapToGrid w:val="0"/>
        <w:spacing w:line="40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28A23361">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p>
    <w:p w14:paraId="5F52E322">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val="en-US" w:eastAsia="zh-CN"/>
        </w:rPr>
        <w:t xml:space="preserve">                                   </w:t>
      </w:r>
    </w:p>
    <w:p w14:paraId="5C3A6C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u w:val="none"/>
        </w:rPr>
      </w:pPr>
    </w:p>
    <w:p w14:paraId="67F78D49">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0EE86AF4">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第一条　合同标的</w:t>
      </w:r>
    </w:p>
    <w:p w14:paraId="271B2F48">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服务</w:t>
      </w:r>
      <w:r>
        <w:rPr>
          <w:rFonts w:hint="eastAsia" w:ascii="宋体" w:hAnsi="宋体" w:eastAsia="宋体" w:cs="宋体"/>
          <w:b/>
          <w:bCs/>
          <w:color w:val="auto"/>
          <w:sz w:val="24"/>
          <w:szCs w:val="24"/>
          <w:highlight w:val="none"/>
        </w:rPr>
        <w:t>一览表</w:t>
      </w:r>
    </w:p>
    <w:tbl>
      <w:tblPr>
        <w:tblStyle w:val="30"/>
        <w:tblpPr w:leftFromText="180" w:rightFromText="180" w:vertAnchor="text" w:horzAnchor="page" w:tblpXSpec="center" w:tblpY="191"/>
        <w:tblOverlap w:val="never"/>
        <w:tblW w:w="11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2026"/>
        <w:gridCol w:w="1510"/>
        <w:gridCol w:w="1530"/>
        <w:gridCol w:w="1244"/>
        <w:gridCol w:w="1447"/>
        <w:gridCol w:w="1447"/>
        <w:gridCol w:w="1447"/>
      </w:tblGrid>
      <w:tr w14:paraId="67A30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566" w:type="dxa"/>
            <w:noWrap w:val="0"/>
            <w:vAlign w:val="center"/>
          </w:tcPr>
          <w:p w14:paraId="371F791D">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序号</w:t>
            </w:r>
          </w:p>
        </w:tc>
        <w:tc>
          <w:tcPr>
            <w:tcW w:w="2026" w:type="dxa"/>
            <w:noWrap w:val="0"/>
            <w:vAlign w:val="center"/>
          </w:tcPr>
          <w:p w14:paraId="5808EE9B">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项目名称</w:t>
            </w:r>
          </w:p>
        </w:tc>
        <w:tc>
          <w:tcPr>
            <w:tcW w:w="1510" w:type="dxa"/>
            <w:noWrap w:val="0"/>
            <w:vAlign w:val="center"/>
          </w:tcPr>
          <w:p w14:paraId="60DDDCDF">
            <w:pPr>
              <w:pStyle w:val="18"/>
              <w:keepNext w:val="0"/>
              <w:keepLines w:val="0"/>
              <w:pageBreakBefore w:val="0"/>
              <w:widowControl w:val="0"/>
              <w:kinsoku/>
              <w:wordWrap/>
              <w:overflowPunct/>
              <w:topLinePunct w:val="0"/>
              <w:autoSpaceDE/>
              <w:autoSpaceDN/>
              <w:bidi w:val="0"/>
              <w:adjustRightInd/>
              <w:spacing w:line="440" w:lineRule="exact"/>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服务内容</w:t>
            </w:r>
          </w:p>
        </w:tc>
        <w:tc>
          <w:tcPr>
            <w:tcW w:w="1530" w:type="dxa"/>
            <w:noWrap w:val="0"/>
            <w:vAlign w:val="center"/>
          </w:tcPr>
          <w:p w14:paraId="1967644E">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数量</w:t>
            </w:r>
          </w:p>
        </w:tc>
        <w:tc>
          <w:tcPr>
            <w:tcW w:w="1244" w:type="dxa"/>
            <w:noWrap w:val="0"/>
            <w:vAlign w:val="center"/>
          </w:tcPr>
          <w:p w14:paraId="0A42F6CC">
            <w:pPr>
              <w:pStyle w:val="18"/>
              <w:keepNext w:val="0"/>
              <w:keepLines w:val="0"/>
              <w:pageBreakBefore w:val="0"/>
              <w:widowControl w:val="0"/>
              <w:kinsoku/>
              <w:wordWrap/>
              <w:overflowPunct/>
              <w:topLinePunct w:val="0"/>
              <w:autoSpaceDE/>
              <w:autoSpaceDN/>
              <w:bidi w:val="0"/>
              <w:adjustRightInd/>
              <w:spacing w:line="440" w:lineRule="exact"/>
              <w:ind w:firstLine="228" w:firstLineChars="100"/>
              <w:jc w:val="center"/>
              <w:textAlignment w:val="auto"/>
              <w:rPr>
                <w:rFonts w:hint="default" w:ascii="宋体" w:hAnsi="宋体" w:eastAsia="宋体" w:cs="宋体"/>
                <w:color w:val="auto"/>
                <w:spacing w:val="-6"/>
                <w:sz w:val="24"/>
                <w:szCs w:val="24"/>
                <w:highlight w:val="none"/>
                <w:lang w:val="en-US" w:eastAsia="zh-CN"/>
              </w:rPr>
            </w:pPr>
            <w:r>
              <w:rPr>
                <w:rFonts w:hint="default" w:ascii="宋体" w:hAnsi="宋体" w:eastAsia="宋体" w:cs="宋体"/>
                <w:color w:val="auto"/>
                <w:spacing w:val="-6"/>
                <w:sz w:val="24"/>
                <w:szCs w:val="24"/>
                <w:highlight w:val="none"/>
                <w:lang w:val="en-US" w:eastAsia="zh-CN"/>
              </w:rPr>
              <w:t>单位</w:t>
            </w:r>
          </w:p>
        </w:tc>
        <w:tc>
          <w:tcPr>
            <w:tcW w:w="1447" w:type="dxa"/>
            <w:noWrap w:val="0"/>
            <w:vAlign w:val="center"/>
          </w:tcPr>
          <w:p w14:paraId="35FE99C2">
            <w:pPr>
              <w:pStyle w:val="18"/>
              <w:keepNext w:val="0"/>
              <w:keepLines w:val="0"/>
              <w:pageBreakBefore w:val="0"/>
              <w:widowControl w:val="0"/>
              <w:kinsoku/>
              <w:wordWrap/>
              <w:overflowPunct/>
              <w:topLinePunct w:val="0"/>
              <w:autoSpaceDE/>
              <w:autoSpaceDN/>
              <w:bidi w:val="0"/>
              <w:adjustRightInd/>
              <w:spacing w:line="440" w:lineRule="exact"/>
              <w:ind w:firstLine="228" w:firstLineChars="100"/>
              <w:jc w:val="center"/>
              <w:textAlignment w:val="auto"/>
              <w:rPr>
                <w:rFonts w:hint="default"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最终单价（元）</w:t>
            </w:r>
          </w:p>
        </w:tc>
        <w:tc>
          <w:tcPr>
            <w:tcW w:w="1447" w:type="dxa"/>
            <w:noWrap w:val="0"/>
            <w:vAlign w:val="center"/>
          </w:tcPr>
          <w:p w14:paraId="32C6490C">
            <w:pPr>
              <w:pStyle w:val="18"/>
              <w:keepNext w:val="0"/>
              <w:keepLines w:val="0"/>
              <w:pageBreakBefore w:val="0"/>
              <w:widowControl w:val="0"/>
              <w:kinsoku/>
              <w:wordWrap/>
              <w:overflowPunct/>
              <w:topLinePunct w:val="0"/>
              <w:autoSpaceDE/>
              <w:autoSpaceDN/>
              <w:bidi w:val="0"/>
              <w:adjustRightInd/>
              <w:spacing w:line="440" w:lineRule="exact"/>
              <w:ind w:left="228" w:hanging="228" w:hangingChars="100"/>
              <w:jc w:val="both"/>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合计（元）</w:t>
            </w:r>
          </w:p>
        </w:tc>
        <w:tc>
          <w:tcPr>
            <w:tcW w:w="1447" w:type="dxa"/>
            <w:noWrap w:val="0"/>
            <w:vAlign w:val="center"/>
          </w:tcPr>
          <w:p w14:paraId="705027FD">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备注</w:t>
            </w:r>
          </w:p>
        </w:tc>
      </w:tr>
      <w:tr w14:paraId="4CBA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6" w:hRule="atLeast"/>
          <w:jc w:val="center"/>
        </w:trPr>
        <w:tc>
          <w:tcPr>
            <w:tcW w:w="566" w:type="dxa"/>
            <w:noWrap w:val="0"/>
            <w:vAlign w:val="center"/>
          </w:tcPr>
          <w:p w14:paraId="63EA97B0">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p w14:paraId="5DD13815">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val="en-US" w:eastAsia="zh-CN"/>
              </w:rPr>
            </w:pPr>
          </w:p>
        </w:tc>
        <w:tc>
          <w:tcPr>
            <w:tcW w:w="2026" w:type="dxa"/>
            <w:noWrap w:val="0"/>
            <w:vAlign w:val="center"/>
          </w:tcPr>
          <w:p w14:paraId="38B5E922">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rPr>
            </w:pPr>
          </w:p>
        </w:tc>
        <w:tc>
          <w:tcPr>
            <w:tcW w:w="1510" w:type="dxa"/>
            <w:noWrap w:val="0"/>
            <w:vAlign w:val="center"/>
          </w:tcPr>
          <w:p w14:paraId="35681AC7">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sz w:val="24"/>
                <w:szCs w:val="24"/>
                <w:lang w:val="en-US" w:eastAsia="zh-CN"/>
              </w:rPr>
            </w:pPr>
          </w:p>
        </w:tc>
        <w:tc>
          <w:tcPr>
            <w:tcW w:w="1530" w:type="dxa"/>
            <w:noWrap w:val="0"/>
            <w:vAlign w:val="center"/>
          </w:tcPr>
          <w:p w14:paraId="19DE1001">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244" w:type="dxa"/>
            <w:noWrap w:val="0"/>
            <w:vAlign w:val="center"/>
          </w:tcPr>
          <w:p w14:paraId="08EAC066">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447" w:type="dxa"/>
            <w:noWrap w:val="0"/>
            <w:vAlign w:val="center"/>
          </w:tcPr>
          <w:p w14:paraId="0A9D2101">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447" w:type="dxa"/>
            <w:noWrap w:val="0"/>
            <w:vAlign w:val="center"/>
          </w:tcPr>
          <w:p w14:paraId="3E2989E9">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447" w:type="dxa"/>
            <w:noWrap w:val="0"/>
            <w:vAlign w:val="center"/>
          </w:tcPr>
          <w:p w14:paraId="050CF8F2">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pacing w:val="-6"/>
                <w:sz w:val="24"/>
                <w:szCs w:val="24"/>
                <w:highlight w:val="none"/>
                <w:lang w:val="en-US" w:eastAsia="zh-CN"/>
              </w:rPr>
            </w:pPr>
          </w:p>
        </w:tc>
      </w:tr>
      <w:tr w14:paraId="1E03F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1217" w:type="dxa"/>
            <w:gridSpan w:val="8"/>
            <w:noWrap w:val="0"/>
            <w:vAlign w:val="center"/>
          </w:tcPr>
          <w:p w14:paraId="21C0183B">
            <w:pPr>
              <w:pStyle w:val="18"/>
              <w:keepNext w:val="0"/>
              <w:keepLines w:val="0"/>
              <w:pageBreakBefore w:val="0"/>
              <w:widowControl w:val="0"/>
              <w:kinsoku/>
              <w:wordWrap/>
              <w:overflowPunct/>
              <w:topLinePunct w:val="0"/>
              <w:autoSpaceDE/>
              <w:autoSpaceDN/>
              <w:bidi w:val="0"/>
              <w:adjustRightInd/>
              <w:spacing w:line="440" w:lineRule="exact"/>
              <w:jc w:val="both"/>
              <w:textAlignment w:val="auto"/>
              <w:rPr>
                <w:rFonts w:hint="eastAsia" w:ascii="宋体" w:hAnsi="宋体" w:eastAsia="宋体" w:cs="宋体"/>
                <w:b w:val="0"/>
                <w:bCs w:val="0"/>
                <w:color w:val="auto"/>
                <w:spacing w:val="-6"/>
                <w:sz w:val="24"/>
                <w:szCs w:val="24"/>
                <w:highlight w:val="none"/>
                <w:lang w:val="en-US" w:eastAsia="zh-CN"/>
              </w:rPr>
            </w:pPr>
            <w:r>
              <w:rPr>
                <w:rFonts w:hint="eastAsia" w:ascii="宋体" w:hAnsi="宋体" w:eastAsia="宋体" w:cs="宋体"/>
                <w:b w:val="0"/>
                <w:bCs w:val="0"/>
                <w:color w:val="auto"/>
                <w:spacing w:val="-6"/>
                <w:sz w:val="24"/>
                <w:szCs w:val="24"/>
                <w:highlight w:val="none"/>
                <w:lang w:val="en-US" w:eastAsia="zh-CN"/>
              </w:rPr>
              <w:t>合同</w:t>
            </w:r>
            <w:r>
              <w:rPr>
                <w:rFonts w:hint="eastAsia" w:ascii="宋体" w:hAnsi="宋体" w:eastAsia="宋体" w:cs="宋体"/>
                <w:b w:val="0"/>
                <w:bCs w:val="0"/>
                <w:color w:val="auto"/>
                <w:spacing w:val="-6"/>
                <w:sz w:val="24"/>
                <w:szCs w:val="24"/>
                <w:highlight w:val="none"/>
                <w:lang w:eastAsia="zh-CN"/>
              </w:rPr>
              <w:t>总金额：</w:t>
            </w:r>
            <w:r>
              <w:rPr>
                <w:rFonts w:hint="eastAsia" w:ascii="宋体" w:hAnsi="宋体" w:eastAsia="宋体" w:cs="宋体"/>
                <w:b w:val="0"/>
                <w:bCs w:val="0"/>
                <w:color w:val="auto"/>
                <w:spacing w:val="-6"/>
                <w:sz w:val="24"/>
                <w:szCs w:val="24"/>
                <w:highlight w:val="none"/>
                <w:lang w:val="en-US" w:eastAsia="zh-CN"/>
              </w:rPr>
              <w:t xml:space="preserve"> 人民币（¥）</w:t>
            </w:r>
          </w:p>
        </w:tc>
      </w:tr>
      <w:tr w14:paraId="211A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jc w:val="center"/>
        </w:trPr>
        <w:tc>
          <w:tcPr>
            <w:tcW w:w="11217" w:type="dxa"/>
            <w:gridSpan w:val="8"/>
            <w:noWrap w:val="0"/>
            <w:vAlign w:val="center"/>
          </w:tcPr>
          <w:p w14:paraId="504E75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contextualSpacing/>
              <w:jc w:val="left"/>
              <w:textAlignment w:val="auto"/>
              <w:rPr>
                <w:rFonts w:hint="eastAsia" w:ascii="宋体" w:hAnsi="宋体" w:eastAsia="宋体" w:cs="宋体"/>
                <w:b w:val="0"/>
                <w:bCs w:val="0"/>
                <w:color w:val="auto"/>
                <w:spacing w:val="-6"/>
                <w:sz w:val="24"/>
                <w:szCs w:val="24"/>
                <w:highlight w:val="none"/>
                <w:lang w:eastAsia="zh-CN"/>
              </w:rPr>
            </w:pPr>
            <w:r>
              <w:rPr>
                <w:rFonts w:hint="eastAsia" w:ascii="宋体" w:hAnsi="宋体" w:eastAsia="宋体" w:cs="宋体"/>
                <w:b w:val="0"/>
                <w:bCs w:val="0"/>
                <w:color w:val="auto"/>
                <w:spacing w:val="-6"/>
                <w:sz w:val="24"/>
                <w:szCs w:val="24"/>
                <w:highlight w:val="none"/>
                <w:lang w:eastAsia="zh-CN"/>
              </w:rPr>
              <w:t>服务期：自签订合同之日起</w:t>
            </w:r>
          </w:p>
        </w:tc>
      </w:tr>
    </w:tbl>
    <w:p w14:paraId="0B5931BC">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2、合同</w:t>
      </w:r>
      <w:r>
        <w:rPr>
          <w:rFonts w:hint="eastAsia" w:ascii="宋体" w:hAnsi="宋体" w:eastAsia="宋体" w:cs="宋体"/>
          <w:sz w:val="24"/>
          <w:szCs w:val="24"/>
        </w:rPr>
        <w:t>固定总价包干 ，包</w:t>
      </w:r>
      <w:r>
        <w:rPr>
          <w:rFonts w:hint="eastAsia" w:ascii="宋体" w:hAnsi="宋体" w:eastAsia="宋体" w:cs="宋体"/>
          <w:sz w:val="24"/>
          <w:szCs w:val="24"/>
          <w:lang w:eastAsia="zh-CN"/>
        </w:rPr>
        <w:t>含但不限于</w:t>
      </w:r>
      <w:r>
        <w:rPr>
          <w:rFonts w:hint="eastAsia" w:ascii="宋体" w:hAnsi="宋体" w:eastAsia="宋体" w:cs="宋体"/>
          <w:sz w:val="24"/>
          <w:szCs w:val="24"/>
        </w:rPr>
        <w:t>完成本项目工作所需的服务费用和税费、保险费、交通、用餐等各项杂费</w:t>
      </w:r>
      <w:r>
        <w:rPr>
          <w:rFonts w:hint="eastAsia" w:ascii="宋体" w:hAnsi="宋体" w:eastAsia="宋体" w:cs="宋体"/>
          <w:sz w:val="24"/>
          <w:szCs w:val="24"/>
          <w:lang w:eastAsia="zh-CN"/>
        </w:rPr>
        <w:t>。</w:t>
      </w:r>
    </w:p>
    <w:p w14:paraId="38FB9EA0">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第二条  质量保证</w:t>
      </w:r>
    </w:p>
    <w:p w14:paraId="062C6F2B">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highlight w:val="none"/>
        </w:rPr>
        <w:t>乙方所提供的服务内容必须与招投标文件和承诺相一致。</w:t>
      </w:r>
    </w:p>
    <w:p w14:paraId="1B192745">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第三条  权力保证</w:t>
      </w:r>
    </w:p>
    <w:p w14:paraId="3716B545">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1、乙方应保证所提供服务在使用时不会侵犯任何第三方的专利权、商标权、工业设计权或其他权利。</w:t>
      </w:r>
    </w:p>
    <w:p w14:paraId="66B7B3FE">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2、乙方应按招标文件规定的时间向甲方提供服务的有关资质资料。</w:t>
      </w:r>
    </w:p>
    <w:p w14:paraId="3EDFC04B">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乙方提交的成果所有权归甲方所有，没有甲方事先书面同意，乙方不得将由甲方提供的有关合同或任何合同条文、规格、计划、图纸、样品或资料提供给与履行本合同无关的任何其他人。即使向履行本合同有关的人员提供，也应注意保密并限于履行合同的必需范围。如有泄漏，乙方需承担相应的法律责任。</w:t>
      </w:r>
    </w:p>
    <w:p w14:paraId="19024728">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lang w:eastAsia="zh-CN"/>
        </w:rPr>
      </w:pPr>
      <w:r>
        <w:rPr>
          <w:rFonts w:hint="eastAsia" w:ascii="宋体" w:hAnsi="宋体" w:eastAsia="宋体" w:cs="宋体"/>
          <w:b/>
          <w:sz w:val="24"/>
          <w:szCs w:val="24"/>
        </w:rPr>
        <w:t>第四条  售后服务</w:t>
      </w:r>
      <w:r>
        <w:rPr>
          <w:rFonts w:hint="eastAsia" w:ascii="宋体" w:hAnsi="宋体" w:eastAsia="宋体" w:cs="宋体"/>
          <w:b/>
          <w:sz w:val="24"/>
          <w:szCs w:val="24"/>
          <w:lang w:eastAsia="zh-CN"/>
        </w:rPr>
        <w:t>及验收</w:t>
      </w:r>
    </w:p>
    <w:p w14:paraId="19E31977">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b w:val="0"/>
          <w:bCs/>
          <w:sz w:val="24"/>
          <w:szCs w:val="24"/>
          <w:lang w:eastAsia="zh-CN"/>
        </w:rPr>
      </w:pPr>
      <w:r>
        <w:rPr>
          <w:rFonts w:hint="eastAsia" w:ascii="宋体" w:hAnsi="宋体" w:cs="宋体"/>
          <w:b w:val="0"/>
          <w:bCs/>
          <w:sz w:val="24"/>
          <w:szCs w:val="24"/>
          <w:lang w:val="en-US" w:eastAsia="zh-CN"/>
        </w:rPr>
        <w:t>1、</w:t>
      </w:r>
      <w:r>
        <w:rPr>
          <w:rFonts w:hint="eastAsia" w:ascii="宋体" w:hAnsi="宋体" w:eastAsia="宋体" w:cs="宋体"/>
          <w:b w:val="0"/>
          <w:bCs/>
          <w:sz w:val="24"/>
          <w:szCs w:val="24"/>
          <w:lang w:eastAsia="zh-CN"/>
        </w:rPr>
        <w:t>按约定份数交付纸质审计报告及电子版全套资料，乙方配合甲方完成报告解读答疑。甲方收到审计成果后 10 个工作日内完成验收；如存在重大错漏、范围缺失等问题，甲方书面告知乙方，乙方应在 7 个工作日内免费补充审计、修改并重新提交报告。逾期未提出书面异议的，视为验收合格。</w:t>
      </w:r>
    </w:p>
    <w:p w14:paraId="0B8393AC">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2、乙方应按照国家有关法律法规和“三包”规定以及招投标文件和本合同所附的《服务承诺》，为甲方提供售后服务。</w:t>
      </w:r>
    </w:p>
    <w:p w14:paraId="12CCF66D">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3、乙方提供的服务承诺和售后服务责任等其它具体约定事项。</w:t>
      </w:r>
    </w:p>
    <w:p w14:paraId="626150AB">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甲方按项目服务要求对乙方提供的服务及货物进行验收，乙方向甲方提供验收相关材料，提供的服务与响应文件中承诺的技术参数不符的或未提供以上服务及货物去甲方进行验收的，由此导致的所有损失由乙方承担。</w:t>
      </w:r>
    </w:p>
    <w:p w14:paraId="437799BE">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5、合同条款有其他规定的按其规定。</w:t>
      </w:r>
    </w:p>
    <w:p w14:paraId="557BE26D">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五</w:t>
      </w:r>
      <w:r>
        <w:rPr>
          <w:rFonts w:hint="eastAsia" w:ascii="宋体" w:hAnsi="宋体" w:eastAsia="宋体" w:cs="宋体"/>
          <w:b/>
          <w:sz w:val="24"/>
          <w:szCs w:val="24"/>
        </w:rPr>
        <w:t>条</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付款方式</w:t>
      </w:r>
      <w:r>
        <w:rPr>
          <w:rFonts w:hint="eastAsia" w:ascii="宋体" w:hAnsi="宋体" w:eastAsia="宋体" w:cs="宋体"/>
          <w:b w:val="0"/>
          <w:bCs/>
          <w:sz w:val="24"/>
          <w:szCs w:val="24"/>
          <w:lang w:val="en-US" w:eastAsia="zh-CN"/>
        </w:rPr>
        <w:t xml:space="preserve"> </w:t>
      </w:r>
    </w:p>
    <w:p w14:paraId="7C46659E">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b/>
          <w:bCs w:val="0"/>
          <w:sz w:val="24"/>
          <w:szCs w:val="24"/>
          <w:lang w:val="en-US" w:eastAsia="zh-CN"/>
        </w:rPr>
      </w:pPr>
      <w:r>
        <w:rPr>
          <w:rFonts w:hint="eastAsia" w:ascii="宋体" w:hAnsi="宋体" w:eastAsia="宋体" w:cs="宋体"/>
          <w:b w:val="0"/>
          <w:bCs/>
          <w:sz w:val="24"/>
          <w:szCs w:val="24"/>
          <w:lang w:val="en-US" w:eastAsia="zh-CN"/>
        </w:rPr>
        <w:t xml:space="preserve">全额付款：本项目无预付款。乙方提交项目成果后，甲方应在10 个工作日内组织验收；验收合格的，乙方向甲方开具合法有效的增值税普通发票。甲方在收到合格发票后 20 个工作日内，一次性支付本项目合同总价款。   </w:t>
      </w:r>
      <w:r>
        <w:rPr>
          <w:rFonts w:hint="eastAsia" w:ascii="宋体" w:hAnsi="宋体" w:eastAsia="宋体" w:cs="宋体"/>
          <w:b/>
          <w:bCs w:val="0"/>
          <w:sz w:val="24"/>
          <w:szCs w:val="24"/>
          <w:lang w:val="en-US" w:eastAsia="zh-CN"/>
        </w:rPr>
        <w:t xml:space="preserve"> </w:t>
      </w:r>
    </w:p>
    <w:p w14:paraId="0E2F1C1A">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default" w:ascii="宋体" w:hAnsi="宋体" w:eastAsia="宋体" w:cs="宋体"/>
          <w:b w:val="0"/>
          <w:bCs/>
          <w:sz w:val="24"/>
          <w:szCs w:val="24"/>
          <w:lang w:val="en-US"/>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六</w:t>
      </w:r>
      <w:r>
        <w:rPr>
          <w:rFonts w:hint="eastAsia" w:ascii="宋体" w:hAnsi="宋体" w:eastAsia="宋体" w:cs="宋体"/>
          <w:b/>
          <w:sz w:val="24"/>
          <w:szCs w:val="24"/>
        </w:rPr>
        <w:t>条　</w:t>
      </w:r>
      <w:r>
        <w:rPr>
          <w:rFonts w:hint="eastAsia" w:ascii="宋体" w:hAnsi="宋体" w:eastAsia="宋体" w:cs="宋体"/>
          <w:b/>
          <w:sz w:val="24"/>
          <w:szCs w:val="24"/>
          <w:lang w:val="en-US" w:eastAsia="zh-CN"/>
        </w:rPr>
        <w:t xml:space="preserve"> </w:t>
      </w:r>
      <w:r>
        <w:rPr>
          <w:rFonts w:hint="eastAsia" w:ascii="宋体" w:hAnsi="宋体" w:eastAsia="宋体" w:cs="宋体"/>
          <w:b/>
          <w:bCs w:val="0"/>
          <w:sz w:val="24"/>
          <w:szCs w:val="24"/>
          <w:lang w:val="en-US" w:eastAsia="zh-CN"/>
        </w:rPr>
        <w:t>履约保证金  无</w:t>
      </w:r>
    </w:p>
    <w:p w14:paraId="32873A5B">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七</w:t>
      </w:r>
      <w:r>
        <w:rPr>
          <w:rFonts w:hint="eastAsia" w:ascii="宋体" w:hAnsi="宋体" w:eastAsia="宋体" w:cs="宋体"/>
          <w:b/>
          <w:sz w:val="24"/>
          <w:szCs w:val="24"/>
        </w:rPr>
        <w:t>条　违约责任</w:t>
      </w:r>
    </w:p>
    <w:p w14:paraId="33361417">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lang w:val="en-US" w:eastAsia="zh-CN"/>
        </w:rPr>
      </w:pPr>
      <w:r>
        <w:rPr>
          <w:rFonts w:hint="eastAsia" w:ascii="宋体"/>
          <w:color w:val="auto"/>
          <w:sz w:val="24"/>
          <w:szCs w:val="24"/>
          <w:highlight w:val="none"/>
          <w:lang w:val="en-US" w:eastAsia="zh-CN"/>
        </w:rPr>
        <w:t>1、任何一方违反本合同约定，均应承担违约责任。</w:t>
      </w:r>
    </w:p>
    <w:p w14:paraId="4A630EEF">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lang w:val="en-US" w:eastAsia="zh-CN"/>
        </w:rPr>
      </w:pPr>
      <w:r>
        <w:rPr>
          <w:rFonts w:hint="eastAsia" w:ascii="宋体"/>
          <w:color w:val="auto"/>
          <w:sz w:val="24"/>
          <w:szCs w:val="24"/>
          <w:highlight w:val="none"/>
          <w:lang w:val="en-US" w:eastAsia="zh-CN"/>
        </w:rPr>
        <w:t>2、乙方逾期提交审计报告，每逾期一日按合同总额万分之三支付违约金；逾期超过 15 日，甲方可解除合同并要求乙方承担合同总额 20% 违约金。</w:t>
      </w:r>
    </w:p>
    <w:p w14:paraId="09A1EF2F">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lang w:val="en-US" w:eastAsia="zh-CN"/>
        </w:rPr>
      </w:pPr>
      <w:r>
        <w:rPr>
          <w:rFonts w:hint="eastAsia" w:ascii="宋体"/>
          <w:color w:val="auto"/>
          <w:sz w:val="24"/>
          <w:szCs w:val="24"/>
          <w:highlight w:val="none"/>
          <w:lang w:val="en-US" w:eastAsia="zh-CN"/>
        </w:rPr>
        <w:t>3、乙方审计成果验收不合格，未在约定期限内整改合格的，甲方有权不予支付服务费；</w:t>
      </w:r>
    </w:p>
    <w:p w14:paraId="089FA496">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lang w:val="en-US" w:eastAsia="zh-CN"/>
        </w:rPr>
      </w:pPr>
      <w:r>
        <w:rPr>
          <w:rFonts w:hint="eastAsia" w:ascii="宋体"/>
          <w:color w:val="auto"/>
          <w:sz w:val="24"/>
          <w:szCs w:val="24"/>
          <w:highlight w:val="none"/>
          <w:lang w:val="en-US" w:eastAsia="zh-CN"/>
        </w:rPr>
        <w:t>4、乙方存在重大审计遗漏、隐瞒问题、出具虚假审计报告，造成甲方被主管部门问责的，乙方退还全部费用，并支付合同总额 30% 违约金，赔偿甲方由此产生的全部损失。</w:t>
      </w:r>
    </w:p>
    <w:p w14:paraId="4705FF12">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lang w:val="en-US" w:eastAsia="zh-CN"/>
        </w:rPr>
      </w:pPr>
      <w:r>
        <w:rPr>
          <w:rFonts w:hint="eastAsia" w:ascii="宋体"/>
          <w:color w:val="auto"/>
          <w:sz w:val="24"/>
          <w:szCs w:val="24"/>
          <w:highlight w:val="none"/>
          <w:lang w:val="en-US" w:eastAsia="zh-CN"/>
        </w:rPr>
        <w:t>5、乙方擅自转包项目、泄露审计资料的，承担合同总额 15% 违约金。</w:t>
      </w:r>
    </w:p>
    <w:p w14:paraId="1C774B24">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lang w:val="en-US" w:eastAsia="zh-CN"/>
        </w:rPr>
      </w:pPr>
      <w:r>
        <w:rPr>
          <w:rFonts w:hint="eastAsia" w:ascii="宋体"/>
          <w:color w:val="auto"/>
          <w:sz w:val="24"/>
          <w:szCs w:val="24"/>
          <w:highlight w:val="none"/>
          <w:lang w:val="en-US" w:eastAsia="zh-CN"/>
        </w:rPr>
        <w:t>6、甲方逾期付款的，每逾期一日按应付未付款项万分之三支付违约金。</w:t>
      </w:r>
    </w:p>
    <w:p w14:paraId="5163763F">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rPr>
      </w:pPr>
      <w:r>
        <w:rPr>
          <w:rFonts w:hint="eastAsia" w:ascii="宋体"/>
          <w:color w:val="auto"/>
          <w:sz w:val="24"/>
          <w:szCs w:val="24"/>
          <w:highlight w:val="none"/>
          <w:lang w:val="en-US" w:eastAsia="zh-CN"/>
        </w:rPr>
        <w:t>7、</w:t>
      </w:r>
      <w:r>
        <w:rPr>
          <w:rFonts w:hint="eastAsia" w:ascii="宋体"/>
          <w:color w:val="auto"/>
          <w:sz w:val="24"/>
          <w:szCs w:val="24"/>
          <w:highlight w:val="none"/>
        </w:rPr>
        <w:t>乙方提供的服务如侵犯了第三方合法权益而引发的任何纠纷或诉讼，均由乙方负责交涉并承担全部责任。</w:t>
      </w:r>
    </w:p>
    <w:p w14:paraId="5A00830B">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八</w:t>
      </w:r>
      <w:r>
        <w:rPr>
          <w:rFonts w:hint="eastAsia" w:ascii="宋体" w:hAnsi="宋体" w:eastAsia="宋体" w:cs="宋体"/>
          <w:b/>
          <w:sz w:val="24"/>
          <w:szCs w:val="24"/>
        </w:rPr>
        <w:t>条  不可抗力事件处理</w:t>
      </w:r>
    </w:p>
    <w:p w14:paraId="7D912074">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1、在合同有效期内，任何一方因不可抗力事件导致不能履行合同，则合同履行期可延长，其延长期与不可抗力影响期相同。</w:t>
      </w:r>
    </w:p>
    <w:p w14:paraId="4895B38B">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2、不可抗力事件发生后，应立即通知对方，并寄送有关权威机构出具的证明。</w:t>
      </w:r>
    </w:p>
    <w:p w14:paraId="665FD601">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3、不可抗力事件延续120天以上，双方应通过友好协商，确定是否继续履行合同。</w:t>
      </w:r>
    </w:p>
    <w:p w14:paraId="44ADAA02">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九</w:t>
      </w:r>
      <w:r>
        <w:rPr>
          <w:rFonts w:hint="eastAsia" w:ascii="宋体" w:hAnsi="宋体" w:eastAsia="宋体" w:cs="宋体"/>
          <w:b/>
          <w:sz w:val="24"/>
          <w:szCs w:val="24"/>
        </w:rPr>
        <w:t>条  合同争议解决</w:t>
      </w:r>
    </w:p>
    <w:p w14:paraId="6B313AE8">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1、因履行本合同引起的或与本合同有关的争议，甲乙双方应首先通过友好协商解决，如果协商不能解决，可向甲方所在地人民法院提起诉讼。</w:t>
      </w:r>
    </w:p>
    <w:p w14:paraId="0B65A61B">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2、诉讼期间，本合同继续履行。</w:t>
      </w:r>
    </w:p>
    <w:p w14:paraId="6B65B14F">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第十条  合同生效及其它</w:t>
      </w:r>
    </w:p>
    <w:p w14:paraId="36B831F0">
      <w:pPr>
        <w:spacing w:line="400" w:lineRule="exact"/>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1、合同经双方法定代表人(负责人)或授权代表（委托代理人）签字并加盖单位公章</w:t>
      </w:r>
      <w:r>
        <w:rPr>
          <w:rFonts w:hint="eastAsia" w:ascii="宋体" w:hAnsi="宋体" w:eastAsia="宋体" w:cs="宋体"/>
          <w:b w:val="0"/>
          <w:bCs/>
          <w:color w:val="auto"/>
          <w:sz w:val="24"/>
          <w:szCs w:val="24"/>
          <w:highlight w:val="none"/>
          <w:lang w:eastAsia="zh-CN"/>
        </w:rPr>
        <w:t>（或合同章）</w:t>
      </w:r>
      <w:r>
        <w:rPr>
          <w:rFonts w:hint="eastAsia" w:ascii="宋体" w:hAnsi="宋体" w:eastAsia="宋体" w:cs="宋体"/>
          <w:b w:val="0"/>
          <w:bCs/>
          <w:color w:val="auto"/>
          <w:sz w:val="24"/>
          <w:szCs w:val="24"/>
          <w:highlight w:val="none"/>
        </w:rPr>
        <w:t>后生效</w:t>
      </w:r>
      <w:r>
        <w:rPr>
          <w:rFonts w:hint="eastAsia" w:ascii="宋体" w:hAnsi="宋体" w:eastAsia="宋体" w:cs="宋体"/>
          <w:b w:val="0"/>
          <w:bCs/>
          <w:color w:val="auto"/>
          <w:sz w:val="24"/>
          <w:szCs w:val="24"/>
          <w:highlight w:val="none"/>
          <w:lang w:eastAsia="zh-CN"/>
        </w:rPr>
        <w:t>，</w:t>
      </w:r>
      <w:r>
        <w:rPr>
          <w:rFonts w:hint="eastAsia" w:ascii="宋体" w:hAnsi="宋体" w:eastAsia="宋体" w:cs="宋体"/>
          <w:kern w:val="2"/>
          <w:sz w:val="24"/>
          <w:szCs w:val="24"/>
          <w:lang w:val="en-US" w:eastAsia="zh-CN" w:bidi="ar-SA"/>
        </w:rPr>
        <w:t>（如为代理人签字，需附授权委托书）。</w:t>
      </w:r>
      <w:r>
        <w:rPr>
          <w:rFonts w:hint="eastAsia" w:ascii="宋体" w:hAnsi="宋体" w:eastAsia="宋体" w:cs="宋体"/>
          <w:sz w:val="24"/>
          <w:szCs w:val="24"/>
        </w:rPr>
        <w:t xml:space="preserve"> </w:t>
      </w:r>
    </w:p>
    <w:p w14:paraId="66E20009">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合同执行中涉及采购资金和采购内容修改或补充的，须经甲乙双方审批同意，方可签订补充协议，补充协议作为主合同不可分割的一部分。</w:t>
      </w:r>
    </w:p>
    <w:p w14:paraId="24DDE44E">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本合同未尽事宜，遵照《民法典》有关条文执行。</w:t>
      </w:r>
    </w:p>
    <w:p w14:paraId="059EFA8E">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一</w:t>
      </w:r>
      <w:r>
        <w:rPr>
          <w:rFonts w:hint="eastAsia" w:ascii="宋体" w:hAnsi="宋体" w:eastAsia="宋体" w:cs="宋体"/>
          <w:b/>
          <w:sz w:val="24"/>
          <w:szCs w:val="24"/>
        </w:rPr>
        <w:t>条　合同的变更、终止与转让</w:t>
      </w:r>
    </w:p>
    <w:p w14:paraId="1E1EC2AA">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1、除《中华人民共和国政府采购法》第50条规定的情形外，本合同一经签订，甲乙双方不得擅自变更、中止或终止。</w:t>
      </w:r>
    </w:p>
    <w:p w14:paraId="18DDA5C4">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2、乙方不得擅自转让其应履行的合同义务。</w:t>
      </w:r>
    </w:p>
    <w:p w14:paraId="3E880296">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二</w:t>
      </w:r>
      <w:r>
        <w:rPr>
          <w:rFonts w:hint="eastAsia" w:ascii="宋体" w:hAnsi="宋体" w:eastAsia="宋体" w:cs="宋体"/>
          <w:b/>
          <w:sz w:val="24"/>
          <w:szCs w:val="24"/>
        </w:rPr>
        <w:t>条　签订本合同依据</w:t>
      </w:r>
    </w:p>
    <w:p w14:paraId="53CED8A9">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采购</w:t>
      </w:r>
      <w:r>
        <w:rPr>
          <w:rFonts w:hint="eastAsia" w:ascii="宋体" w:hAnsi="宋体" w:eastAsia="宋体" w:cs="宋体"/>
          <w:sz w:val="24"/>
          <w:szCs w:val="24"/>
        </w:rPr>
        <w:t>文件；2、乙方的</w:t>
      </w:r>
      <w:r>
        <w:rPr>
          <w:rFonts w:hint="eastAsia" w:ascii="宋体" w:hAnsi="宋体" w:eastAsia="宋体" w:cs="宋体"/>
          <w:sz w:val="24"/>
          <w:szCs w:val="24"/>
          <w:lang w:val="en-US" w:eastAsia="zh-CN"/>
        </w:rPr>
        <w:t>响应</w:t>
      </w:r>
      <w:r>
        <w:rPr>
          <w:rFonts w:hint="eastAsia" w:ascii="宋体" w:hAnsi="宋体" w:eastAsia="宋体" w:cs="宋体"/>
          <w:sz w:val="24"/>
          <w:szCs w:val="24"/>
        </w:rPr>
        <w:t>文件；3、</w:t>
      </w:r>
      <w:r>
        <w:rPr>
          <w:rFonts w:hint="eastAsia" w:ascii="宋体" w:hAnsi="宋体" w:eastAsia="宋体" w:cs="宋体"/>
          <w:sz w:val="24"/>
          <w:szCs w:val="24"/>
          <w:lang w:val="en-US" w:eastAsia="zh-CN"/>
        </w:rPr>
        <w:t>成交</w:t>
      </w:r>
      <w:r>
        <w:rPr>
          <w:rFonts w:hint="eastAsia" w:ascii="宋体" w:hAnsi="宋体" w:eastAsia="宋体" w:cs="宋体"/>
          <w:sz w:val="24"/>
          <w:szCs w:val="24"/>
        </w:rPr>
        <w:t>通知书。</w:t>
      </w:r>
    </w:p>
    <w:p w14:paraId="611110F0">
      <w:pPr>
        <w:keepNext w:val="0"/>
        <w:keepLines w:val="0"/>
        <w:pageBreakBefore w:val="0"/>
        <w:widowControl w:val="0"/>
        <w:kinsoku/>
        <w:wordWrap/>
        <w:overflowPunct/>
        <w:topLinePunct w:val="0"/>
        <w:autoSpaceDE/>
        <w:autoSpaceDN/>
        <w:bidi w:val="0"/>
        <w:adjustRightInd/>
        <w:spacing w:line="440" w:lineRule="exact"/>
        <w:ind w:firstLine="602" w:firstLineChars="250"/>
        <w:textAlignment w:val="auto"/>
        <w:rPr>
          <w:rFonts w:hint="eastAsia" w:ascii="宋体" w:hAnsi="宋体" w:eastAsia="宋体" w:cs="宋体"/>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三</w:t>
      </w:r>
      <w:r>
        <w:rPr>
          <w:rFonts w:hint="eastAsia" w:ascii="宋体" w:hAnsi="宋体" w:eastAsia="宋体" w:cs="宋体"/>
          <w:b/>
          <w:sz w:val="24"/>
          <w:szCs w:val="24"/>
        </w:rPr>
        <w:t>条　</w:t>
      </w:r>
      <w:r>
        <w:rPr>
          <w:rFonts w:hint="eastAsia" w:ascii="宋体" w:hAnsi="宋体" w:eastAsia="宋体" w:cs="宋体"/>
          <w:b w:val="0"/>
          <w:bCs/>
          <w:sz w:val="24"/>
          <w:szCs w:val="24"/>
          <w:lang w:eastAsia="zh-CN"/>
        </w:rPr>
        <w:t>本</w:t>
      </w:r>
      <w:r>
        <w:rPr>
          <w:rFonts w:hint="eastAsia" w:ascii="宋体" w:hAnsi="宋体" w:eastAsia="宋体" w:cs="宋体"/>
          <w:sz w:val="24"/>
          <w:szCs w:val="24"/>
        </w:rPr>
        <w:t>合同一式</w:t>
      </w:r>
      <w:r>
        <w:rPr>
          <w:rFonts w:hint="eastAsia" w:ascii="宋体" w:hAnsi="宋体" w:eastAsia="宋体" w:cs="宋体"/>
          <w:sz w:val="24"/>
          <w:szCs w:val="24"/>
          <w:lang w:val="en-US" w:eastAsia="zh-CN"/>
        </w:rPr>
        <w:t>肆</w:t>
      </w:r>
      <w:r>
        <w:rPr>
          <w:rFonts w:hint="eastAsia" w:ascii="宋体" w:hAnsi="宋体" w:eastAsia="宋体" w:cs="宋体"/>
          <w:sz w:val="24"/>
          <w:szCs w:val="24"/>
        </w:rPr>
        <w:t>份，具有同等法律效力，甲方</w:t>
      </w:r>
      <w:r>
        <w:rPr>
          <w:rFonts w:hint="eastAsia" w:ascii="宋体" w:hAnsi="宋体" w:eastAsia="宋体" w:cs="宋体"/>
          <w:sz w:val="24"/>
          <w:szCs w:val="24"/>
          <w:lang w:val="en-US" w:eastAsia="zh-CN"/>
        </w:rPr>
        <w:t>叁</w:t>
      </w:r>
      <w:r>
        <w:rPr>
          <w:rFonts w:hint="eastAsia" w:ascii="宋体" w:hAnsi="宋体" w:eastAsia="宋体" w:cs="宋体"/>
          <w:sz w:val="24"/>
          <w:szCs w:val="24"/>
        </w:rPr>
        <w:t>份，乙方</w:t>
      </w:r>
      <w:r>
        <w:rPr>
          <w:rFonts w:hint="eastAsia" w:ascii="宋体" w:hAnsi="宋体" w:eastAsia="宋体" w:cs="宋体"/>
          <w:sz w:val="24"/>
          <w:szCs w:val="24"/>
          <w:lang w:val="en-US" w:eastAsia="zh-CN"/>
        </w:rPr>
        <w:t>壹</w:t>
      </w:r>
      <w:r>
        <w:rPr>
          <w:rFonts w:hint="eastAsia" w:ascii="宋体" w:hAnsi="宋体" w:eastAsia="宋体" w:cs="宋体"/>
          <w:sz w:val="24"/>
          <w:szCs w:val="24"/>
        </w:rPr>
        <w:t>份。</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9"/>
        <w:gridCol w:w="4180"/>
      </w:tblGrid>
      <w:tr w14:paraId="54679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4569" w:type="dxa"/>
            <w:noWrap w:val="0"/>
            <w:vAlign w:val="center"/>
          </w:tcPr>
          <w:p w14:paraId="03A83C36">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 xml:space="preserve">甲方(章) </w:t>
            </w:r>
          </w:p>
          <w:p w14:paraId="3D8D3AC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p>
          <w:p w14:paraId="632E5509">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p>
        </w:tc>
        <w:tc>
          <w:tcPr>
            <w:tcW w:w="4180" w:type="dxa"/>
            <w:noWrap w:val="0"/>
            <w:vAlign w:val="center"/>
          </w:tcPr>
          <w:p w14:paraId="1905841C">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rPr>
              <w:t>乙方(章)</w:t>
            </w:r>
          </w:p>
          <w:p w14:paraId="5F70BFD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p>
          <w:p w14:paraId="0313DD2A">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p>
        </w:tc>
      </w:tr>
      <w:tr w14:paraId="6CEE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4569" w:type="dxa"/>
            <w:noWrap w:val="0"/>
            <w:vAlign w:val="center"/>
          </w:tcPr>
          <w:p w14:paraId="1C19F223">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单位地址：</w:t>
            </w:r>
          </w:p>
        </w:tc>
        <w:tc>
          <w:tcPr>
            <w:tcW w:w="4180" w:type="dxa"/>
            <w:noWrap w:val="0"/>
            <w:vAlign w:val="center"/>
          </w:tcPr>
          <w:p w14:paraId="0DBBFCAC">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单位地址：</w:t>
            </w:r>
          </w:p>
        </w:tc>
      </w:tr>
      <w:tr w14:paraId="324C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5C71F5E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法定代表人：</w:t>
            </w:r>
          </w:p>
          <w:p w14:paraId="2E6E15D3">
            <w:pPr>
              <w:pStyle w:val="53"/>
              <w:keepNext w:val="0"/>
              <w:keepLines w:val="0"/>
              <w:pageBreakBefore w:val="0"/>
              <w:widowControl w:val="0"/>
              <w:suppressLineNumbers w:val="0"/>
              <w:kinsoku/>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p>
        </w:tc>
        <w:tc>
          <w:tcPr>
            <w:tcW w:w="4180" w:type="dxa"/>
            <w:noWrap w:val="0"/>
            <w:vAlign w:val="center"/>
          </w:tcPr>
          <w:p w14:paraId="4E91850E">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24698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309A4E3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委托代理人：</w:t>
            </w:r>
          </w:p>
        </w:tc>
        <w:tc>
          <w:tcPr>
            <w:tcW w:w="4180" w:type="dxa"/>
            <w:noWrap w:val="0"/>
            <w:vAlign w:val="center"/>
          </w:tcPr>
          <w:p w14:paraId="37DC948F">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w:t>
            </w:r>
          </w:p>
        </w:tc>
      </w:tr>
      <w:tr w14:paraId="603B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5F3DBDF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电话：</w:t>
            </w:r>
          </w:p>
        </w:tc>
        <w:tc>
          <w:tcPr>
            <w:tcW w:w="4180" w:type="dxa"/>
            <w:noWrap w:val="0"/>
            <w:vAlign w:val="center"/>
          </w:tcPr>
          <w:p w14:paraId="696B35F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电话：</w:t>
            </w:r>
          </w:p>
        </w:tc>
      </w:tr>
      <w:tr w14:paraId="115BA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369E53CD">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电子邮箱：</w:t>
            </w:r>
          </w:p>
        </w:tc>
        <w:tc>
          <w:tcPr>
            <w:tcW w:w="4180" w:type="dxa"/>
            <w:noWrap w:val="0"/>
            <w:vAlign w:val="center"/>
          </w:tcPr>
          <w:p w14:paraId="352967A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电子邮箱：</w:t>
            </w:r>
          </w:p>
        </w:tc>
      </w:tr>
      <w:tr w14:paraId="2859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4623355B">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开户银行：</w:t>
            </w:r>
          </w:p>
        </w:tc>
        <w:tc>
          <w:tcPr>
            <w:tcW w:w="4180" w:type="dxa"/>
            <w:noWrap w:val="0"/>
            <w:vAlign w:val="center"/>
          </w:tcPr>
          <w:p w14:paraId="275467DE">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开户银行：</w:t>
            </w:r>
          </w:p>
        </w:tc>
      </w:tr>
      <w:tr w14:paraId="5483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720440C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开户名称：</w:t>
            </w:r>
          </w:p>
        </w:tc>
        <w:tc>
          <w:tcPr>
            <w:tcW w:w="4180" w:type="dxa"/>
            <w:noWrap w:val="0"/>
            <w:vAlign w:val="center"/>
          </w:tcPr>
          <w:p w14:paraId="7418B82F">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lang w:eastAsia="zh-CN"/>
              </w:rPr>
              <w:t>开户名称：</w:t>
            </w:r>
          </w:p>
        </w:tc>
      </w:tr>
      <w:tr w14:paraId="5FE5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76A893E2">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账号：</w:t>
            </w:r>
          </w:p>
        </w:tc>
        <w:tc>
          <w:tcPr>
            <w:tcW w:w="4180" w:type="dxa"/>
            <w:noWrap w:val="0"/>
            <w:vAlign w:val="center"/>
          </w:tcPr>
          <w:p w14:paraId="0E4C099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账号：</w:t>
            </w:r>
          </w:p>
        </w:tc>
      </w:tr>
      <w:tr w14:paraId="2D66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36D940D5">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邮政编码：</w:t>
            </w:r>
          </w:p>
        </w:tc>
        <w:tc>
          <w:tcPr>
            <w:tcW w:w="4180" w:type="dxa"/>
            <w:noWrap w:val="0"/>
            <w:vAlign w:val="center"/>
          </w:tcPr>
          <w:p w14:paraId="6EC72C6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邮政编码：</w:t>
            </w:r>
          </w:p>
        </w:tc>
      </w:tr>
    </w:tbl>
    <w:p w14:paraId="0FE7B6B0">
      <w:pPr>
        <w:pStyle w:val="54"/>
        <w:numPr>
          <w:ilvl w:val="0"/>
          <w:numId w:val="0"/>
        </w:numPr>
        <w:jc w:val="both"/>
        <w:outlineLvl w:val="0"/>
        <w:rPr>
          <w:rFonts w:hint="eastAsia" w:ascii="宋体" w:hAnsi="宋体" w:eastAsia="宋体" w:cs="宋体"/>
          <w:b/>
          <w:kern w:val="2"/>
          <w:sz w:val="24"/>
          <w:szCs w:val="24"/>
          <w:lang w:val="en-US" w:eastAsia="zh-CN" w:bidi="ar-SA"/>
        </w:rPr>
      </w:pPr>
    </w:p>
    <w:p w14:paraId="64D816B0">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合同签订时间： </w:t>
      </w:r>
      <w:r>
        <w:rPr>
          <w:rFonts w:hint="eastAsia" w:hAnsi="宋体" w:eastAsia="宋体" w:cs="宋体"/>
          <w:b w:val="0"/>
          <w:bCs w:val="0"/>
          <w:sz w:val="24"/>
          <w:szCs w:val="24"/>
          <w:lang w:val="en-US" w:eastAsia="zh-CN"/>
        </w:rPr>
        <w:t>2026</w:t>
      </w:r>
      <w:r>
        <w:rPr>
          <w:rFonts w:hint="eastAsia" w:ascii="宋体" w:hAnsi="宋体" w:eastAsia="宋体" w:cs="宋体"/>
          <w:b w:val="0"/>
          <w:bCs w:val="0"/>
          <w:sz w:val="24"/>
          <w:szCs w:val="24"/>
        </w:rPr>
        <w:t>年    月    日</w:t>
      </w:r>
    </w:p>
    <w:p w14:paraId="68B459E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 w:val="0"/>
          <w:bCs w:val="0"/>
        </w:rPr>
      </w:pPr>
      <w:r>
        <w:rPr>
          <w:rFonts w:hint="eastAsia" w:ascii="宋体" w:hAnsi="宋体" w:eastAsia="宋体" w:cs="宋体"/>
          <w:b w:val="0"/>
          <w:bCs w:val="0"/>
          <w:sz w:val="24"/>
          <w:szCs w:val="24"/>
        </w:rPr>
        <w:t>合同签订地点：南宁市</w:t>
      </w:r>
    </w:p>
    <w:p w14:paraId="3DA399A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highlight w:val="none"/>
          <w:lang w:val="en-US" w:eastAsia="zh-CN"/>
        </w:rPr>
      </w:pP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306D35"/>
    <w:multiLevelType w:val="singleLevel"/>
    <w:tmpl w:val="CD306D35"/>
    <w:lvl w:ilvl="0" w:tentative="0">
      <w:start w:val="2"/>
      <w:numFmt w:val="chineseCounting"/>
      <w:suff w:val="nothing"/>
      <w:lvlText w:val="%1、"/>
      <w:lvlJc w:val="left"/>
      <w:rPr>
        <w:rFonts w:hint="eastAsia"/>
        <w:b/>
        <w:bCs/>
      </w:rPr>
    </w:lvl>
  </w:abstractNum>
  <w:abstractNum w:abstractNumId="1">
    <w:nsid w:val="D4818B03"/>
    <w:multiLevelType w:val="singleLevel"/>
    <w:tmpl w:val="D4818B03"/>
    <w:lvl w:ilvl="0" w:tentative="0">
      <w:start w:val="1"/>
      <w:numFmt w:val="decimal"/>
      <w:lvlText w:val="%1."/>
      <w:lvlJc w:val="left"/>
      <w:pPr>
        <w:ind w:left="425" w:hanging="425"/>
      </w:pPr>
      <w:rPr>
        <w:rFonts w:hint="default"/>
      </w:rPr>
    </w:lvl>
  </w:abstractNum>
  <w:abstractNum w:abstractNumId="2">
    <w:nsid w:val="064BE252"/>
    <w:multiLevelType w:val="singleLevel"/>
    <w:tmpl w:val="064BE252"/>
    <w:lvl w:ilvl="0" w:tentative="0">
      <w:start w:val="1"/>
      <w:numFmt w:val="decimal"/>
      <w:pStyle w:val="7"/>
      <w:lvlText w:val="%1."/>
      <w:lvlJc w:val="left"/>
      <w:pPr>
        <w:tabs>
          <w:tab w:val="left" w:pos="360"/>
        </w:tabs>
        <w:ind w:left="360" w:hanging="360"/>
      </w:pPr>
    </w:lvl>
  </w:abstractNum>
  <w:abstractNum w:abstractNumId="3">
    <w:nsid w:val="25D4B835"/>
    <w:multiLevelType w:val="singleLevel"/>
    <w:tmpl w:val="25D4B835"/>
    <w:lvl w:ilvl="0" w:tentative="0">
      <w:start w:val="1"/>
      <w:numFmt w:val="decimal"/>
      <w:lvlText w:val="%1."/>
      <w:lvlJc w:val="left"/>
      <w:pPr>
        <w:ind w:left="425" w:hanging="425"/>
      </w:pPr>
      <w:rPr>
        <w:rFonts w:hint="default"/>
      </w:rPr>
    </w:lvl>
  </w:abstractNum>
  <w:abstractNum w:abstractNumId="4">
    <w:nsid w:val="34162A86"/>
    <w:multiLevelType w:val="singleLevel"/>
    <w:tmpl w:val="34162A86"/>
    <w:lvl w:ilvl="0" w:tentative="0">
      <w:start w:val="1"/>
      <w:numFmt w:val="decimal"/>
      <w:lvlText w:val="%1."/>
      <w:lvlJc w:val="left"/>
      <w:pPr>
        <w:ind w:left="425" w:hanging="425"/>
      </w:pPr>
      <w:rPr>
        <w:rFonts w:hint="default"/>
      </w:rPr>
    </w:lvl>
  </w:abstractNum>
  <w:abstractNum w:abstractNumId="5">
    <w:nsid w:val="494690D1"/>
    <w:multiLevelType w:val="singleLevel"/>
    <w:tmpl w:val="494690D1"/>
    <w:lvl w:ilvl="0" w:tentative="0">
      <w:start w:val="1"/>
      <w:numFmt w:val="chineseCounting"/>
      <w:suff w:val="nothing"/>
      <w:lvlText w:val="（%1）"/>
      <w:lvlJc w:val="left"/>
      <w:rPr>
        <w:rFonts w:hint="eastAsia"/>
      </w:rPr>
    </w:lvl>
  </w:abstractNum>
  <w:num w:numId="1">
    <w:abstractNumId w:val="2"/>
  </w:num>
  <w:num w:numId="2">
    <w:abstractNumId w:val="5"/>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C04E49"/>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740059"/>
    <w:rsid w:val="03800D34"/>
    <w:rsid w:val="03AC38D7"/>
    <w:rsid w:val="03C2134C"/>
    <w:rsid w:val="03D44CDB"/>
    <w:rsid w:val="03E07A24"/>
    <w:rsid w:val="03E52EEC"/>
    <w:rsid w:val="03F62C0E"/>
    <w:rsid w:val="03FB23A4"/>
    <w:rsid w:val="041143FE"/>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DE5347"/>
    <w:rsid w:val="05E1153D"/>
    <w:rsid w:val="05E12E4E"/>
    <w:rsid w:val="05E137B9"/>
    <w:rsid w:val="05E530D0"/>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139DC"/>
    <w:rsid w:val="078B5EF9"/>
    <w:rsid w:val="079B25E0"/>
    <w:rsid w:val="07A34FF1"/>
    <w:rsid w:val="07B0452B"/>
    <w:rsid w:val="07B62F76"/>
    <w:rsid w:val="07D16002"/>
    <w:rsid w:val="07E31891"/>
    <w:rsid w:val="07E35D35"/>
    <w:rsid w:val="07F01A92"/>
    <w:rsid w:val="080737D2"/>
    <w:rsid w:val="080E6329"/>
    <w:rsid w:val="080F4734"/>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41123B"/>
    <w:rsid w:val="095274E4"/>
    <w:rsid w:val="095962AF"/>
    <w:rsid w:val="096B5FE2"/>
    <w:rsid w:val="0971158E"/>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312DC"/>
    <w:rsid w:val="0E492530"/>
    <w:rsid w:val="0E5C05EF"/>
    <w:rsid w:val="0E5D3047"/>
    <w:rsid w:val="0E71409B"/>
    <w:rsid w:val="0E7A4F7C"/>
    <w:rsid w:val="0EA5125F"/>
    <w:rsid w:val="0EB22DDA"/>
    <w:rsid w:val="0ECC66A0"/>
    <w:rsid w:val="0EED1247"/>
    <w:rsid w:val="0F0E18EA"/>
    <w:rsid w:val="0F234C69"/>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82E93"/>
    <w:rsid w:val="1021389E"/>
    <w:rsid w:val="102313C5"/>
    <w:rsid w:val="10246863"/>
    <w:rsid w:val="10525806"/>
    <w:rsid w:val="10607C17"/>
    <w:rsid w:val="106C2D6C"/>
    <w:rsid w:val="107514F4"/>
    <w:rsid w:val="108B0D18"/>
    <w:rsid w:val="10AB3168"/>
    <w:rsid w:val="10B647F9"/>
    <w:rsid w:val="10D16A56"/>
    <w:rsid w:val="10E16B8A"/>
    <w:rsid w:val="10F66AD9"/>
    <w:rsid w:val="110007A2"/>
    <w:rsid w:val="113E4E57"/>
    <w:rsid w:val="1151283D"/>
    <w:rsid w:val="11603F53"/>
    <w:rsid w:val="11627CCB"/>
    <w:rsid w:val="1182557E"/>
    <w:rsid w:val="118341C0"/>
    <w:rsid w:val="11847C41"/>
    <w:rsid w:val="118F65E6"/>
    <w:rsid w:val="11961522"/>
    <w:rsid w:val="119C02C2"/>
    <w:rsid w:val="11BB0AEB"/>
    <w:rsid w:val="11C97EA9"/>
    <w:rsid w:val="11DA5964"/>
    <w:rsid w:val="11E54CD2"/>
    <w:rsid w:val="11E703EE"/>
    <w:rsid w:val="11E93F48"/>
    <w:rsid w:val="11EE5A02"/>
    <w:rsid w:val="11F03528"/>
    <w:rsid w:val="11F12DFD"/>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87C76"/>
    <w:rsid w:val="138F28CD"/>
    <w:rsid w:val="13A50343"/>
    <w:rsid w:val="13CF716E"/>
    <w:rsid w:val="13F75BCF"/>
    <w:rsid w:val="13FD2011"/>
    <w:rsid w:val="13FF287E"/>
    <w:rsid w:val="140B289C"/>
    <w:rsid w:val="14256000"/>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DE7DF3"/>
    <w:rsid w:val="16EF6D81"/>
    <w:rsid w:val="16F00564"/>
    <w:rsid w:val="16F46EE5"/>
    <w:rsid w:val="17500FFF"/>
    <w:rsid w:val="1766323A"/>
    <w:rsid w:val="177C13BA"/>
    <w:rsid w:val="177C760C"/>
    <w:rsid w:val="1780534F"/>
    <w:rsid w:val="178070FD"/>
    <w:rsid w:val="179008A3"/>
    <w:rsid w:val="1792505A"/>
    <w:rsid w:val="17A23926"/>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AFF47DC"/>
    <w:rsid w:val="1B2A7AAB"/>
    <w:rsid w:val="1B593EEC"/>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4C086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7019C1"/>
    <w:rsid w:val="1D713B23"/>
    <w:rsid w:val="1D7274E7"/>
    <w:rsid w:val="1D886D0B"/>
    <w:rsid w:val="1D952D46"/>
    <w:rsid w:val="1D975F15"/>
    <w:rsid w:val="1DA8386E"/>
    <w:rsid w:val="1DAB47A7"/>
    <w:rsid w:val="1DB45D52"/>
    <w:rsid w:val="1DBC0763"/>
    <w:rsid w:val="1DC046F7"/>
    <w:rsid w:val="1DD12460"/>
    <w:rsid w:val="1DED6B6E"/>
    <w:rsid w:val="1DF300E7"/>
    <w:rsid w:val="1E0A5972"/>
    <w:rsid w:val="1E0C16EA"/>
    <w:rsid w:val="1E14059F"/>
    <w:rsid w:val="1E185BE6"/>
    <w:rsid w:val="1E1A22FB"/>
    <w:rsid w:val="1E1E4F79"/>
    <w:rsid w:val="1E2F53D8"/>
    <w:rsid w:val="1E58490A"/>
    <w:rsid w:val="1E587609"/>
    <w:rsid w:val="1E636E30"/>
    <w:rsid w:val="1E656859"/>
    <w:rsid w:val="1E805C34"/>
    <w:rsid w:val="1E8C78AD"/>
    <w:rsid w:val="1EA14212"/>
    <w:rsid w:val="1EA731C1"/>
    <w:rsid w:val="1EAC07D7"/>
    <w:rsid w:val="1EAF0707"/>
    <w:rsid w:val="1EB8717C"/>
    <w:rsid w:val="1EBE244B"/>
    <w:rsid w:val="1EBF49AE"/>
    <w:rsid w:val="1EC2624D"/>
    <w:rsid w:val="1F142C89"/>
    <w:rsid w:val="1F185E6D"/>
    <w:rsid w:val="1F274302"/>
    <w:rsid w:val="1F4B4494"/>
    <w:rsid w:val="1F7D20FB"/>
    <w:rsid w:val="1FA67FFA"/>
    <w:rsid w:val="1FA871F0"/>
    <w:rsid w:val="1FAB33E8"/>
    <w:rsid w:val="1FAB6CE1"/>
    <w:rsid w:val="1FB5190D"/>
    <w:rsid w:val="1FC12BF7"/>
    <w:rsid w:val="1FCB2EDF"/>
    <w:rsid w:val="1FE16BA6"/>
    <w:rsid w:val="1FF93EF0"/>
    <w:rsid w:val="1FF95C9E"/>
    <w:rsid w:val="1FFB1D03"/>
    <w:rsid w:val="20145ED1"/>
    <w:rsid w:val="201C373B"/>
    <w:rsid w:val="20280331"/>
    <w:rsid w:val="202A22FB"/>
    <w:rsid w:val="20336F55"/>
    <w:rsid w:val="20515ADA"/>
    <w:rsid w:val="20523600"/>
    <w:rsid w:val="206E043A"/>
    <w:rsid w:val="206F7D0E"/>
    <w:rsid w:val="20855784"/>
    <w:rsid w:val="209854B7"/>
    <w:rsid w:val="20A0611A"/>
    <w:rsid w:val="20BD3045"/>
    <w:rsid w:val="20E029BA"/>
    <w:rsid w:val="20F91DC3"/>
    <w:rsid w:val="21056955"/>
    <w:rsid w:val="21115230"/>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070F43"/>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16ED6"/>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7FFCA11"/>
    <w:rsid w:val="28135D30"/>
    <w:rsid w:val="2821194A"/>
    <w:rsid w:val="282B6C11"/>
    <w:rsid w:val="283A50A6"/>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61758"/>
    <w:rsid w:val="2AF754D0"/>
    <w:rsid w:val="2B163BA8"/>
    <w:rsid w:val="2B261911"/>
    <w:rsid w:val="2B2D2CA0"/>
    <w:rsid w:val="2B400C25"/>
    <w:rsid w:val="2B4A3852"/>
    <w:rsid w:val="2B4D334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3D4040"/>
    <w:rsid w:val="2C550700"/>
    <w:rsid w:val="2C6B3A80"/>
    <w:rsid w:val="2C70553A"/>
    <w:rsid w:val="2C730B86"/>
    <w:rsid w:val="2C9B780D"/>
    <w:rsid w:val="2C9F2B97"/>
    <w:rsid w:val="2CA760BB"/>
    <w:rsid w:val="2CB90C8F"/>
    <w:rsid w:val="2CD535EF"/>
    <w:rsid w:val="2CD634E0"/>
    <w:rsid w:val="2CDA585C"/>
    <w:rsid w:val="2CF6225B"/>
    <w:rsid w:val="2D1139FF"/>
    <w:rsid w:val="2D4A18E7"/>
    <w:rsid w:val="2D5101A8"/>
    <w:rsid w:val="2D572256"/>
    <w:rsid w:val="2D630BFB"/>
    <w:rsid w:val="2D6B4704"/>
    <w:rsid w:val="2D855015"/>
    <w:rsid w:val="2D9E66A8"/>
    <w:rsid w:val="2DAC0C1E"/>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21523"/>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501C4D"/>
    <w:rsid w:val="305A4537"/>
    <w:rsid w:val="3062163D"/>
    <w:rsid w:val="30656A38"/>
    <w:rsid w:val="30907F59"/>
    <w:rsid w:val="309A2FCC"/>
    <w:rsid w:val="30BF5504"/>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968E5"/>
    <w:rsid w:val="343706EB"/>
    <w:rsid w:val="343E5F1E"/>
    <w:rsid w:val="34607C42"/>
    <w:rsid w:val="34732BA2"/>
    <w:rsid w:val="347A065D"/>
    <w:rsid w:val="348957C0"/>
    <w:rsid w:val="3491429F"/>
    <w:rsid w:val="3495618F"/>
    <w:rsid w:val="34963664"/>
    <w:rsid w:val="34A75871"/>
    <w:rsid w:val="34B00BC9"/>
    <w:rsid w:val="34B34216"/>
    <w:rsid w:val="34BB131C"/>
    <w:rsid w:val="34E31A24"/>
    <w:rsid w:val="34EB1FE1"/>
    <w:rsid w:val="34EB2755"/>
    <w:rsid w:val="34EE524E"/>
    <w:rsid w:val="34F62354"/>
    <w:rsid w:val="34FA7A45"/>
    <w:rsid w:val="35081E68"/>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D137C"/>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7DF61F5"/>
    <w:rsid w:val="380134EA"/>
    <w:rsid w:val="38262F51"/>
    <w:rsid w:val="382F0057"/>
    <w:rsid w:val="383026B2"/>
    <w:rsid w:val="38312021"/>
    <w:rsid w:val="38341B11"/>
    <w:rsid w:val="38447A9B"/>
    <w:rsid w:val="38476878"/>
    <w:rsid w:val="384F06F9"/>
    <w:rsid w:val="3862667F"/>
    <w:rsid w:val="3885236D"/>
    <w:rsid w:val="38A65E3F"/>
    <w:rsid w:val="38C22C79"/>
    <w:rsid w:val="38C369F1"/>
    <w:rsid w:val="38C83769"/>
    <w:rsid w:val="38DA604A"/>
    <w:rsid w:val="38F8669B"/>
    <w:rsid w:val="39026556"/>
    <w:rsid w:val="39074B30"/>
    <w:rsid w:val="391A1DFC"/>
    <w:rsid w:val="39447B32"/>
    <w:rsid w:val="394D08DF"/>
    <w:rsid w:val="39513FFD"/>
    <w:rsid w:val="395835DE"/>
    <w:rsid w:val="395D0BF4"/>
    <w:rsid w:val="396C060C"/>
    <w:rsid w:val="39785A2E"/>
    <w:rsid w:val="39900FC9"/>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111C96"/>
    <w:rsid w:val="3B11613A"/>
    <w:rsid w:val="3B283ACB"/>
    <w:rsid w:val="3B2D06E4"/>
    <w:rsid w:val="3B366B34"/>
    <w:rsid w:val="3B3B6D13"/>
    <w:rsid w:val="3B4149DB"/>
    <w:rsid w:val="3B455DE4"/>
    <w:rsid w:val="3B6444BC"/>
    <w:rsid w:val="3B6F742A"/>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6B7014"/>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DF2E47"/>
    <w:rsid w:val="3DE03BA2"/>
    <w:rsid w:val="3E060C40"/>
    <w:rsid w:val="3E32264F"/>
    <w:rsid w:val="3E410AE4"/>
    <w:rsid w:val="3E432AAE"/>
    <w:rsid w:val="3E5D1F87"/>
    <w:rsid w:val="3E602B0F"/>
    <w:rsid w:val="3E674787"/>
    <w:rsid w:val="3E8310FD"/>
    <w:rsid w:val="3EDF3E59"/>
    <w:rsid w:val="3EE057E6"/>
    <w:rsid w:val="3EE85404"/>
    <w:rsid w:val="3EFF7A21"/>
    <w:rsid w:val="3F19380F"/>
    <w:rsid w:val="3F1E7077"/>
    <w:rsid w:val="3F255D10"/>
    <w:rsid w:val="3F282EC4"/>
    <w:rsid w:val="3F391125"/>
    <w:rsid w:val="3F482F4E"/>
    <w:rsid w:val="3F61717C"/>
    <w:rsid w:val="3F7E18C4"/>
    <w:rsid w:val="3F7FB082"/>
    <w:rsid w:val="3F85325E"/>
    <w:rsid w:val="3F9503E1"/>
    <w:rsid w:val="3F95226A"/>
    <w:rsid w:val="3F9D1D4A"/>
    <w:rsid w:val="3F9E4390"/>
    <w:rsid w:val="3FB928FC"/>
    <w:rsid w:val="3FCF3ECE"/>
    <w:rsid w:val="3FD140EA"/>
    <w:rsid w:val="3FDC0668"/>
    <w:rsid w:val="3FF57DD8"/>
    <w:rsid w:val="3FF77EED"/>
    <w:rsid w:val="401A783F"/>
    <w:rsid w:val="402A3CA8"/>
    <w:rsid w:val="40303710"/>
    <w:rsid w:val="40363F4D"/>
    <w:rsid w:val="403E2FEC"/>
    <w:rsid w:val="404F3FD5"/>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006B7"/>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E3E72"/>
    <w:rsid w:val="427C033D"/>
    <w:rsid w:val="429C09DF"/>
    <w:rsid w:val="42AD752A"/>
    <w:rsid w:val="42B86E9B"/>
    <w:rsid w:val="42BD407C"/>
    <w:rsid w:val="42C65A5C"/>
    <w:rsid w:val="42DC5CC8"/>
    <w:rsid w:val="42DC702D"/>
    <w:rsid w:val="42DE2DA6"/>
    <w:rsid w:val="42E934F8"/>
    <w:rsid w:val="42FE533E"/>
    <w:rsid w:val="43122A4F"/>
    <w:rsid w:val="431247FD"/>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97627D"/>
    <w:rsid w:val="45A100BA"/>
    <w:rsid w:val="45AB2CE7"/>
    <w:rsid w:val="45B20519"/>
    <w:rsid w:val="45B47DEE"/>
    <w:rsid w:val="45B778DE"/>
    <w:rsid w:val="45C049E4"/>
    <w:rsid w:val="45C344D5"/>
    <w:rsid w:val="45E649C1"/>
    <w:rsid w:val="45FE2B09"/>
    <w:rsid w:val="461940F5"/>
    <w:rsid w:val="46256F3D"/>
    <w:rsid w:val="46365271"/>
    <w:rsid w:val="463E3B5B"/>
    <w:rsid w:val="46487824"/>
    <w:rsid w:val="466C06C8"/>
    <w:rsid w:val="46712183"/>
    <w:rsid w:val="467B6B5D"/>
    <w:rsid w:val="4689127A"/>
    <w:rsid w:val="46A76B23"/>
    <w:rsid w:val="46B362F7"/>
    <w:rsid w:val="46EA77D2"/>
    <w:rsid w:val="46FC25A6"/>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9E2E1A"/>
    <w:rsid w:val="4ABA5EA6"/>
    <w:rsid w:val="4ACA00A8"/>
    <w:rsid w:val="4AEA40A1"/>
    <w:rsid w:val="4AFA44F5"/>
    <w:rsid w:val="4B0709C0"/>
    <w:rsid w:val="4B074A45"/>
    <w:rsid w:val="4B3C4B0D"/>
    <w:rsid w:val="4B510D65"/>
    <w:rsid w:val="4B6978CC"/>
    <w:rsid w:val="4B8D7117"/>
    <w:rsid w:val="4B9E1324"/>
    <w:rsid w:val="4B9F28EF"/>
    <w:rsid w:val="4BA804EE"/>
    <w:rsid w:val="4BAD5A0B"/>
    <w:rsid w:val="4BB87F0C"/>
    <w:rsid w:val="4BCA478D"/>
    <w:rsid w:val="4BCD4DA7"/>
    <w:rsid w:val="4BD72A88"/>
    <w:rsid w:val="4C003D8D"/>
    <w:rsid w:val="4C2D65B7"/>
    <w:rsid w:val="4C453E95"/>
    <w:rsid w:val="4C513C42"/>
    <w:rsid w:val="4C784837"/>
    <w:rsid w:val="4C8C5620"/>
    <w:rsid w:val="4CB352E6"/>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37F61"/>
    <w:rsid w:val="4E4B32B9"/>
    <w:rsid w:val="4E4E031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661A02"/>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642410"/>
    <w:rsid w:val="506643DA"/>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7A32CC"/>
    <w:rsid w:val="51AB6549"/>
    <w:rsid w:val="51AC22C1"/>
    <w:rsid w:val="51B51175"/>
    <w:rsid w:val="51B655ED"/>
    <w:rsid w:val="51BC69A8"/>
    <w:rsid w:val="51C45B1E"/>
    <w:rsid w:val="51DD027E"/>
    <w:rsid w:val="51FF4AE6"/>
    <w:rsid w:val="5202766A"/>
    <w:rsid w:val="52075749"/>
    <w:rsid w:val="52086E88"/>
    <w:rsid w:val="520914C1"/>
    <w:rsid w:val="522D51B0"/>
    <w:rsid w:val="52385255"/>
    <w:rsid w:val="524D39E7"/>
    <w:rsid w:val="52655EED"/>
    <w:rsid w:val="526A01B2"/>
    <w:rsid w:val="52720E14"/>
    <w:rsid w:val="52B4142D"/>
    <w:rsid w:val="52B551A5"/>
    <w:rsid w:val="52B92F75"/>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267342"/>
    <w:rsid w:val="55326D32"/>
    <w:rsid w:val="55487179"/>
    <w:rsid w:val="554B5B7F"/>
    <w:rsid w:val="55517E5D"/>
    <w:rsid w:val="55521C9E"/>
    <w:rsid w:val="5560589C"/>
    <w:rsid w:val="55852E44"/>
    <w:rsid w:val="558C48E3"/>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728063B"/>
    <w:rsid w:val="572A43B4"/>
    <w:rsid w:val="573967DC"/>
    <w:rsid w:val="575D6537"/>
    <w:rsid w:val="575E22AF"/>
    <w:rsid w:val="575F4A5D"/>
    <w:rsid w:val="57633422"/>
    <w:rsid w:val="576F0018"/>
    <w:rsid w:val="578320CF"/>
    <w:rsid w:val="57835872"/>
    <w:rsid w:val="57BB14B0"/>
    <w:rsid w:val="57BD10A8"/>
    <w:rsid w:val="57CA16F3"/>
    <w:rsid w:val="57E9601D"/>
    <w:rsid w:val="57FB5D50"/>
    <w:rsid w:val="580F01B2"/>
    <w:rsid w:val="5821117D"/>
    <w:rsid w:val="583555B0"/>
    <w:rsid w:val="58373836"/>
    <w:rsid w:val="583D4424"/>
    <w:rsid w:val="58433FDB"/>
    <w:rsid w:val="584F6B7D"/>
    <w:rsid w:val="585216B5"/>
    <w:rsid w:val="585B0D05"/>
    <w:rsid w:val="58694A68"/>
    <w:rsid w:val="586A1866"/>
    <w:rsid w:val="5875165E"/>
    <w:rsid w:val="589046EA"/>
    <w:rsid w:val="58970D9C"/>
    <w:rsid w:val="589B7E1A"/>
    <w:rsid w:val="58BC50A4"/>
    <w:rsid w:val="58CE6FC1"/>
    <w:rsid w:val="58D72319"/>
    <w:rsid w:val="58DC16DE"/>
    <w:rsid w:val="58E97CE8"/>
    <w:rsid w:val="58F033DB"/>
    <w:rsid w:val="59026A33"/>
    <w:rsid w:val="59097FF9"/>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84C52"/>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6240BF"/>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81B16"/>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89617B"/>
    <w:rsid w:val="61A22D98"/>
    <w:rsid w:val="61B530E2"/>
    <w:rsid w:val="61C251E9"/>
    <w:rsid w:val="61CD250B"/>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7C0CE8"/>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432D9C"/>
    <w:rsid w:val="66747D26"/>
    <w:rsid w:val="667747F4"/>
    <w:rsid w:val="66AB21C3"/>
    <w:rsid w:val="66B5531C"/>
    <w:rsid w:val="66C258A6"/>
    <w:rsid w:val="66CF63DE"/>
    <w:rsid w:val="66E145AD"/>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400B49"/>
    <w:rsid w:val="68420E31"/>
    <w:rsid w:val="685F19E3"/>
    <w:rsid w:val="685F7957"/>
    <w:rsid w:val="687F2281"/>
    <w:rsid w:val="68842C1E"/>
    <w:rsid w:val="688D6550"/>
    <w:rsid w:val="68C72254"/>
    <w:rsid w:val="68DA0494"/>
    <w:rsid w:val="68E1064A"/>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D03E7"/>
    <w:rsid w:val="6A7449B2"/>
    <w:rsid w:val="6A8706F1"/>
    <w:rsid w:val="6A9736B6"/>
    <w:rsid w:val="6AA302AD"/>
    <w:rsid w:val="6AA61B4B"/>
    <w:rsid w:val="6AA67D9D"/>
    <w:rsid w:val="6AA95198"/>
    <w:rsid w:val="6ABF6769"/>
    <w:rsid w:val="6AD12266"/>
    <w:rsid w:val="6AD57716"/>
    <w:rsid w:val="6AD73E3C"/>
    <w:rsid w:val="6AF1726A"/>
    <w:rsid w:val="6AF208ED"/>
    <w:rsid w:val="6B0D1BCA"/>
    <w:rsid w:val="6B120F8F"/>
    <w:rsid w:val="6B122D3D"/>
    <w:rsid w:val="6B1C1E0E"/>
    <w:rsid w:val="6B4355EC"/>
    <w:rsid w:val="6B4E646B"/>
    <w:rsid w:val="6B7457A6"/>
    <w:rsid w:val="6B8579B3"/>
    <w:rsid w:val="6B9419A4"/>
    <w:rsid w:val="6BE124BE"/>
    <w:rsid w:val="6BE20961"/>
    <w:rsid w:val="6BE50451"/>
    <w:rsid w:val="6BE8387E"/>
    <w:rsid w:val="6BE96194"/>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F5D43"/>
    <w:rsid w:val="6FEF7AF1"/>
    <w:rsid w:val="6FF13869"/>
    <w:rsid w:val="704936A5"/>
    <w:rsid w:val="704C06A7"/>
    <w:rsid w:val="706128E0"/>
    <w:rsid w:val="70651B61"/>
    <w:rsid w:val="706F478E"/>
    <w:rsid w:val="708E10B8"/>
    <w:rsid w:val="708E2E66"/>
    <w:rsid w:val="709A5357"/>
    <w:rsid w:val="70C920F0"/>
    <w:rsid w:val="70FC4273"/>
    <w:rsid w:val="71080E6A"/>
    <w:rsid w:val="710A2D64"/>
    <w:rsid w:val="710E3FA6"/>
    <w:rsid w:val="712E4649"/>
    <w:rsid w:val="715069EC"/>
    <w:rsid w:val="7165689A"/>
    <w:rsid w:val="717958C4"/>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A03324"/>
    <w:rsid w:val="72A0751B"/>
    <w:rsid w:val="72CD44DD"/>
    <w:rsid w:val="72F378F8"/>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450D3A"/>
    <w:rsid w:val="78496FBD"/>
    <w:rsid w:val="7866291A"/>
    <w:rsid w:val="786B5A9C"/>
    <w:rsid w:val="78746DE5"/>
    <w:rsid w:val="787E7C64"/>
    <w:rsid w:val="78911745"/>
    <w:rsid w:val="789E3E62"/>
    <w:rsid w:val="78BC253A"/>
    <w:rsid w:val="78C338C8"/>
    <w:rsid w:val="78DA3778"/>
    <w:rsid w:val="79004B1D"/>
    <w:rsid w:val="79134850"/>
    <w:rsid w:val="79426EE3"/>
    <w:rsid w:val="794C71C1"/>
    <w:rsid w:val="796609EE"/>
    <w:rsid w:val="79786DA9"/>
    <w:rsid w:val="797F5A41"/>
    <w:rsid w:val="798C63B0"/>
    <w:rsid w:val="79975481"/>
    <w:rsid w:val="79A851F6"/>
    <w:rsid w:val="79C67B14"/>
    <w:rsid w:val="79EB30D7"/>
    <w:rsid w:val="7A0B19CB"/>
    <w:rsid w:val="7A140880"/>
    <w:rsid w:val="7A2111EE"/>
    <w:rsid w:val="7A2B5BC9"/>
    <w:rsid w:val="7A2F6CAF"/>
    <w:rsid w:val="7A3525A4"/>
    <w:rsid w:val="7A6D61E2"/>
    <w:rsid w:val="7A6D7F90"/>
    <w:rsid w:val="7A756E44"/>
    <w:rsid w:val="7A905722"/>
    <w:rsid w:val="7AA975E0"/>
    <w:rsid w:val="7ACD16AF"/>
    <w:rsid w:val="7AE83ABA"/>
    <w:rsid w:val="7AEC7106"/>
    <w:rsid w:val="7B0A57DF"/>
    <w:rsid w:val="7B0F54EB"/>
    <w:rsid w:val="7B143268"/>
    <w:rsid w:val="7B160627"/>
    <w:rsid w:val="7B177000"/>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DA593C"/>
    <w:rsid w:val="7DE642E1"/>
    <w:rsid w:val="7E152E18"/>
    <w:rsid w:val="7E2D0162"/>
    <w:rsid w:val="7E3808B5"/>
    <w:rsid w:val="7E39772C"/>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61298"/>
    <w:rsid w:val="7F4F44E6"/>
    <w:rsid w:val="7F5434CC"/>
    <w:rsid w:val="7F5E434B"/>
    <w:rsid w:val="7F741DC0"/>
    <w:rsid w:val="7F7F4D53"/>
    <w:rsid w:val="7F8D69DE"/>
    <w:rsid w:val="7F9B4DDA"/>
    <w:rsid w:val="7FA44454"/>
    <w:rsid w:val="7FB7536A"/>
    <w:rsid w:val="9FD7F28B"/>
    <w:rsid w:val="BE9F9243"/>
    <w:rsid w:val="DF7880FA"/>
    <w:rsid w:val="E76DBE54"/>
    <w:rsid w:val="FCFA9FFA"/>
    <w:rsid w:val="FDFEDC82"/>
    <w:rsid w:val="FE5F6018"/>
    <w:rsid w:val="FE5FECED"/>
    <w:rsid w:val="FEEB1656"/>
    <w:rsid w:val="FF6BD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5">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qFormat/>
    <w:uiPriority w:val="0"/>
    <w:pPr>
      <w:adjustRightInd w:val="0"/>
      <w:spacing w:line="360" w:lineRule="atLeast"/>
      <w:jc w:val="left"/>
      <w:textAlignment w:val="baseline"/>
    </w:pPr>
    <w:rPr>
      <w:kern w:val="0"/>
      <w:sz w:val="24"/>
      <w:szCs w:val="20"/>
    </w:rPr>
  </w:style>
  <w:style w:type="paragraph" w:styleId="11">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2">
    <w:name w:val="Body Text 3"/>
    <w:basedOn w:val="1"/>
    <w:qFormat/>
    <w:uiPriority w:val="0"/>
    <w:pPr>
      <w:spacing w:line="500" w:lineRule="exact"/>
    </w:pPr>
    <w:rPr>
      <w:b/>
      <w:bCs/>
      <w:kern w:val="0"/>
      <w:sz w:val="24"/>
    </w:rPr>
  </w:style>
  <w:style w:type="paragraph" w:styleId="13">
    <w:name w:val="Body Text"/>
    <w:basedOn w:val="1"/>
    <w:next w:val="14"/>
    <w:qFormat/>
    <w:uiPriority w:val="0"/>
    <w:pPr>
      <w:spacing w:line="380" w:lineRule="exact"/>
    </w:pPr>
    <w:rPr>
      <w:kern w:val="0"/>
      <w:sz w:val="24"/>
    </w:rPr>
  </w:style>
  <w:style w:type="paragraph" w:styleId="14">
    <w:name w:val="Date"/>
    <w:basedOn w:val="1"/>
    <w:next w:val="1"/>
    <w:qFormat/>
    <w:uiPriority w:val="0"/>
    <w:rPr>
      <w:sz w:val="24"/>
    </w:rPr>
  </w:style>
  <w:style w:type="paragraph" w:styleId="15">
    <w:name w:val="Body Text Indent"/>
    <w:basedOn w:val="1"/>
    <w:qFormat/>
    <w:uiPriority w:val="0"/>
    <w:pPr>
      <w:ind w:firstLine="830" w:firstLineChars="352"/>
    </w:pPr>
    <w:rPr>
      <w:rFonts w:ascii="仿宋_GB2312" w:eastAsia="仿宋_GB2312"/>
      <w:kern w:val="0"/>
      <w:sz w:val="32"/>
      <w:szCs w:val="20"/>
    </w:rPr>
  </w:style>
  <w:style w:type="paragraph" w:styleId="16">
    <w:name w:val="List 2"/>
    <w:basedOn w:val="1"/>
    <w:qFormat/>
    <w:uiPriority w:val="0"/>
    <w:pPr>
      <w:ind w:left="100" w:leftChars="200" w:hanging="200" w:hangingChars="200"/>
    </w:pPr>
    <w:rPr>
      <w:rFonts w:ascii="Verdana" w:hAnsi="Verdana"/>
      <w:sz w:val="28"/>
    </w:rPr>
  </w:style>
  <w:style w:type="paragraph" w:styleId="17">
    <w:name w:val="toc 3"/>
    <w:basedOn w:val="1"/>
    <w:next w:val="1"/>
    <w:qFormat/>
    <w:uiPriority w:val="0"/>
    <w:pPr>
      <w:ind w:left="840" w:leftChars="400"/>
    </w:pPr>
  </w:style>
  <w:style w:type="paragraph" w:styleId="18">
    <w:name w:val="Plain Text"/>
    <w:basedOn w:val="1"/>
    <w:next w:val="1"/>
    <w:qFormat/>
    <w:uiPriority w:val="0"/>
    <w:rPr>
      <w:rFonts w:ascii="宋体" w:hAnsi="Courier New"/>
      <w:kern w:val="0"/>
      <w:sz w:val="20"/>
      <w:szCs w:val="21"/>
    </w:rPr>
  </w:style>
  <w:style w:type="paragraph" w:styleId="19">
    <w:name w:val="footer"/>
    <w:basedOn w:val="1"/>
    <w:qFormat/>
    <w:uiPriority w:val="0"/>
    <w:pPr>
      <w:tabs>
        <w:tab w:val="center" w:pos="4153"/>
        <w:tab w:val="right" w:pos="8306"/>
      </w:tabs>
      <w:snapToGrid w:val="0"/>
      <w:jc w:val="left"/>
    </w:pPr>
    <w:rPr>
      <w:kern w:val="0"/>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3"/>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5"/>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5"/>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2320</Words>
  <Characters>2541</Characters>
  <Lines>0</Lines>
  <Paragraphs>0</Paragraphs>
  <TotalTime>11</TotalTime>
  <ScaleCrop>false</ScaleCrop>
  <LinksUpToDate>false</LinksUpToDate>
  <CharactersWithSpaces>2612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LD</dc:creator>
  <cp:lastModifiedBy>路小路</cp:lastModifiedBy>
  <cp:lastPrinted>2026-09-15T03:23:00Z</cp:lastPrinted>
  <dcterms:modified xsi:type="dcterms:W3CDTF">2026-09-21T07:24:37Z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B620FFB4D4BC4EFC820F39F30A6A70A4_13</vt:lpwstr>
  </property>
  <property fmtid="{D5CDD505-2E9C-101B-9397-08002B2CF9AE}" pid="4" name="commondata">
    <vt:lpwstr>eyJoZGlkIjoiZWExNWU1N2QxY2UxZWI4YzNlODg4ODFmNzk0YTgzMDQifQ==</vt:lpwstr>
  </property>
  <property fmtid="{D5CDD505-2E9C-101B-9397-08002B2CF9AE}" pid="5" name="KSOTemplateDocerSaveRecord">
    <vt:lpwstr>eyJoZGlkIjoiZmIxOThhMzE5M2MzYzgxMWZlNjBlMTFmYmZiYTc1YjQiLCJ1c2VySWQiOiIyODQ5NTIzNzYifQ==</vt:lpwstr>
  </property>
</Properties>
</file>