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2C861D68">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default" w:ascii="Times New Roman" w:hAnsi="宋体" w:eastAsia="宋体" w:cs="Times New Roman"/>
          <w:b/>
          <w:kern w:val="2"/>
          <w:sz w:val="32"/>
          <w:szCs w:val="32"/>
          <w:lang w:val="en-US" w:eastAsia="zh-CN" w:bidi="ar-SA"/>
        </w:rPr>
      </w:pPr>
      <w:r>
        <w:rPr>
          <w:rFonts w:hint="eastAsia" w:hAnsi="宋体"/>
          <w:b/>
          <w:sz w:val="32"/>
          <w:szCs w:val="32"/>
          <w:lang w:val="en-US" w:eastAsia="zh-CN"/>
        </w:rPr>
        <w:t xml:space="preserve">   </w:t>
      </w:r>
      <w:r>
        <w:rPr>
          <w:rFonts w:hint="eastAsia" w:ascii="宋体" w:hAnsi="宋体" w:eastAsia="宋体"/>
          <w:b/>
          <w:sz w:val="32"/>
          <w:szCs w:val="32"/>
          <w:lang w:eastAsia="zh-CN"/>
        </w:rPr>
        <w:t>项目名称：七氟丙烷灭火装置钢瓶检测服务采购公告</w:t>
      </w:r>
    </w:p>
    <w:p w14:paraId="0FE7D269">
      <w:pPr>
        <w:pStyle w:val="18"/>
        <w:keepNext w:val="0"/>
        <w:keepLines w:val="0"/>
        <w:pageBreakBefore w:val="0"/>
        <w:widowControl w:val="0"/>
        <w:kinsoku/>
        <w:wordWrap/>
        <w:overflowPunct/>
        <w:topLinePunct w:val="0"/>
        <w:autoSpaceDE/>
        <w:autoSpaceDN/>
        <w:bidi w:val="0"/>
        <w:adjustRightInd/>
        <w:snapToGrid w:val="0"/>
        <w:spacing w:before="50" w:after="120" w:line="360" w:lineRule="auto"/>
        <w:ind w:firstLine="964" w:firstLineChars="3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项目编号：GXSZ2026-00</w:t>
      </w:r>
      <w:r>
        <w:rPr>
          <w:rFonts w:hint="eastAsia" w:hAnsi="宋体"/>
          <w:b/>
          <w:sz w:val="32"/>
          <w:szCs w:val="32"/>
          <w:lang w:val="en-US" w:eastAsia="zh-CN"/>
        </w:rPr>
        <w:t>9</w:t>
      </w:r>
      <w:r>
        <w:rPr>
          <w:rFonts w:hint="eastAsia" w:ascii="宋体" w:hAnsi="宋体"/>
          <w:b/>
          <w:sz w:val="32"/>
          <w:szCs w:val="32"/>
          <w:lang w:eastAsia="zh-CN"/>
        </w:rPr>
        <w:t>-JYB</w:t>
      </w:r>
    </w:p>
    <w:p w14:paraId="28764F66">
      <w:pPr>
        <w:keepNext w:val="0"/>
        <w:keepLines w:val="0"/>
        <w:pageBreakBefore w:val="0"/>
        <w:widowControl w:val="0"/>
        <w:kinsoku/>
        <w:wordWrap/>
        <w:overflowPunct/>
        <w:topLinePunct w:val="0"/>
        <w:autoSpaceDE/>
        <w:autoSpaceDN/>
        <w:bidi w:val="0"/>
        <w:adjustRightInd/>
        <w:spacing w:line="360" w:lineRule="auto"/>
        <w:ind w:firstLine="964" w:firstLineChars="3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9</w:t>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4</w:t>
      </w:r>
    </w:p>
    <w:p w14:paraId="29AD163D">
      <w:pPr>
        <w:pStyle w:val="21"/>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499576933"/>
      <w:bookmarkStart w:id="1" w:name="_Toc9294"/>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根据医院工作需要，现对2026年七氟丙烷灭火装置钢瓶检测服务</w:t>
      </w:r>
      <w:r>
        <w:rPr>
          <w:rFonts w:hint="eastAsia" w:ascii="宋体" w:hAnsi="宋体" w:cs="Times New Roman"/>
          <w:szCs w:val="21"/>
          <w:lang w:val="en-US" w:eastAsia="zh-CN"/>
        </w:rPr>
        <w:t>项目</w:t>
      </w:r>
      <w:r>
        <w:rPr>
          <w:rFonts w:hint="eastAsia" w:ascii="宋体" w:hAnsi="宋体" w:eastAsia="宋体" w:cs="Times New Roman"/>
          <w:szCs w:val="21"/>
          <w:lang w:val="en-US" w:eastAsia="zh-CN"/>
        </w:rPr>
        <w:t>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项目名称：七氟丙烷灭火装置钢瓶检测服务</w:t>
      </w:r>
      <w:r>
        <w:rPr>
          <w:rFonts w:hint="eastAsia" w:ascii="宋体" w:hAnsi="宋体" w:cs="Times New Roman"/>
          <w:szCs w:val="21"/>
          <w:lang w:val="en-US" w:eastAsia="zh-CN"/>
        </w:rPr>
        <w:t>项目</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项目编号：GXSZ2026-00</w:t>
      </w:r>
      <w:r>
        <w:rPr>
          <w:rFonts w:hint="eastAsia" w:ascii="宋体" w:hAnsi="宋体" w:cs="Times New Roman"/>
          <w:szCs w:val="21"/>
          <w:lang w:val="en-US" w:eastAsia="zh-CN"/>
        </w:rPr>
        <w:t>9</w:t>
      </w:r>
      <w:r>
        <w:rPr>
          <w:rFonts w:hint="eastAsia" w:ascii="宋体" w:hAnsi="宋体" w:eastAsia="宋体" w:cs="Times New Roman"/>
          <w:szCs w:val="21"/>
          <w:lang w:val="en-US" w:eastAsia="zh-CN"/>
        </w:rPr>
        <w:t>-JYB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4D8A742A">
      <w:pPr>
        <w:spacing w:line="400" w:lineRule="exact"/>
        <w:ind w:firstLine="420" w:firstLineChars="200"/>
        <w:rPr>
          <w:rFonts w:hint="eastAsia" w:ascii="宋体" w:hAnsi="宋体" w:eastAsia="宋体"/>
          <w:szCs w:val="21"/>
          <w:lang w:eastAsia="zh-CN"/>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预算金额：人民币肆万捌仟元整（¥48000.00）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434BFB7D">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w:t>
      </w:r>
    </w:p>
    <w:p w14:paraId="123A3B21">
      <w:pPr>
        <w:numPr>
          <w:ilvl w:val="0"/>
          <w:numId w:val="0"/>
        </w:numPr>
        <w:spacing w:line="400" w:lineRule="exact"/>
        <w:ind w:firstLine="420" w:firstLineChars="200"/>
        <w:rPr>
          <w:rFonts w:hint="eastAsia"/>
          <w:lang w:val="en-US" w:eastAsia="zh-CN"/>
        </w:rPr>
      </w:pPr>
      <w:r>
        <w:rPr>
          <w:rFonts w:hint="eastAsia" w:asciiTheme="minorEastAsia" w:hAnsiTheme="minorEastAsia" w:eastAsiaTheme="minorEastAsia" w:cstheme="minorEastAsia"/>
          <w:b w:val="0"/>
          <w:bCs w:val="0"/>
          <w:sz w:val="21"/>
          <w:szCs w:val="21"/>
          <w:vertAlign w:val="baseline"/>
          <w:lang w:val="en-US" w:eastAsia="zh-CN"/>
        </w:rPr>
        <w:t>（1）特种设备检验资质：持有《中华人民共和国特种设备检验检测核准证书》，核准项目代码覆盖：钢质无缝气瓶、钢质焊接气瓶、小容积金属内胆纤维缠绕气瓶等。</w:t>
      </w:r>
    </w:p>
    <w:p w14:paraId="301208D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7FA08AC4">
      <w:pPr>
        <w:spacing w:line="400" w:lineRule="exact"/>
        <w:ind w:firstLine="422" w:firstLineChars="200"/>
        <w:rPr>
          <w:rFonts w:hint="default" w:ascii="宋体" w:hAnsi="宋体" w:eastAsia="宋体"/>
          <w:b/>
          <w:szCs w:val="21"/>
          <w:highlight w:val="none"/>
          <w:lang w:val="en-US" w:eastAsia="zh-CN"/>
        </w:rPr>
      </w:pPr>
      <w:r>
        <w:rPr>
          <w:rFonts w:hint="eastAsia" w:ascii="宋体" w:hAnsi="宋体"/>
          <w:b/>
          <w:szCs w:val="21"/>
          <w:highlight w:val="none"/>
          <w:lang w:val="en-US" w:eastAsia="zh-CN"/>
        </w:rPr>
        <w:t>四</w:t>
      </w:r>
      <w:r>
        <w:rPr>
          <w:rFonts w:hint="eastAsia" w:ascii="宋体" w:hAnsi="宋体"/>
          <w:b/>
          <w:szCs w:val="21"/>
          <w:highlight w:val="none"/>
        </w:rPr>
        <w:t>、响应文件递交</w:t>
      </w:r>
      <w:r>
        <w:rPr>
          <w:rFonts w:hint="eastAsia" w:ascii="宋体" w:hAnsi="宋体"/>
          <w:b/>
          <w:szCs w:val="21"/>
          <w:highlight w:val="none"/>
          <w:lang w:val="en-US" w:eastAsia="zh-CN"/>
        </w:rPr>
        <w:t>时间和地点</w:t>
      </w:r>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lang w:val="en-US" w:eastAsia="zh-CN"/>
        </w:rPr>
        <w:t>1、 递交时间：2026年9月22日起至2026年9月24日</w:t>
      </w:r>
      <w:r>
        <w:rPr>
          <w:rFonts w:hint="eastAsia" w:ascii="宋体" w:hAnsi="宋体" w:cs="Arial"/>
          <w:szCs w:val="21"/>
          <w:highlight w:val="none"/>
          <w:lang w:eastAsia="zh-CN"/>
        </w:rPr>
        <w:t>，</w:t>
      </w:r>
      <w:r>
        <w:rPr>
          <w:rFonts w:hint="eastAsia" w:ascii="宋体" w:hAnsi="宋体" w:cs="Arial"/>
          <w:szCs w:val="21"/>
          <w:lang w:val="en-US" w:eastAsia="zh-CN"/>
        </w:rPr>
        <w:t>每天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eastAsia" w:ascii="宋体" w:hAnsi="宋体" w:eastAsia="宋体"/>
          <w:b/>
          <w:bCs/>
          <w:szCs w:val="21"/>
          <w:highlight w:val="none"/>
          <w:lang w:val="en-US" w:eastAsia="zh-CN"/>
        </w:rPr>
      </w:pPr>
      <w:r>
        <w:rPr>
          <w:rFonts w:hint="eastAsia" w:ascii="宋体" w:hAnsi="宋体"/>
          <w:b/>
          <w:szCs w:val="21"/>
          <w:highlight w:val="none"/>
        </w:rPr>
        <w:t>※</w:t>
      </w:r>
      <w:r>
        <w:rPr>
          <w:rFonts w:hint="eastAsia" w:ascii="宋体" w:hAnsi="宋体" w:eastAsia="宋体" w:cs="Times New Roman"/>
          <w:b/>
          <w:szCs w:val="21"/>
          <w:highlight w:val="none"/>
        </w:rPr>
        <w:t>特别说明：（</w:t>
      </w:r>
      <w:r>
        <w:rPr>
          <w:rFonts w:hint="eastAsia" w:ascii="宋体" w:hAnsi="宋体" w:cs="Times New Roman"/>
          <w:b/>
          <w:szCs w:val="21"/>
          <w:highlight w:val="none"/>
          <w:lang w:val="en-US" w:eastAsia="zh-CN"/>
        </w:rPr>
        <w:t>1</w:t>
      </w:r>
      <w:r>
        <w:rPr>
          <w:rFonts w:hint="eastAsia" w:ascii="宋体" w:hAnsi="宋体" w:eastAsia="宋体" w:cs="Times New Roman"/>
          <w:b/>
          <w:szCs w:val="21"/>
          <w:highlight w:val="none"/>
        </w:rPr>
        <w:t>）《采购项目报名表》不需要密封，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w:t>
      </w:r>
      <w:r>
        <w:rPr>
          <w:rFonts w:hint="eastAsia" w:ascii="宋体" w:hAnsi="宋体" w:cs="Times New Roman"/>
          <w:b/>
          <w:szCs w:val="21"/>
          <w:highlight w:val="none"/>
          <w:lang w:val="en-US" w:eastAsia="zh-CN"/>
        </w:rPr>
        <w:t>2</w:t>
      </w:r>
      <w:r>
        <w:rPr>
          <w:rFonts w:hint="eastAsia" w:ascii="宋体" w:hAnsi="宋体" w:eastAsia="宋体" w:cs="Times New Roman"/>
          <w:b/>
          <w:szCs w:val="21"/>
          <w:highlight w:val="none"/>
        </w:rPr>
        <w:t>）响应文件加盖单位公章</w:t>
      </w:r>
      <w:r>
        <w:rPr>
          <w:rFonts w:hint="eastAsia" w:ascii="宋体" w:hAnsi="宋体" w:cs="Times New Roman"/>
          <w:b/>
          <w:szCs w:val="21"/>
          <w:highlight w:val="none"/>
          <w:lang w:val="en-US" w:eastAsia="zh-CN"/>
        </w:rPr>
        <w:t>密封</w:t>
      </w:r>
      <w:r>
        <w:rPr>
          <w:rFonts w:hint="eastAsia" w:ascii="宋体" w:hAnsi="宋体" w:eastAsia="宋体" w:cs="Times New Roman"/>
          <w:b/>
          <w:szCs w:val="21"/>
          <w:highlight w:val="none"/>
        </w:rPr>
        <w:t>有效（一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），未按要求密封</w:t>
      </w:r>
      <w:r>
        <w:rPr>
          <w:rFonts w:hint="eastAsia" w:ascii="宋体" w:hAnsi="宋体" w:cs="Times New Roman"/>
          <w:b/>
          <w:szCs w:val="21"/>
          <w:highlight w:val="none"/>
          <w:lang w:val="en-US" w:eastAsia="zh-CN"/>
        </w:rPr>
        <w:t>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Times New Roman"/>
          <w:b/>
          <w:szCs w:val="21"/>
          <w:highlight w:val="none"/>
          <w:lang w:eastAsia="zh-CN"/>
        </w:rPr>
        <w:t>（</w:t>
      </w:r>
      <w:r>
        <w:rPr>
          <w:rFonts w:hint="eastAsia" w:ascii="宋体" w:hAnsi="宋体" w:cs="Times New Roman"/>
          <w:b/>
          <w:szCs w:val="21"/>
          <w:highlight w:val="none"/>
          <w:lang w:val="en-US" w:eastAsia="zh-CN"/>
        </w:rPr>
        <w:t>3）响应文件采用</w:t>
      </w:r>
      <w:r>
        <w:rPr>
          <w:rFonts w:hint="eastAsia" w:ascii="宋体" w:hAnsi="宋体" w:cs="Arial"/>
          <w:b/>
          <w:bCs/>
          <w:szCs w:val="21"/>
          <w:highlight w:val="none"/>
          <w:lang w:val="en-US" w:eastAsia="zh-CN"/>
        </w:rPr>
        <w:t>邮寄或现场递交方式，</w:t>
      </w:r>
      <w:r>
        <w:rPr>
          <w:rFonts w:hint="eastAsia" w:ascii="宋体" w:hAnsi="宋体" w:eastAsia="宋体" w:cs="Times New Roman"/>
          <w:b/>
          <w:szCs w:val="21"/>
          <w:highlight w:val="none"/>
        </w:rPr>
        <w:t>逾时送达的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Arial"/>
          <w:b/>
          <w:bCs/>
          <w:szCs w:val="21"/>
          <w:highlight w:val="none"/>
          <w:lang w:val="en-US" w:eastAsia="zh-CN"/>
        </w:rPr>
        <w:t>；</w:t>
      </w:r>
      <w:r>
        <w:rPr>
          <w:rFonts w:hint="eastAsia" w:ascii="宋体" w:hAnsi="宋体" w:eastAsia="宋体" w:cs="Times New Roman"/>
          <w:b/>
          <w:szCs w:val="21"/>
          <w:highlight w:val="none"/>
        </w:rPr>
        <w:t>（</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r>
        <w:rPr>
          <w:rFonts w:hint="eastAsia" w:ascii="宋体" w:hAnsi="宋体" w:cs="Arial"/>
          <w:b/>
          <w:bCs/>
          <w:szCs w:val="21"/>
          <w:highlight w:val="none"/>
          <w:lang w:val="en-US" w:eastAsia="zh-CN"/>
        </w:rPr>
        <w:t>。</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韦</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772A3170">
      <w:pPr>
        <w:snapToGrid w:val="0"/>
        <w:spacing w:line="400" w:lineRule="exact"/>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5AAC25F7">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4A70E17D">
      <w:pPr>
        <w:spacing w:line="400" w:lineRule="exact"/>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32CC549A">
      <w:pPr>
        <w:snapToGrid w:val="0"/>
        <w:spacing w:line="400" w:lineRule="exact"/>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76B0E58A">
      <w:pPr>
        <w:pStyle w:val="37"/>
        <w:rPr>
          <w:rFonts w:hint="eastAsia"/>
        </w:rPr>
      </w:pPr>
    </w:p>
    <w:p w14:paraId="5F2E9A02">
      <w:pPr>
        <w:pStyle w:val="19"/>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hint="eastAsia" w:ascii="宋体" w:hAnsi="宋体"/>
          <w:szCs w:val="21"/>
          <w:highlight w:val="none"/>
        </w:rPr>
      </w:pPr>
      <w:r>
        <w:rPr>
          <w:rFonts w:hint="eastAsia" w:ascii="宋体" w:hAnsi="宋体"/>
          <w:szCs w:val="21"/>
          <w:highlight w:val="none"/>
        </w:rPr>
        <w:t>广西壮族自治区生殖医院</w:t>
      </w:r>
    </w:p>
    <w:p w14:paraId="02606B2F">
      <w:pPr>
        <w:widowControl/>
        <w:adjustRightInd w:val="0"/>
        <w:snapToGrid w:val="0"/>
        <w:spacing w:line="400" w:lineRule="exact"/>
        <w:ind w:firstLine="6300" w:firstLineChars="3000"/>
        <w:jc w:val="right"/>
        <w:rPr>
          <w:rFonts w:hint="eastAsia" w:ascii="宋体" w:hAnsi="宋体"/>
          <w:szCs w:val="21"/>
          <w:highlight w:val="none"/>
        </w:rPr>
      </w:pPr>
      <w:r>
        <w:rPr>
          <w:rFonts w:hint="eastAsia" w:ascii="宋体" w:hAnsi="宋体"/>
          <w:szCs w:val="21"/>
          <w:highlight w:val="none"/>
        </w:rPr>
        <w:t xml:space="preserve">   2026年</w:t>
      </w:r>
      <w:r>
        <w:rPr>
          <w:rFonts w:hint="eastAsia" w:ascii="宋体" w:hAnsi="宋体"/>
          <w:szCs w:val="21"/>
          <w:highlight w:val="none"/>
          <w:lang w:val="en-US" w:eastAsia="zh-CN"/>
        </w:rPr>
        <w:t>9</w:t>
      </w:r>
      <w:r>
        <w:rPr>
          <w:rFonts w:hint="eastAsia" w:ascii="宋体" w:hAnsi="宋体"/>
          <w:szCs w:val="21"/>
          <w:highlight w:val="none"/>
        </w:rPr>
        <w:t>月</w:t>
      </w:r>
      <w:r>
        <w:rPr>
          <w:rFonts w:hint="eastAsia" w:ascii="宋体" w:hAnsi="宋体"/>
          <w:szCs w:val="21"/>
          <w:highlight w:val="none"/>
          <w:lang w:val="en-US" w:eastAsia="zh-CN"/>
        </w:rPr>
        <w:t xml:space="preserve"> 21</w:t>
      </w:r>
      <w:r>
        <w:rPr>
          <w:rFonts w:hint="eastAsia" w:ascii="宋体" w:hAnsi="宋体"/>
          <w:szCs w:val="21"/>
          <w:highlight w:val="none"/>
        </w:rPr>
        <w:t>日</w:t>
      </w:r>
      <w:bookmarkStart w:id="9" w:name="_GoBack"/>
      <w:bookmarkEnd w:id="9"/>
    </w:p>
    <w:p w14:paraId="7E2E5FBD">
      <w:pPr>
        <w:rPr>
          <w:rFonts w:hint="eastAsia" w:ascii="宋体" w:hAnsi="宋体"/>
          <w:szCs w:val="21"/>
          <w:highlight w:val="yellow"/>
        </w:rPr>
      </w:pPr>
      <w:r>
        <w:rPr>
          <w:rFonts w:hint="eastAsia" w:ascii="宋体" w:hAnsi="宋体"/>
          <w:szCs w:val="21"/>
          <w:highlight w:val="yellow"/>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5"/>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3"/>
            <w:r>
              <w:rPr>
                <w:rFonts w:hint="eastAsia" w:ascii="仿宋" w:hAnsi="仿宋" w:eastAsia="仿宋" w:cs="仿宋"/>
                <w:b w:val="0"/>
                <w:bCs w:val="0"/>
                <w:kern w:val="2"/>
                <w:sz w:val="28"/>
                <w:szCs w:val="28"/>
                <w:lang w:val="en-US" w:eastAsia="zh-CN" w:bidi="ar-SA"/>
              </w:rPr>
              <w:t>七氟丙烷灭火装置钢瓶检测服务</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项目编号：GXSZ2026-009-JYB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bookmarkStart w:id="4" w:name="OLE_LINK21"/>
            <w:r>
              <w:rPr>
                <w:rFonts w:hint="eastAsia" w:ascii="仿宋" w:hAnsi="仿宋" w:eastAsia="仿宋" w:cs="仿宋"/>
                <w:b w:val="0"/>
                <w:bCs w:val="0"/>
                <w:kern w:val="2"/>
                <w:sz w:val="28"/>
                <w:szCs w:val="28"/>
                <w:u w:val="single"/>
                <w:lang w:val="en-US" w:eastAsia="zh-CN" w:bidi="ar-SA"/>
              </w:rPr>
              <w:t>七氟丙烷灭火装置钢瓶检测</w:t>
            </w:r>
            <w:bookmarkEnd w:id="4"/>
            <w:r>
              <w:rPr>
                <w:rFonts w:hint="eastAsia" w:ascii="仿宋" w:hAnsi="仿宋" w:eastAsia="仿宋" w:cs="仿宋"/>
                <w:b w:val="0"/>
                <w:bCs w:val="0"/>
                <w:kern w:val="2"/>
                <w:sz w:val="28"/>
                <w:szCs w:val="28"/>
                <w:u w:val="single"/>
                <w:lang w:val="en-US" w:eastAsia="zh-CN" w:bidi="ar-SA"/>
              </w:rPr>
              <w:t>服务</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5"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5"/>
    </w:p>
    <w:p w14:paraId="030785B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2C95E3AD">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default"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项目名称：七氟丙烷灭火装置钢瓶检测服务</w:t>
      </w:r>
      <w:r>
        <w:rPr>
          <w:rFonts w:hint="eastAsia" w:ascii="宋体" w:hAnsi="宋体" w:cs="宋体"/>
          <w:b w:val="0"/>
          <w:bCs/>
          <w:sz w:val="21"/>
          <w:szCs w:val="21"/>
          <w:highlight w:val="none"/>
          <w:lang w:val="en-US" w:eastAsia="zh-CN"/>
        </w:rPr>
        <w:t>项目</w:t>
      </w:r>
    </w:p>
    <w:p w14:paraId="76DF2974">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基本情况：医院气体灭火系统七氟丙烷储存钢瓶已达到法定检验周期，需委托具备法定资质的第三方机构对钢瓶进行检测。医院共有七氟丙烷储存钢瓶12瓶，其中主业务楼13层计算机中心机房3瓶（88kg2瓶、28kg1瓶）；医技保障楼4层1号病案资料室3瓶（67kg）、2号病案库房4瓶（87kg 2 瓶、67kg2瓶）；医技保障楼3层DR检查室2瓶（87kg1瓶、67kg 1瓶）。</w:t>
      </w:r>
      <w:r>
        <w:rPr>
          <w:rFonts w:hint="eastAsia" w:ascii="宋体" w:hAnsi="宋体" w:cs="宋体"/>
          <w:b w:val="0"/>
          <w:bCs/>
          <w:sz w:val="21"/>
          <w:szCs w:val="21"/>
          <w:highlight w:val="none"/>
          <w:lang w:val="en-US" w:eastAsia="zh-CN"/>
        </w:rPr>
        <w:t xml:space="preserve"> </w:t>
      </w:r>
    </w:p>
    <w:p w14:paraId="0F024C57">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cs="宋体"/>
          <w:b/>
          <w:bCs w:val="0"/>
          <w:sz w:val="21"/>
          <w:szCs w:val="21"/>
          <w:highlight w:val="none"/>
          <w:lang w:val="en-US" w:eastAsia="zh-CN"/>
        </w:rPr>
      </w:pPr>
      <w:r>
        <w:rPr>
          <w:rFonts w:hint="eastAsia" w:ascii="宋体" w:hAnsi="宋体" w:cs="宋体"/>
          <w:b/>
          <w:bCs w:val="0"/>
          <w:sz w:val="21"/>
          <w:szCs w:val="21"/>
          <w:highlight w:val="none"/>
          <w:lang w:val="en-US" w:eastAsia="zh-CN"/>
        </w:rPr>
        <w:t>二、采购项目预（概）算</w:t>
      </w:r>
    </w:p>
    <w:p w14:paraId="18BE08D6">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cs="宋体"/>
          <w:b w:val="0"/>
          <w:bCs/>
          <w:sz w:val="21"/>
          <w:szCs w:val="21"/>
          <w:highlight w:val="none"/>
          <w:lang w:val="en-US" w:eastAsia="zh-CN"/>
        </w:rPr>
      </w:pPr>
      <w:r>
        <w:rPr>
          <w:rFonts w:hint="eastAsia" w:ascii="宋体" w:hAnsi="宋体" w:cs="宋体"/>
          <w:b w:val="0"/>
          <w:bCs/>
          <w:sz w:val="21"/>
          <w:szCs w:val="21"/>
          <w:highlight w:val="none"/>
          <w:lang w:val="en-US" w:eastAsia="zh-CN"/>
        </w:rPr>
        <w:t xml:space="preserve">预算金额：人民币肆万捌仟元整（¥48000.00）              </w:t>
      </w:r>
    </w:p>
    <w:p w14:paraId="3265859F">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cs="宋体"/>
          <w:b/>
          <w:sz w:val="21"/>
          <w:szCs w:val="21"/>
          <w:highlight w:val="none"/>
          <w:lang w:val="en-US" w:eastAsia="zh-CN"/>
        </w:rPr>
      </w:pPr>
      <w:r>
        <w:rPr>
          <w:rFonts w:hint="eastAsia" w:ascii="宋体" w:hAnsi="宋体" w:cs="宋体"/>
          <w:b w:val="0"/>
          <w:bCs/>
          <w:sz w:val="21"/>
          <w:szCs w:val="21"/>
          <w:highlight w:val="none"/>
          <w:lang w:val="en-US" w:eastAsia="zh-CN"/>
        </w:rPr>
        <w:t>最高限价：人民币肆万捌仟元整（¥48000.00）</w:t>
      </w:r>
    </w:p>
    <w:p w14:paraId="5237A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cs="宋体"/>
          <w:b/>
          <w:sz w:val="21"/>
          <w:szCs w:val="21"/>
          <w:highlight w:val="none"/>
          <w:lang w:val="en-US" w:eastAsia="zh-CN"/>
        </w:rPr>
        <w:t>三</w:t>
      </w:r>
      <w:r>
        <w:rPr>
          <w:rFonts w:hint="eastAsia" w:ascii="宋体" w:hAnsi="宋体" w:eastAsia="宋体" w:cs="宋体"/>
          <w:b/>
          <w:sz w:val="21"/>
          <w:szCs w:val="21"/>
          <w:highlight w:val="none"/>
          <w:lang w:val="en-US" w:eastAsia="zh-CN"/>
        </w:rPr>
        <w:t>、项目需求</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2615"/>
        <w:gridCol w:w="2865"/>
        <w:gridCol w:w="825"/>
        <w:gridCol w:w="875"/>
        <w:gridCol w:w="1197"/>
      </w:tblGrid>
      <w:tr w14:paraId="586B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shd w:val="clear" w:color="auto" w:fill="auto"/>
            <w:vAlign w:val="center"/>
          </w:tcPr>
          <w:p w14:paraId="383F6448">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615" w:type="dxa"/>
            <w:shd w:val="clear" w:color="auto" w:fill="auto"/>
            <w:vAlign w:val="center"/>
          </w:tcPr>
          <w:p w14:paraId="4A38712D">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2865" w:type="dxa"/>
            <w:shd w:val="clear" w:color="auto" w:fill="auto"/>
            <w:vAlign w:val="center"/>
          </w:tcPr>
          <w:p w14:paraId="32EBBCFA">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规格</w:t>
            </w:r>
          </w:p>
        </w:tc>
        <w:tc>
          <w:tcPr>
            <w:tcW w:w="825" w:type="dxa"/>
            <w:shd w:val="clear" w:color="auto" w:fill="auto"/>
            <w:vAlign w:val="center"/>
          </w:tcPr>
          <w:p w14:paraId="2E0522C9">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875" w:type="dxa"/>
            <w:shd w:val="clear" w:color="auto" w:fill="auto"/>
            <w:vAlign w:val="center"/>
          </w:tcPr>
          <w:p w14:paraId="77530BA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1197" w:type="dxa"/>
            <w:shd w:val="clear" w:color="auto" w:fill="auto"/>
            <w:vAlign w:val="center"/>
          </w:tcPr>
          <w:p w14:paraId="78D4100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上控单价（元）</w:t>
            </w:r>
          </w:p>
        </w:tc>
      </w:tr>
      <w:tr w14:paraId="4778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00" w:type="dxa"/>
            <w:shd w:val="clear" w:color="auto" w:fill="auto"/>
            <w:vAlign w:val="center"/>
          </w:tcPr>
          <w:p w14:paraId="7DB2EC6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615" w:type="dxa"/>
            <w:shd w:val="clear" w:color="auto" w:fill="auto"/>
            <w:vAlign w:val="center"/>
          </w:tcPr>
          <w:p w14:paraId="61941185">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cs="宋体"/>
              </w:rPr>
              <w:t>七氟丙烷灭火装置钢瓶检测</w:t>
            </w:r>
            <w:r>
              <w:rPr>
                <w:rFonts w:hint="eastAsia" w:cs="仿宋_GB2312" w:asciiTheme="minorEastAsia" w:hAnsiTheme="minorEastAsia" w:eastAsiaTheme="minorEastAsia"/>
                <w:color w:val="000000"/>
              </w:rPr>
              <w:t>服务</w:t>
            </w:r>
          </w:p>
        </w:tc>
        <w:tc>
          <w:tcPr>
            <w:tcW w:w="2865" w:type="dxa"/>
            <w:shd w:val="clear" w:color="auto" w:fill="auto"/>
            <w:vAlign w:val="center"/>
          </w:tcPr>
          <w:p w14:paraId="375B7EAB">
            <w:pPr>
              <w:keepNext w:val="0"/>
              <w:keepLines w:val="0"/>
              <w:pageBreakBefore w:val="0"/>
              <w:widowControl/>
              <w:suppressLineNumbers w:val="0"/>
              <w:kinsoku/>
              <w:wordWrap/>
              <w:overflowPunct/>
              <w:topLinePunct w:val="0"/>
              <w:autoSpaceDE/>
              <w:autoSpaceDN/>
              <w:bidi w:val="0"/>
              <w:adjustRightInd/>
              <w:snapToGrid/>
              <w:spacing w:line="400" w:lineRule="exact"/>
              <w:jc w:val="both"/>
              <w:rPr>
                <w:rFonts w:hint="default" w:ascii="宋体" w:hAnsi="宋体" w:eastAsia="宋体" w:cs="宋体"/>
                <w:kern w:val="2"/>
                <w:sz w:val="21"/>
                <w:szCs w:val="21"/>
                <w:lang w:val="en-US" w:eastAsia="zh-CN" w:bidi="ar-SA"/>
              </w:rPr>
            </w:pPr>
            <w:r>
              <w:rPr>
                <w:rFonts w:hint="default" w:ascii="宋体" w:hAnsi="宋体" w:eastAsia="宋体" w:cs="宋体"/>
                <w:kern w:val="2"/>
                <w:sz w:val="21"/>
                <w:szCs w:val="21"/>
                <w:lang w:val="en-US" w:eastAsia="zh-CN" w:bidi="ar-SA"/>
              </w:rPr>
              <w:t>医院共有七氟丙烷储存钢瓶12瓶，其中主业务楼13层计算机中心机房3瓶（88kg2瓶、28kg1瓶）；医技保障楼4层1号病案资料室3瓶（67kg）、2号病案库房4瓶（87kg 2 瓶、67kg2瓶）；医技保障楼3层DR检查室2瓶（87kg1瓶、67kg 1瓶）。</w:t>
            </w:r>
          </w:p>
        </w:tc>
        <w:tc>
          <w:tcPr>
            <w:tcW w:w="825" w:type="dxa"/>
            <w:shd w:val="clear" w:color="auto" w:fill="auto"/>
            <w:vAlign w:val="center"/>
          </w:tcPr>
          <w:p w14:paraId="049DD83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项</w:t>
            </w:r>
          </w:p>
        </w:tc>
        <w:tc>
          <w:tcPr>
            <w:tcW w:w="875" w:type="dxa"/>
            <w:shd w:val="clear" w:color="auto" w:fill="auto"/>
            <w:vAlign w:val="center"/>
          </w:tcPr>
          <w:p w14:paraId="55695C0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1</w:t>
            </w:r>
          </w:p>
        </w:tc>
        <w:tc>
          <w:tcPr>
            <w:tcW w:w="1197" w:type="dxa"/>
            <w:vAlign w:val="center"/>
          </w:tcPr>
          <w:p w14:paraId="6CD90D5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cs="仿宋_GB2312" w:asciiTheme="minorEastAsia" w:hAnsiTheme="minorEastAsia" w:eastAsiaTheme="minorEastAsia"/>
                <w:color w:val="000000"/>
                <w:spacing w:val="1"/>
                <w:lang w:val="en-US" w:eastAsia="zh-CN"/>
              </w:rPr>
              <w:t>48000.00</w:t>
            </w:r>
          </w:p>
        </w:tc>
      </w:tr>
    </w:tbl>
    <w:p w14:paraId="4E70F18C">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cs="宋体"/>
          <w:b/>
          <w:kern w:val="2"/>
          <w:sz w:val="21"/>
          <w:szCs w:val="21"/>
          <w:lang w:val="en-US" w:eastAsia="zh-CN" w:bidi="ar-SA"/>
        </w:rPr>
        <w:t>四</w:t>
      </w:r>
      <w:r>
        <w:rPr>
          <w:rFonts w:hint="eastAsia" w:ascii="宋体" w:hAnsi="宋体" w:eastAsia="宋体" w:cs="宋体"/>
          <w:b/>
          <w:kern w:val="2"/>
          <w:sz w:val="21"/>
          <w:szCs w:val="21"/>
          <w:lang w:val="en-US" w:eastAsia="zh-CN" w:bidi="ar-SA"/>
        </w:rPr>
        <w:t>、</w:t>
      </w:r>
      <w:r>
        <w:rPr>
          <w:rFonts w:hint="eastAsia" w:ascii="宋体" w:hAnsi="宋体" w:eastAsia="宋体" w:cs="宋体"/>
          <w:b/>
          <w:sz w:val="21"/>
          <w:szCs w:val="21"/>
          <w:highlight w:val="none"/>
          <w:lang w:val="en-US" w:eastAsia="zh-CN"/>
        </w:rPr>
        <w:t>技术商务需求（标注“▲”号的条款为实质性条款或要求，必须满足或优于）</w:t>
      </w:r>
    </w:p>
    <w:p w14:paraId="34A3D7C0">
      <w:p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（一）技术参数及性能配置要求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759"/>
        <w:gridCol w:w="6523"/>
      </w:tblGrid>
      <w:tr w14:paraId="4290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4078CC32">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序号</w:t>
            </w:r>
          </w:p>
        </w:tc>
        <w:tc>
          <w:tcPr>
            <w:tcW w:w="1759" w:type="dxa"/>
          </w:tcPr>
          <w:p w14:paraId="7C0E66D5">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类型</w:t>
            </w:r>
          </w:p>
        </w:tc>
        <w:tc>
          <w:tcPr>
            <w:tcW w:w="6523" w:type="dxa"/>
          </w:tcPr>
          <w:p w14:paraId="2EE3A3C2">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要求</w:t>
            </w:r>
          </w:p>
        </w:tc>
      </w:tr>
      <w:tr w14:paraId="78C5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D4AD3B0">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1</w:t>
            </w:r>
          </w:p>
        </w:tc>
        <w:tc>
          <w:tcPr>
            <w:tcW w:w="1759" w:type="dxa"/>
          </w:tcPr>
          <w:p w14:paraId="602F6ED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检验检测范围及服务要求</w:t>
            </w:r>
          </w:p>
        </w:tc>
        <w:tc>
          <w:tcPr>
            <w:tcW w:w="6523" w:type="dxa"/>
          </w:tcPr>
          <w:p w14:paraId="17D5EF4B">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1.</w:t>
            </w:r>
            <w:r>
              <w:rPr>
                <w:rFonts w:hint="eastAsia" w:asciiTheme="minorEastAsia" w:hAnsiTheme="minorEastAsia" w:eastAsiaTheme="minorEastAsia" w:cstheme="minorEastAsia"/>
                <w:b w:val="0"/>
                <w:bCs w:val="0"/>
                <w:sz w:val="21"/>
                <w:szCs w:val="21"/>
                <w:vertAlign w:val="baseline"/>
              </w:rPr>
              <w:t>全套钢瓶法定检验：包含瓶体外观检查、壁厚检测、水压试验、气密性试验、瓶阀拆解校验、除锈防腐、检验钢印标识喷涂、残存七氟丙烷密闭回收。</w:t>
            </w:r>
          </w:p>
          <w:p w14:paraId="1204F73B">
            <w:pPr>
              <w:numPr>
                <w:ilvl w:val="0"/>
                <w:numId w:val="0"/>
              </w:numPr>
              <w:spacing w:line="560" w:lineRule="exact"/>
              <w:ind w:leftChars="0"/>
              <w:jc w:val="left"/>
              <w:rPr>
                <w:rFonts w:hint="eastAsia"/>
              </w:rPr>
            </w:pPr>
            <w:r>
              <w:rPr>
                <w:rFonts w:hint="eastAsia" w:asciiTheme="minorEastAsia" w:hAnsiTheme="minorEastAsia" w:eastAsiaTheme="minorEastAsia" w:cstheme="minorEastAsia"/>
                <w:b w:val="0"/>
                <w:bCs w:val="0"/>
                <w:sz w:val="21"/>
                <w:szCs w:val="21"/>
                <w:vertAlign w:val="baseline"/>
                <w:lang w:val="en-US" w:eastAsia="zh-CN"/>
              </w:rPr>
              <w:t>2.</w:t>
            </w:r>
            <w:r>
              <w:rPr>
                <w:rFonts w:hint="eastAsia" w:asciiTheme="minorEastAsia" w:hAnsiTheme="minorEastAsia" w:eastAsiaTheme="minorEastAsia" w:cstheme="minorEastAsia"/>
                <w:b w:val="0"/>
                <w:bCs w:val="0"/>
                <w:sz w:val="21"/>
                <w:szCs w:val="21"/>
                <w:vertAlign w:val="baseline"/>
              </w:rPr>
              <w:t>配套服务：负责钢瓶拆卸、转运、检验检测后回装，全部钢瓶复位后开展管网整体气密性复检。</w:t>
            </w:r>
          </w:p>
          <w:p w14:paraId="22367452">
            <w:pPr>
              <w:numPr>
                <w:ilvl w:val="0"/>
                <w:numId w:val="0"/>
              </w:numPr>
              <w:spacing w:line="560" w:lineRule="exact"/>
              <w:ind w:leftChars="0"/>
              <w:jc w:val="left"/>
              <w:rPr>
                <w:rFonts w:hint="eastAsia"/>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现场管控：项目区域为计算机机房、病案库房、放射医疗区域，供应商需配合院方错峰施工，落实防尘、防静电、防辐射、病案资料保密、医疗设备防护措施，施工全过程做好安全防护。</w:t>
            </w:r>
          </w:p>
        </w:tc>
      </w:tr>
      <w:tr w14:paraId="14E3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7D58B30A">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2</w:t>
            </w:r>
          </w:p>
        </w:tc>
        <w:tc>
          <w:tcPr>
            <w:tcW w:w="1759" w:type="dxa"/>
          </w:tcPr>
          <w:p w14:paraId="285C0706">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检验检测执行标准</w:t>
            </w:r>
          </w:p>
        </w:tc>
        <w:tc>
          <w:tcPr>
            <w:tcW w:w="6523" w:type="dxa"/>
          </w:tcPr>
          <w:p w14:paraId="6A058F8B">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严格按照以下规范、规程全部条款执行检验：</w:t>
            </w:r>
          </w:p>
          <w:p w14:paraId="064E72A8">
            <w:pPr>
              <w:pStyle w:val="2"/>
              <w:numPr>
                <w:ilvl w:val="0"/>
                <w:numId w:val="2"/>
              </w:numPr>
              <w:tabs>
                <w:tab w:val="clear" w:pos="312"/>
              </w:tabs>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GB/T13075-2016《钢质焊接气瓶定期检验与评定》第 3.2 条及全部通用检验要求。</w:t>
            </w:r>
          </w:p>
          <w:p w14:paraId="228229B9">
            <w:pPr>
              <w:numPr>
                <w:ilvl w:val="0"/>
                <w:numId w:val="2"/>
              </w:numPr>
              <w:ind w:left="0" w:leftChars="0" w:firstLine="0" w:firstLineChars="0"/>
              <w:rPr>
                <w:rFonts w:hint="default" w:asciiTheme="minorEastAsia" w:hAnsiTheme="minorEastAsia" w:eastAsiaTheme="minorEastAsia" w:cstheme="minorEastAsia"/>
                <w:lang w:val="en-US" w:eastAsia="zh-CN"/>
              </w:rPr>
            </w:pPr>
            <w:r>
              <w:rPr>
                <w:rFonts w:hint="default" w:asciiTheme="minorEastAsia" w:hAnsiTheme="minorEastAsia" w:eastAsiaTheme="minorEastAsia" w:cstheme="minorEastAsia"/>
                <w:lang w:val="en-US" w:eastAsia="zh-CN"/>
              </w:rPr>
              <w:t xml:space="preserve"> TSG 23-2021《气瓶安全技术规程》及 TSG23/XG1-2024 第 1 号修改单相关规定。</w:t>
            </w:r>
          </w:p>
          <w:p w14:paraId="1F144849">
            <w:pPr>
              <w:pStyle w:val="2"/>
              <w:jc w:val="both"/>
              <w:rPr>
                <w:rFonts w:hint="eastAsia"/>
              </w:rPr>
            </w:pPr>
            <w:r>
              <w:rPr>
                <w:rFonts w:hint="eastAsia" w:asciiTheme="minorEastAsia" w:hAnsiTheme="minorEastAsia" w:eastAsiaTheme="minorEastAsia" w:cstheme="minorEastAsia"/>
                <w:sz w:val="21"/>
                <w:szCs w:val="21"/>
                <w:lang w:val="en-US" w:eastAsia="zh-CN"/>
              </w:rPr>
              <w:t>3.《气体灭火系统施工及验收规范》等现行国家消防标准。</w:t>
            </w:r>
          </w:p>
        </w:tc>
      </w:tr>
      <w:tr w14:paraId="56B1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E2DBDD9">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3</w:t>
            </w:r>
          </w:p>
        </w:tc>
        <w:tc>
          <w:tcPr>
            <w:tcW w:w="1759" w:type="dxa"/>
          </w:tcPr>
          <w:p w14:paraId="3C0B432E">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服务期限</w:t>
            </w:r>
          </w:p>
        </w:tc>
        <w:tc>
          <w:tcPr>
            <w:tcW w:w="6523" w:type="dxa"/>
          </w:tcPr>
          <w:p w14:paraId="0CB65085">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合同签订之日起30天内完成。</w:t>
            </w:r>
          </w:p>
        </w:tc>
      </w:tr>
      <w:tr w14:paraId="2BB5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24C688DD">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4</w:t>
            </w:r>
          </w:p>
        </w:tc>
        <w:tc>
          <w:tcPr>
            <w:tcW w:w="1759" w:type="dxa"/>
          </w:tcPr>
          <w:p w14:paraId="6F74D002">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质保期</w:t>
            </w:r>
          </w:p>
        </w:tc>
        <w:tc>
          <w:tcPr>
            <w:tcW w:w="6523" w:type="dxa"/>
          </w:tcPr>
          <w:p w14:paraId="1CB5AA7D">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检验检测的气瓶质保期为一年，质保期自检验回装验收合格之日起计算。</w:t>
            </w:r>
          </w:p>
        </w:tc>
      </w:tr>
      <w:tr w14:paraId="4FBC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3" w:hRule="atLeast"/>
        </w:trPr>
        <w:tc>
          <w:tcPr>
            <w:tcW w:w="722" w:type="dxa"/>
          </w:tcPr>
          <w:p w14:paraId="2D087365">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5</w:t>
            </w:r>
          </w:p>
        </w:tc>
        <w:tc>
          <w:tcPr>
            <w:tcW w:w="1759" w:type="dxa"/>
          </w:tcPr>
          <w:p w14:paraId="78B16BC5">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七氟丙烷灭火装置钢瓶检测明细表</w:t>
            </w:r>
          </w:p>
        </w:tc>
        <w:tc>
          <w:tcPr>
            <w:tcW w:w="6523" w:type="dxa"/>
          </w:tcPr>
          <w:p w14:paraId="76E748A0">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846"/>
              <w:gridCol w:w="847"/>
              <w:gridCol w:w="1476"/>
              <w:gridCol w:w="2053"/>
            </w:tblGrid>
            <w:tr w14:paraId="7C42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3A34CC78">
                  <w:pPr>
                    <w:snapToGrid w:val="0"/>
                    <w:spacing w:line="280" w:lineRule="exact"/>
                    <w:jc w:val="center"/>
                    <w:rPr>
                      <w:rFonts w:ascii="仿宋" w:hAnsi="仿宋" w:eastAsia="仿宋"/>
                      <w:sz w:val="21"/>
                      <w:szCs w:val="21"/>
                    </w:rPr>
                  </w:pPr>
                  <w:r>
                    <w:rPr>
                      <w:rFonts w:hint="eastAsia" w:ascii="仿宋" w:hAnsi="仿宋" w:eastAsia="仿宋"/>
                      <w:sz w:val="21"/>
                      <w:szCs w:val="21"/>
                    </w:rPr>
                    <w:t>安装部位</w:t>
                  </w:r>
                </w:p>
              </w:tc>
              <w:tc>
                <w:tcPr>
                  <w:tcW w:w="830" w:type="dxa"/>
                  <w:tcBorders>
                    <w:top w:val="single" w:color="auto" w:sz="4" w:space="0"/>
                    <w:left w:val="single" w:color="auto" w:sz="4" w:space="0"/>
                    <w:bottom w:val="single" w:color="auto" w:sz="4" w:space="0"/>
                    <w:right w:val="single" w:color="auto" w:sz="4" w:space="0"/>
                  </w:tcBorders>
                  <w:vAlign w:val="center"/>
                </w:tcPr>
                <w:p w14:paraId="6B5EC50E">
                  <w:pPr>
                    <w:snapToGrid w:val="0"/>
                    <w:spacing w:line="280" w:lineRule="exact"/>
                    <w:jc w:val="center"/>
                    <w:rPr>
                      <w:rFonts w:ascii="仿宋" w:hAnsi="仿宋" w:eastAsia="仿宋"/>
                      <w:sz w:val="21"/>
                      <w:szCs w:val="21"/>
                    </w:rPr>
                  </w:pPr>
                  <w:r>
                    <w:rPr>
                      <w:rFonts w:hint="eastAsia" w:ascii="仿宋" w:hAnsi="仿宋" w:eastAsia="仿宋"/>
                      <w:sz w:val="21"/>
                      <w:szCs w:val="21"/>
                    </w:rPr>
                    <w:t>数量</w:t>
                  </w:r>
                </w:p>
                <w:p w14:paraId="4C3FC63D">
                  <w:pPr>
                    <w:snapToGrid w:val="0"/>
                    <w:spacing w:line="280" w:lineRule="exact"/>
                    <w:jc w:val="center"/>
                    <w:rPr>
                      <w:rFonts w:ascii="仿宋" w:hAnsi="仿宋" w:eastAsia="仿宋"/>
                      <w:sz w:val="21"/>
                      <w:szCs w:val="21"/>
                    </w:rPr>
                  </w:pPr>
                  <w:r>
                    <w:rPr>
                      <w:rFonts w:hint="eastAsia" w:ascii="仿宋" w:hAnsi="仿宋" w:eastAsia="仿宋"/>
                      <w:sz w:val="21"/>
                      <w:szCs w:val="21"/>
                    </w:rPr>
                    <w:t>（瓶）</w:t>
                  </w:r>
                </w:p>
              </w:tc>
              <w:tc>
                <w:tcPr>
                  <w:tcW w:w="847" w:type="dxa"/>
                  <w:tcBorders>
                    <w:top w:val="single" w:color="auto" w:sz="4" w:space="0"/>
                    <w:left w:val="single" w:color="auto" w:sz="4" w:space="0"/>
                    <w:bottom w:val="single" w:color="auto" w:sz="4" w:space="0"/>
                    <w:right w:val="single" w:color="auto" w:sz="4" w:space="0"/>
                  </w:tcBorders>
                  <w:vAlign w:val="center"/>
                </w:tcPr>
                <w:p w14:paraId="1A522BB8">
                  <w:pPr>
                    <w:snapToGrid w:val="0"/>
                    <w:spacing w:line="280" w:lineRule="exact"/>
                    <w:jc w:val="center"/>
                    <w:rPr>
                      <w:rFonts w:ascii="仿宋" w:hAnsi="仿宋" w:eastAsia="仿宋"/>
                      <w:sz w:val="21"/>
                      <w:szCs w:val="21"/>
                    </w:rPr>
                  </w:pPr>
                  <w:r>
                    <w:rPr>
                      <w:rFonts w:hint="eastAsia" w:ascii="仿宋" w:hAnsi="仿宋" w:eastAsia="仿宋"/>
                      <w:sz w:val="21"/>
                      <w:szCs w:val="21"/>
                    </w:rPr>
                    <w:t>药剂充</w:t>
                  </w:r>
                </w:p>
                <w:p w14:paraId="2C5BDFA3">
                  <w:pPr>
                    <w:snapToGrid w:val="0"/>
                    <w:spacing w:line="280" w:lineRule="exact"/>
                    <w:jc w:val="center"/>
                    <w:rPr>
                      <w:rFonts w:ascii="仿宋" w:hAnsi="仿宋" w:eastAsia="仿宋"/>
                      <w:sz w:val="21"/>
                      <w:szCs w:val="21"/>
                    </w:rPr>
                  </w:pPr>
                  <w:r>
                    <w:rPr>
                      <w:rFonts w:hint="eastAsia" w:ascii="仿宋" w:hAnsi="仿宋" w:eastAsia="仿宋"/>
                      <w:sz w:val="21"/>
                      <w:szCs w:val="21"/>
                    </w:rPr>
                    <w:t>装量（kg）</w:t>
                  </w:r>
                </w:p>
              </w:tc>
              <w:tc>
                <w:tcPr>
                  <w:tcW w:w="1168" w:type="dxa"/>
                  <w:tcBorders>
                    <w:top w:val="single" w:color="auto" w:sz="4" w:space="0"/>
                    <w:left w:val="single" w:color="auto" w:sz="4" w:space="0"/>
                    <w:bottom w:val="single" w:color="auto" w:sz="4" w:space="0"/>
                    <w:right w:val="single" w:color="auto" w:sz="4" w:space="0"/>
                  </w:tcBorders>
                  <w:vAlign w:val="center"/>
                </w:tcPr>
                <w:p w14:paraId="0DCF1B45">
                  <w:pPr>
                    <w:snapToGrid w:val="0"/>
                    <w:spacing w:line="280" w:lineRule="exact"/>
                    <w:jc w:val="center"/>
                    <w:rPr>
                      <w:rFonts w:ascii="仿宋" w:hAnsi="仿宋" w:eastAsia="仿宋"/>
                      <w:sz w:val="21"/>
                      <w:szCs w:val="21"/>
                    </w:rPr>
                  </w:pPr>
                  <w:r>
                    <w:rPr>
                      <w:rFonts w:hint="eastAsia" w:ascii="仿宋" w:hAnsi="仿宋" w:eastAsia="仿宋"/>
                      <w:sz w:val="21"/>
                      <w:szCs w:val="21"/>
                    </w:rPr>
                    <w:t>型号</w:t>
                  </w:r>
                </w:p>
              </w:tc>
              <w:tc>
                <w:tcPr>
                  <w:tcW w:w="2101" w:type="dxa"/>
                  <w:tcBorders>
                    <w:top w:val="single" w:color="auto" w:sz="4" w:space="0"/>
                    <w:left w:val="single" w:color="auto" w:sz="4" w:space="0"/>
                    <w:bottom w:val="single" w:color="auto" w:sz="4" w:space="0"/>
                    <w:right w:val="single" w:color="auto" w:sz="4" w:space="0"/>
                  </w:tcBorders>
                  <w:vAlign w:val="center"/>
                </w:tcPr>
                <w:p w14:paraId="388F0B07">
                  <w:pPr>
                    <w:snapToGrid w:val="0"/>
                    <w:spacing w:line="280" w:lineRule="exact"/>
                    <w:jc w:val="center"/>
                    <w:rPr>
                      <w:rFonts w:ascii="仿宋" w:hAnsi="仿宋" w:eastAsia="仿宋"/>
                      <w:sz w:val="21"/>
                      <w:szCs w:val="21"/>
                    </w:rPr>
                  </w:pPr>
                  <w:r>
                    <w:rPr>
                      <w:rFonts w:hint="eastAsia" w:ascii="仿宋" w:hAnsi="仿宋" w:eastAsia="仿宋"/>
                      <w:sz w:val="21"/>
                      <w:szCs w:val="21"/>
                    </w:rPr>
                    <w:t>生产厂家</w:t>
                  </w:r>
                </w:p>
              </w:tc>
            </w:tr>
            <w:tr w14:paraId="10BB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91" w:type="dxa"/>
                  <w:vMerge w:val="restart"/>
                  <w:tcBorders>
                    <w:top w:val="nil"/>
                    <w:left w:val="single" w:color="auto" w:sz="4" w:space="0"/>
                    <w:bottom w:val="single" w:color="auto" w:sz="4" w:space="0"/>
                    <w:right w:val="single" w:color="auto" w:sz="4" w:space="0"/>
                  </w:tcBorders>
                  <w:vAlign w:val="center"/>
                </w:tcPr>
                <w:p w14:paraId="1DB3E0B8">
                  <w:pPr>
                    <w:snapToGrid w:val="0"/>
                    <w:spacing w:line="280" w:lineRule="exact"/>
                    <w:rPr>
                      <w:rFonts w:hint="eastAsia" w:ascii="仿宋" w:hAnsi="仿宋" w:eastAsia="仿宋" w:cs="Times New Roman"/>
                      <w:sz w:val="21"/>
                      <w:szCs w:val="21"/>
                    </w:rPr>
                  </w:pPr>
                  <w:r>
                    <w:rPr>
                      <w:rFonts w:hint="eastAsia" w:ascii="仿宋" w:hAnsi="仿宋" w:eastAsia="仿宋" w:cs="Times New Roman"/>
                      <w:sz w:val="21"/>
                      <w:szCs w:val="21"/>
                    </w:rPr>
                    <w:t>业务楼13楼计算机中心机房</w:t>
                  </w:r>
                </w:p>
              </w:tc>
              <w:tc>
                <w:tcPr>
                  <w:tcW w:w="830" w:type="dxa"/>
                  <w:tcBorders>
                    <w:top w:val="single" w:color="auto" w:sz="4" w:space="0"/>
                    <w:left w:val="single" w:color="auto" w:sz="4" w:space="0"/>
                    <w:bottom w:val="single" w:color="auto" w:sz="4" w:space="0"/>
                    <w:right w:val="single" w:color="auto" w:sz="4" w:space="0"/>
                  </w:tcBorders>
                  <w:vAlign w:val="center"/>
                </w:tcPr>
                <w:p w14:paraId="1ACA0762">
                  <w:pPr>
                    <w:snapToGrid w:val="0"/>
                    <w:spacing w:line="280" w:lineRule="exact"/>
                    <w:jc w:val="center"/>
                    <w:rPr>
                      <w:rFonts w:ascii="仿宋" w:hAnsi="仿宋" w:eastAsia="仿宋"/>
                      <w:sz w:val="21"/>
                      <w:szCs w:val="21"/>
                    </w:rPr>
                  </w:pPr>
                  <w:r>
                    <w:rPr>
                      <w:rFonts w:ascii="仿宋" w:hAnsi="仿宋" w:eastAsia="仿宋"/>
                      <w:sz w:val="21"/>
                      <w:szCs w:val="21"/>
                    </w:rPr>
                    <w:t>2</w:t>
                  </w:r>
                </w:p>
              </w:tc>
              <w:tc>
                <w:tcPr>
                  <w:tcW w:w="847" w:type="dxa"/>
                  <w:tcBorders>
                    <w:top w:val="single" w:color="auto" w:sz="4" w:space="0"/>
                    <w:left w:val="single" w:color="auto" w:sz="4" w:space="0"/>
                    <w:bottom w:val="single" w:color="auto" w:sz="4" w:space="0"/>
                    <w:right w:val="single" w:color="auto" w:sz="4" w:space="0"/>
                  </w:tcBorders>
                  <w:vAlign w:val="center"/>
                </w:tcPr>
                <w:p w14:paraId="39F027E5">
                  <w:pPr>
                    <w:snapToGrid w:val="0"/>
                    <w:spacing w:line="280" w:lineRule="exact"/>
                    <w:jc w:val="center"/>
                    <w:rPr>
                      <w:rFonts w:ascii="仿宋" w:hAnsi="仿宋" w:eastAsia="仿宋"/>
                      <w:sz w:val="21"/>
                      <w:szCs w:val="21"/>
                    </w:rPr>
                  </w:pPr>
                  <w:r>
                    <w:rPr>
                      <w:rFonts w:hint="eastAsia" w:ascii="仿宋" w:hAnsi="仿宋" w:eastAsia="仿宋"/>
                      <w:sz w:val="21"/>
                      <w:szCs w:val="21"/>
                    </w:rPr>
                    <w:t>8</w:t>
                  </w:r>
                  <w:r>
                    <w:rPr>
                      <w:rFonts w:ascii="仿宋" w:hAnsi="仿宋" w:eastAsia="仿宋"/>
                      <w:sz w:val="21"/>
                      <w:szCs w:val="21"/>
                    </w:rPr>
                    <w:t>8</w:t>
                  </w:r>
                </w:p>
              </w:tc>
              <w:tc>
                <w:tcPr>
                  <w:tcW w:w="1168" w:type="dxa"/>
                  <w:tcBorders>
                    <w:top w:val="single" w:color="auto" w:sz="4" w:space="0"/>
                    <w:left w:val="single" w:color="auto" w:sz="4" w:space="0"/>
                    <w:bottom w:val="single" w:color="auto" w:sz="4" w:space="0"/>
                    <w:right w:val="single" w:color="auto" w:sz="4" w:space="0"/>
                  </w:tcBorders>
                  <w:vAlign w:val="center"/>
                </w:tcPr>
                <w:p w14:paraId="4C213517">
                  <w:pPr>
                    <w:snapToGrid w:val="0"/>
                    <w:spacing w:line="280" w:lineRule="exact"/>
                    <w:jc w:val="center"/>
                    <w:rPr>
                      <w:rFonts w:ascii="仿宋" w:hAnsi="仿宋" w:eastAsia="仿宋"/>
                      <w:sz w:val="21"/>
                      <w:szCs w:val="21"/>
                    </w:rPr>
                  </w:pPr>
                  <w:r>
                    <w:rPr>
                      <w:rFonts w:ascii="仿宋" w:hAnsi="仿宋" w:eastAsia="仿宋"/>
                      <w:sz w:val="21"/>
                      <w:szCs w:val="21"/>
                    </w:rPr>
                    <w:t>GQQ90/2.5-XL</w:t>
                  </w:r>
                </w:p>
              </w:tc>
              <w:tc>
                <w:tcPr>
                  <w:tcW w:w="2101" w:type="dxa"/>
                  <w:tcBorders>
                    <w:top w:val="single" w:color="auto" w:sz="4" w:space="0"/>
                    <w:left w:val="single" w:color="auto" w:sz="4" w:space="0"/>
                    <w:bottom w:val="single" w:color="auto" w:sz="4" w:space="0"/>
                    <w:right w:val="single" w:color="auto" w:sz="4" w:space="0"/>
                  </w:tcBorders>
                  <w:vAlign w:val="center"/>
                </w:tcPr>
                <w:p w14:paraId="311BFDB9">
                  <w:pPr>
                    <w:snapToGrid w:val="0"/>
                    <w:spacing w:line="280" w:lineRule="exact"/>
                    <w:jc w:val="center"/>
                    <w:rPr>
                      <w:rFonts w:ascii="仿宋" w:hAnsi="仿宋" w:eastAsia="仿宋"/>
                      <w:sz w:val="21"/>
                      <w:szCs w:val="21"/>
                    </w:rPr>
                  </w:pPr>
                  <w:r>
                    <w:rPr>
                      <w:rStyle w:val="46"/>
                      <w:rFonts w:hint="eastAsia" w:ascii="仿宋" w:hAnsi="仿宋" w:eastAsia="仿宋"/>
                      <w:sz w:val="21"/>
                      <w:szCs w:val="21"/>
                    </w:rPr>
                    <w:t>浙江信达可恩消防实业有限公司</w:t>
                  </w:r>
                </w:p>
              </w:tc>
            </w:tr>
            <w:tr w14:paraId="375D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91" w:type="dxa"/>
                  <w:vMerge w:val="continue"/>
                  <w:tcBorders>
                    <w:top w:val="nil"/>
                    <w:left w:val="single" w:color="auto" w:sz="4" w:space="0"/>
                    <w:bottom w:val="single" w:color="auto" w:sz="4" w:space="0"/>
                    <w:right w:val="single" w:color="auto" w:sz="4" w:space="0"/>
                  </w:tcBorders>
                  <w:vAlign w:val="center"/>
                </w:tcPr>
                <w:p w14:paraId="31FCC3ED">
                  <w:pPr>
                    <w:snapToGrid w:val="0"/>
                    <w:spacing w:line="280" w:lineRule="exact"/>
                    <w:rPr>
                      <w:rFonts w:hint="eastAsia" w:ascii="仿宋" w:hAnsi="仿宋" w:eastAsia="仿宋" w:cs="Times New Roman"/>
                      <w:sz w:val="21"/>
                      <w:szCs w:val="21"/>
                    </w:rPr>
                  </w:pPr>
                </w:p>
              </w:tc>
              <w:tc>
                <w:tcPr>
                  <w:tcW w:w="830" w:type="dxa"/>
                  <w:tcBorders>
                    <w:top w:val="single" w:color="auto" w:sz="4" w:space="0"/>
                    <w:left w:val="single" w:color="auto" w:sz="4" w:space="0"/>
                    <w:bottom w:val="single" w:color="auto" w:sz="4" w:space="0"/>
                    <w:right w:val="single" w:color="auto" w:sz="4" w:space="0"/>
                  </w:tcBorders>
                  <w:vAlign w:val="center"/>
                </w:tcPr>
                <w:p w14:paraId="289085B3">
                  <w:pPr>
                    <w:snapToGrid w:val="0"/>
                    <w:spacing w:line="280" w:lineRule="exact"/>
                    <w:jc w:val="center"/>
                    <w:rPr>
                      <w:rFonts w:ascii="仿宋" w:hAnsi="仿宋" w:eastAsia="仿宋"/>
                      <w:sz w:val="21"/>
                      <w:szCs w:val="21"/>
                    </w:rPr>
                  </w:pPr>
                  <w:r>
                    <w:rPr>
                      <w:rFonts w:hint="eastAsia" w:ascii="仿宋" w:hAnsi="仿宋" w:eastAsia="仿宋"/>
                      <w:sz w:val="21"/>
                      <w:szCs w:val="21"/>
                    </w:rPr>
                    <w:t>1</w:t>
                  </w:r>
                </w:p>
              </w:tc>
              <w:tc>
                <w:tcPr>
                  <w:tcW w:w="847" w:type="dxa"/>
                  <w:tcBorders>
                    <w:top w:val="single" w:color="auto" w:sz="4" w:space="0"/>
                    <w:left w:val="single" w:color="auto" w:sz="4" w:space="0"/>
                    <w:bottom w:val="single" w:color="auto" w:sz="4" w:space="0"/>
                    <w:right w:val="single" w:color="auto" w:sz="4" w:space="0"/>
                  </w:tcBorders>
                  <w:vAlign w:val="center"/>
                </w:tcPr>
                <w:p w14:paraId="58D37B53">
                  <w:pPr>
                    <w:snapToGrid w:val="0"/>
                    <w:spacing w:line="280" w:lineRule="exact"/>
                    <w:jc w:val="center"/>
                    <w:rPr>
                      <w:rFonts w:ascii="仿宋" w:hAnsi="仿宋" w:eastAsia="仿宋"/>
                      <w:sz w:val="21"/>
                      <w:szCs w:val="21"/>
                    </w:rPr>
                  </w:pPr>
                  <w:r>
                    <w:rPr>
                      <w:rFonts w:hint="eastAsia" w:ascii="仿宋" w:hAnsi="仿宋" w:eastAsia="仿宋"/>
                      <w:sz w:val="21"/>
                      <w:szCs w:val="21"/>
                    </w:rPr>
                    <w:t>2</w:t>
                  </w:r>
                  <w:r>
                    <w:rPr>
                      <w:rFonts w:ascii="仿宋" w:hAnsi="仿宋" w:eastAsia="仿宋"/>
                      <w:sz w:val="21"/>
                      <w:szCs w:val="21"/>
                    </w:rPr>
                    <w:t>8</w:t>
                  </w:r>
                </w:p>
              </w:tc>
              <w:tc>
                <w:tcPr>
                  <w:tcW w:w="1168" w:type="dxa"/>
                  <w:tcBorders>
                    <w:top w:val="single" w:color="auto" w:sz="4" w:space="0"/>
                    <w:left w:val="single" w:color="auto" w:sz="4" w:space="0"/>
                    <w:bottom w:val="single" w:color="auto" w:sz="4" w:space="0"/>
                    <w:right w:val="single" w:color="auto" w:sz="4" w:space="0"/>
                  </w:tcBorders>
                  <w:vAlign w:val="center"/>
                </w:tcPr>
                <w:p w14:paraId="7E2838D4">
                  <w:pPr>
                    <w:snapToGrid w:val="0"/>
                    <w:spacing w:line="280" w:lineRule="exact"/>
                    <w:jc w:val="center"/>
                    <w:rPr>
                      <w:rFonts w:ascii="仿宋" w:hAnsi="仿宋" w:eastAsia="仿宋"/>
                      <w:sz w:val="21"/>
                      <w:szCs w:val="21"/>
                    </w:rPr>
                  </w:pPr>
                  <w:r>
                    <w:rPr>
                      <w:rFonts w:ascii="仿宋" w:hAnsi="仿宋" w:eastAsia="仿宋"/>
                      <w:sz w:val="21"/>
                      <w:szCs w:val="21"/>
                    </w:rPr>
                    <w:t>GQQ40/2.5-XL</w:t>
                  </w:r>
                </w:p>
              </w:tc>
              <w:tc>
                <w:tcPr>
                  <w:tcW w:w="2101" w:type="dxa"/>
                  <w:tcBorders>
                    <w:top w:val="single" w:color="auto" w:sz="4" w:space="0"/>
                    <w:left w:val="single" w:color="auto" w:sz="4" w:space="0"/>
                    <w:bottom w:val="single" w:color="auto" w:sz="4" w:space="0"/>
                    <w:right w:val="single" w:color="auto" w:sz="4" w:space="0"/>
                  </w:tcBorders>
                  <w:vAlign w:val="center"/>
                </w:tcPr>
                <w:p w14:paraId="41EA0663">
                  <w:pPr>
                    <w:snapToGrid w:val="0"/>
                    <w:spacing w:line="280" w:lineRule="exact"/>
                    <w:jc w:val="center"/>
                    <w:rPr>
                      <w:rFonts w:ascii="仿宋" w:hAnsi="仿宋" w:eastAsia="仿宋"/>
                      <w:sz w:val="21"/>
                      <w:szCs w:val="21"/>
                    </w:rPr>
                  </w:pPr>
                  <w:r>
                    <w:rPr>
                      <w:rStyle w:val="46"/>
                      <w:rFonts w:hint="eastAsia" w:ascii="仿宋" w:hAnsi="仿宋" w:eastAsia="仿宋"/>
                      <w:sz w:val="21"/>
                      <w:szCs w:val="21"/>
                    </w:rPr>
                    <w:t>浙江信达可恩消防实业有限公司</w:t>
                  </w:r>
                </w:p>
              </w:tc>
            </w:tr>
            <w:tr w14:paraId="1A38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1" w:type="dxa"/>
                  <w:vMerge w:val="restart"/>
                  <w:tcBorders>
                    <w:top w:val="single" w:color="auto" w:sz="4" w:space="0"/>
                    <w:left w:val="single" w:color="auto" w:sz="4" w:space="0"/>
                    <w:bottom w:val="single" w:color="auto" w:sz="4" w:space="0"/>
                    <w:right w:val="single" w:color="auto" w:sz="4" w:space="0"/>
                  </w:tcBorders>
                  <w:vAlign w:val="center"/>
                </w:tcPr>
                <w:p w14:paraId="29E36C40">
                  <w:pPr>
                    <w:snapToGrid w:val="0"/>
                    <w:spacing w:line="280" w:lineRule="exact"/>
                    <w:rPr>
                      <w:rFonts w:hint="eastAsia" w:ascii="仿宋" w:hAnsi="仿宋" w:eastAsia="仿宋" w:cs="Times New Roman"/>
                      <w:sz w:val="21"/>
                      <w:szCs w:val="21"/>
                    </w:rPr>
                  </w:pPr>
                  <w:r>
                    <w:rPr>
                      <w:rFonts w:hint="eastAsia" w:ascii="仿宋" w:hAnsi="仿宋" w:eastAsia="仿宋" w:cs="Times New Roman"/>
                      <w:sz w:val="21"/>
                      <w:szCs w:val="21"/>
                    </w:rPr>
                    <w:t>医技保障楼4层1、2档案室</w:t>
                  </w:r>
                </w:p>
              </w:tc>
              <w:tc>
                <w:tcPr>
                  <w:tcW w:w="830" w:type="dxa"/>
                  <w:tcBorders>
                    <w:top w:val="single" w:color="auto" w:sz="4" w:space="0"/>
                    <w:left w:val="single" w:color="auto" w:sz="4" w:space="0"/>
                    <w:bottom w:val="single" w:color="auto" w:sz="4" w:space="0"/>
                    <w:right w:val="single" w:color="auto" w:sz="4" w:space="0"/>
                  </w:tcBorders>
                  <w:vAlign w:val="center"/>
                </w:tcPr>
                <w:p w14:paraId="241E6B44">
                  <w:pPr>
                    <w:snapToGrid w:val="0"/>
                    <w:spacing w:line="280" w:lineRule="exact"/>
                    <w:jc w:val="center"/>
                    <w:rPr>
                      <w:rFonts w:ascii="仿宋" w:hAnsi="仿宋" w:eastAsia="仿宋"/>
                      <w:sz w:val="21"/>
                      <w:szCs w:val="21"/>
                    </w:rPr>
                  </w:pPr>
                  <w:r>
                    <w:rPr>
                      <w:rFonts w:hint="eastAsia" w:ascii="仿宋" w:hAnsi="仿宋" w:eastAsia="仿宋"/>
                      <w:sz w:val="21"/>
                      <w:szCs w:val="21"/>
                    </w:rPr>
                    <w:t>5</w:t>
                  </w:r>
                </w:p>
              </w:tc>
              <w:tc>
                <w:tcPr>
                  <w:tcW w:w="847" w:type="dxa"/>
                  <w:tcBorders>
                    <w:top w:val="single" w:color="auto" w:sz="4" w:space="0"/>
                    <w:left w:val="single" w:color="auto" w:sz="4" w:space="0"/>
                    <w:bottom w:val="single" w:color="auto" w:sz="4" w:space="0"/>
                    <w:right w:val="single" w:color="auto" w:sz="4" w:space="0"/>
                  </w:tcBorders>
                  <w:vAlign w:val="center"/>
                </w:tcPr>
                <w:p w14:paraId="7F7101D1">
                  <w:pPr>
                    <w:snapToGrid w:val="0"/>
                    <w:spacing w:line="280" w:lineRule="exact"/>
                    <w:jc w:val="center"/>
                    <w:rPr>
                      <w:rFonts w:ascii="仿宋" w:hAnsi="仿宋" w:eastAsia="仿宋"/>
                      <w:sz w:val="21"/>
                      <w:szCs w:val="21"/>
                    </w:rPr>
                  </w:pPr>
                  <w:r>
                    <w:rPr>
                      <w:rFonts w:hint="eastAsia" w:ascii="仿宋" w:hAnsi="仿宋" w:eastAsia="仿宋"/>
                      <w:sz w:val="21"/>
                      <w:szCs w:val="21"/>
                    </w:rPr>
                    <w:t>6</w:t>
                  </w:r>
                  <w:r>
                    <w:rPr>
                      <w:rFonts w:ascii="仿宋" w:hAnsi="仿宋" w:eastAsia="仿宋"/>
                      <w:sz w:val="21"/>
                      <w:szCs w:val="21"/>
                    </w:rPr>
                    <w:t>7</w:t>
                  </w:r>
                </w:p>
              </w:tc>
              <w:tc>
                <w:tcPr>
                  <w:tcW w:w="1168" w:type="dxa"/>
                  <w:tcBorders>
                    <w:top w:val="single" w:color="auto" w:sz="4" w:space="0"/>
                    <w:left w:val="single" w:color="auto" w:sz="4" w:space="0"/>
                    <w:bottom w:val="single" w:color="auto" w:sz="4" w:space="0"/>
                    <w:right w:val="single" w:color="auto" w:sz="4" w:space="0"/>
                  </w:tcBorders>
                  <w:vAlign w:val="center"/>
                </w:tcPr>
                <w:p w14:paraId="626B7F9A">
                  <w:pPr>
                    <w:snapToGrid w:val="0"/>
                    <w:spacing w:line="280" w:lineRule="exact"/>
                    <w:jc w:val="center"/>
                    <w:rPr>
                      <w:rFonts w:ascii="仿宋" w:hAnsi="仿宋" w:eastAsia="仿宋"/>
                      <w:sz w:val="21"/>
                      <w:szCs w:val="21"/>
                    </w:rPr>
                  </w:pPr>
                  <w:r>
                    <w:rPr>
                      <w:rFonts w:ascii="仿宋" w:hAnsi="仿宋" w:eastAsia="仿宋"/>
                      <w:sz w:val="21"/>
                      <w:szCs w:val="21"/>
                    </w:rPr>
                    <w:t>GQQ70/2.5-XL</w:t>
                  </w:r>
                </w:p>
              </w:tc>
              <w:tc>
                <w:tcPr>
                  <w:tcW w:w="2101" w:type="dxa"/>
                  <w:tcBorders>
                    <w:top w:val="single" w:color="auto" w:sz="4" w:space="0"/>
                    <w:left w:val="single" w:color="auto" w:sz="4" w:space="0"/>
                    <w:bottom w:val="single" w:color="auto" w:sz="4" w:space="0"/>
                    <w:right w:val="single" w:color="auto" w:sz="4" w:space="0"/>
                  </w:tcBorders>
                  <w:vAlign w:val="center"/>
                </w:tcPr>
                <w:p w14:paraId="45AD2524">
                  <w:pPr>
                    <w:snapToGrid w:val="0"/>
                    <w:spacing w:line="280" w:lineRule="exact"/>
                    <w:jc w:val="center"/>
                    <w:rPr>
                      <w:rStyle w:val="46"/>
                    </w:rPr>
                  </w:pPr>
                  <w:r>
                    <w:rPr>
                      <w:rStyle w:val="46"/>
                      <w:rFonts w:hint="eastAsia" w:ascii="仿宋" w:hAnsi="仿宋" w:eastAsia="仿宋"/>
                      <w:sz w:val="21"/>
                      <w:szCs w:val="21"/>
                    </w:rPr>
                    <w:t>江西博海消防设备有限公司</w:t>
                  </w:r>
                </w:p>
              </w:tc>
            </w:tr>
            <w:tr w14:paraId="6869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091" w:type="dxa"/>
                  <w:vMerge w:val="continue"/>
                  <w:tcBorders>
                    <w:top w:val="nil"/>
                    <w:left w:val="single" w:color="auto" w:sz="4" w:space="0"/>
                    <w:bottom w:val="single" w:color="auto" w:sz="4" w:space="0"/>
                    <w:right w:val="single" w:color="auto" w:sz="4" w:space="0"/>
                  </w:tcBorders>
                  <w:vAlign w:val="center"/>
                </w:tcPr>
                <w:p w14:paraId="74DFC8B1">
                  <w:pPr>
                    <w:snapToGrid w:val="0"/>
                    <w:spacing w:line="280" w:lineRule="exact"/>
                    <w:rPr>
                      <w:rFonts w:hint="eastAsia" w:ascii="仿宋" w:hAnsi="仿宋" w:eastAsia="仿宋" w:cs="Times New Roman"/>
                      <w:sz w:val="21"/>
                      <w:szCs w:val="21"/>
                    </w:rPr>
                  </w:pPr>
                </w:p>
              </w:tc>
              <w:tc>
                <w:tcPr>
                  <w:tcW w:w="830" w:type="dxa"/>
                  <w:tcBorders>
                    <w:top w:val="single" w:color="auto" w:sz="4" w:space="0"/>
                    <w:left w:val="single" w:color="auto" w:sz="4" w:space="0"/>
                    <w:bottom w:val="single" w:color="auto" w:sz="4" w:space="0"/>
                    <w:right w:val="single" w:color="auto" w:sz="4" w:space="0"/>
                  </w:tcBorders>
                  <w:vAlign w:val="center"/>
                </w:tcPr>
                <w:p w14:paraId="2B47C69D">
                  <w:pPr>
                    <w:snapToGrid w:val="0"/>
                    <w:spacing w:line="280" w:lineRule="exact"/>
                    <w:jc w:val="center"/>
                    <w:rPr>
                      <w:rFonts w:ascii="仿宋" w:hAnsi="仿宋" w:eastAsia="仿宋"/>
                      <w:sz w:val="21"/>
                      <w:szCs w:val="21"/>
                    </w:rPr>
                  </w:pPr>
                  <w:r>
                    <w:rPr>
                      <w:rFonts w:hint="eastAsia" w:ascii="仿宋" w:hAnsi="仿宋" w:eastAsia="仿宋"/>
                      <w:sz w:val="21"/>
                      <w:szCs w:val="21"/>
                    </w:rPr>
                    <w:t>2</w:t>
                  </w:r>
                </w:p>
              </w:tc>
              <w:tc>
                <w:tcPr>
                  <w:tcW w:w="847" w:type="dxa"/>
                  <w:tcBorders>
                    <w:top w:val="single" w:color="auto" w:sz="4" w:space="0"/>
                    <w:left w:val="single" w:color="auto" w:sz="4" w:space="0"/>
                    <w:bottom w:val="single" w:color="auto" w:sz="4" w:space="0"/>
                    <w:right w:val="single" w:color="auto" w:sz="4" w:space="0"/>
                  </w:tcBorders>
                  <w:vAlign w:val="center"/>
                </w:tcPr>
                <w:p w14:paraId="54E5006F">
                  <w:pPr>
                    <w:autoSpaceDE w:val="0"/>
                    <w:snapToGrid w:val="0"/>
                    <w:spacing w:line="280" w:lineRule="exact"/>
                    <w:jc w:val="center"/>
                    <w:rPr>
                      <w:rFonts w:ascii="仿宋" w:hAnsi="仿宋" w:eastAsia="仿宋"/>
                      <w:sz w:val="21"/>
                      <w:szCs w:val="21"/>
                    </w:rPr>
                  </w:pPr>
                  <w:r>
                    <w:rPr>
                      <w:rFonts w:hint="eastAsia" w:ascii="仿宋" w:hAnsi="仿宋" w:eastAsia="仿宋"/>
                      <w:sz w:val="21"/>
                      <w:szCs w:val="21"/>
                    </w:rPr>
                    <w:t>8</w:t>
                  </w:r>
                  <w:r>
                    <w:rPr>
                      <w:rFonts w:ascii="仿宋" w:hAnsi="仿宋" w:eastAsia="仿宋"/>
                      <w:sz w:val="21"/>
                      <w:szCs w:val="21"/>
                    </w:rPr>
                    <w:t>7</w:t>
                  </w:r>
                </w:p>
              </w:tc>
              <w:tc>
                <w:tcPr>
                  <w:tcW w:w="1168" w:type="dxa"/>
                  <w:tcBorders>
                    <w:top w:val="single" w:color="auto" w:sz="4" w:space="0"/>
                    <w:left w:val="single" w:color="auto" w:sz="4" w:space="0"/>
                    <w:bottom w:val="single" w:color="auto" w:sz="4" w:space="0"/>
                    <w:right w:val="single" w:color="auto" w:sz="4" w:space="0"/>
                  </w:tcBorders>
                  <w:vAlign w:val="center"/>
                </w:tcPr>
                <w:p w14:paraId="06ECA278">
                  <w:pPr>
                    <w:snapToGrid w:val="0"/>
                    <w:spacing w:line="280" w:lineRule="exact"/>
                    <w:jc w:val="center"/>
                    <w:rPr>
                      <w:rFonts w:ascii="仿宋" w:hAnsi="仿宋" w:eastAsia="仿宋"/>
                      <w:sz w:val="21"/>
                      <w:szCs w:val="21"/>
                    </w:rPr>
                  </w:pPr>
                  <w:r>
                    <w:rPr>
                      <w:rFonts w:ascii="仿宋" w:hAnsi="仿宋" w:eastAsia="仿宋"/>
                      <w:sz w:val="21"/>
                      <w:szCs w:val="21"/>
                    </w:rPr>
                    <w:t>GQQ90/2.5-XL</w:t>
                  </w:r>
                </w:p>
              </w:tc>
              <w:tc>
                <w:tcPr>
                  <w:tcW w:w="2101" w:type="dxa"/>
                  <w:tcBorders>
                    <w:top w:val="single" w:color="auto" w:sz="4" w:space="0"/>
                    <w:left w:val="single" w:color="auto" w:sz="4" w:space="0"/>
                    <w:bottom w:val="single" w:color="auto" w:sz="4" w:space="0"/>
                    <w:right w:val="single" w:color="auto" w:sz="4" w:space="0"/>
                  </w:tcBorders>
                  <w:vAlign w:val="center"/>
                </w:tcPr>
                <w:p w14:paraId="51272D70">
                  <w:pPr>
                    <w:snapToGrid w:val="0"/>
                    <w:spacing w:line="280" w:lineRule="exact"/>
                    <w:jc w:val="center"/>
                    <w:rPr>
                      <w:rStyle w:val="46"/>
                    </w:rPr>
                  </w:pPr>
                  <w:r>
                    <w:rPr>
                      <w:rStyle w:val="46"/>
                      <w:rFonts w:hint="eastAsia" w:ascii="仿宋" w:hAnsi="仿宋" w:eastAsia="仿宋"/>
                      <w:sz w:val="21"/>
                      <w:szCs w:val="21"/>
                    </w:rPr>
                    <w:t>江西博海消防设备有限公司</w:t>
                  </w:r>
                </w:p>
              </w:tc>
            </w:tr>
            <w:tr w14:paraId="4FDA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1" w:type="dxa"/>
                  <w:vMerge w:val="restart"/>
                  <w:tcBorders>
                    <w:top w:val="single" w:color="auto" w:sz="4" w:space="0"/>
                    <w:left w:val="single" w:color="auto" w:sz="4" w:space="0"/>
                    <w:bottom w:val="single" w:color="auto" w:sz="4" w:space="0"/>
                    <w:right w:val="single" w:color="auto" w:sz="4" w:space="0"/>
                  </w:tcBorders>
                  <w:vAlign w:val="center"/>
                </w:tcPr>
                <w:p w14:paraId="2D0CF861">
                  <w:pPr>
                    <w:snapToGrid w:val="0"/>
                    <w:spacing w:line="280" w:lineRule="exact"/>
                    <w:rPr>
                      <w:rFonts w:hint="eastAsia" w:ascii="仿宋" w:hAnsi="仿宋" w:eastAsia="仿宋" w:cs="Times New Roman"/>
                      <w:sz w:val="21"/>
                      <w:szCs w:val="21"/>
                    </w:rPr>
                  </w:pPr>
                  <w:r>
                    <w:rPr>
                      <w:rFonts w:hint="eastAsia" w:ascii="仿宋" w:hAnsi="仿宋" w:eastAsia="仿宋" w:cs="Times New Roman"/>
                      <w:sz w:val="21"/>
                      <w:szCs w:val="21"/>
                    </w:rPr>
                    <w:t>医技保障楼3层DR检查室</w:t>
                  </w:r>
                </w:p>
              </w:tc>
              <w:tc>
                <w:tcPr>
                  <w:tcW w:w="830" w:type="dxa"/>
                  <w:tcBorders>
                    <w:top w:val="single" w:color="auto" w:sz="4" w:space="0"/>
                    <w:left w:val="single" w:color="auto" w:sz="4" w:space="0"/>
                    <w:bottom w:val="single" w:color="auto" w:sz="4" w:space="0"/>
                    <w:right w:val="single" w:color="auto" w:sz="4" w:space="0"/>
                  </w:tcBorders>
                  <w:vAlign w:val="center"/>
                </w:tcPr>
                <w:p w14:paraId="4E169402">
                  <w:pPr>
                    <w:snapToGrid w:val="0"/>
                    <w:spacing w:line="280" w:lineRule="exact"/>
                    <w:jc w:val="center"/>
                    <w:rPr>
                      <w:rFonts w:ascii="仿宋" w:hAnsi="仿宋" w:eastAsia="仿宋"/>
                      <w:sz w:val="21"/>
                      <w:szCs w:val="21"/>
                    </w:rPr>
                  </w:pPr>
                  <w:r>
                    <w:rPr>
                      <w:rFonts w:hint="eastAsia" w:ascii="仿宋" w:hAnsi="仿宋" w:eastAsia="仿宋"/>
                      <w:sz w:val="21"/>
                      <w:szCs w:val="21"/>
                    </w:rPr>
                    <w:t>1</w:t>
                  </w:r>
                </w:p>
              </w:tc>
              <w:tc>
                <w:tcPr>
                  <w:tcW w:w="847" w:type="dxa"/>
                  <w:tcBorders>
                    <w:top w:val="single" w:color="auto" w:sz="4" w:space="0"/>
                    <w:left w:val="single" w:color="auto" w:sz="4" w:space="0"/>
                    <w:bottom w:val="single" w:color="auto" w:sz="4" w:space="0"/>
                    <w:right w:val="single" w:color="auto" w:sz="4" w:space="0"/>
                  </w:tcBorders>
                  <w:vAlign w:val="center"/>
                </w:tcPr>
                <w:p w14:paraId="6FC39593">
                  <w:pPr>
                    <w:autoSpaceDE w:val="0"/>
                    <w:snapToGrid w:val="0"/>
                    <w:spacing w:line="280" w:lineRule="exact"/>
                    <w:jc w:val="center"/>
                    <w:rPr>
                      <w:rFonts w:ascii="仿宋" w:hAnsi="仿宋" w:eastAsia="仿宋"/>
                      <w:sz w:val="21"/>
                      <w:szCs w:val="21"/>
                    </w:rPr>
                  </w:pPr>
                  <w:r>
                    <w:rPr>
                      <w:rFonts w:hint="eastAsia" w:ascii="仿宋" w:hAnsi="仿宋" w:eastAsia="仿宋"/>
                      <w:sz w:val="21"/>
                      <w:szCs w:val="21"/>
                    </w:rPr>
                    <w:t>6</w:t>
                  </w:r>
                  <w:r>
                    <w:rPr>
                      <w:rFonts w:ascii="仿宋" w:hAnsi="仿宋" w:eastAsia="仿宋"/>
                      <w:sz w:val="21"/>
                      <w:szCs w:val="21"/>
                    </w:rPr>
                    <w:t>7</w:t>
                  </w:r>
                </w:p>
              </w:tc>
              <w:tc>
                <w:tcPr>
                  <w:tcW w:w="1168" w:type="dxa"/>
                  <w:tcBorders>
                    <w:top w:val="single" w:color="auto" w:sz="4" w:space="0"/>
                    <w:left w:val="single" w:color="auto" w:sz="4" w:space="0"/>
                    <w:bottom w:val="single" w:color="auto" w:sz="4" w:space="0"/>
                    <w:right w:val="single" w:color="auto" w:sz="4" w:space="0"/>
                  </w:tcBorders>
                  <w:vAlign w:val="center"/>
                </w:tcPr>
                <w:p w14:paraId="5E68DC0B">
                  <w:pPr>
                    <w:snapToGrid w:val="0"/>
                    <w:spacing w:line="280" w:lineRule="exact"/>
                    <w:jc w:val="center"/>
                    <w:rPr>
                      <w:rFonts w:ascii="仿宋" w:hAnsi="仿宋" w:eastAsia="仿宋"/>
                      <w:sz w:val="21"/>
                      <w:szCs w:val="21"/>
                    </w:rPr>
                  </w:pPr>
                  <w:r>
                    <w:rPr>
                      <w:rFonts w:ascii="仿宋" w:hAnsi="仿宋" w:eastAsia="仿宋"/>
                      <w:sz w:val="21"/>
                      <w:szCs w:val="21"/>
                    </w:rPr>
                    <w:t>GQQ70/2.5-XL</w:t>
                  </w:r>
                </w:p>
              </w:tc>
              <w:tc>
                <w:tcPr>
                  <w:tcW w:w="2101" w:type="dxa"/>
                  <w:tcBorders>
                    <w:top w:val="single" w:color="auto" w:sz="4" w:space="0"/>
                    <w:left w:val="single" w:color="auto" w:sz="4" w:space="0"/>
                    <w:bottom w:val="single" w:color="auto" w:sz="4" w:space="0"/>
                    <w:right w:val="single" w:color="auto" w:sz="4" w:space="0"/>
                  </w:tcBorders>
                  <w:vAlign w:val="center"/>
                </w:tcPr>
                <w:p w14:paraId="72C454AC">
                  <w:pPr>
                    <w:snapToGrid w:val="0"/>
                    <w:spacing w:line="280" w:lineRule="exact"/>
                    <w:jc w:val="center"/>
                    <w:rPr>
                      <w:rStyle w:val="46"/>
                    </w:rPr>
                  </w:pPr>
                  <w:r>
                    <w:rPr>
                      <w:rStyle w:val="46"/>
                      <w:rFonts w:hint="eastAsia" w:ascii="仿宋" w:hAnsi="仿宋" w:eastAsia="仿宋"/>
                      <w:sz w:val="21"/>
                      <w:szCs w:val="21"/>
                    </w:rPr>
                    <w:t>江西博海消防设备有限公司</w:t>
                  </w:r>
                </w:p>
              </w:tc>
            </w:tr>
            <w:tr w14:paraId="4060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1" w:type="dxa"/>
                  <w:vMerge w:val="continue"/>
                  <w:tcBorders>
                    <w:top w:val="nil"/>
                    <w:left w:val="single" w:color="auto" w:sz="4" w:space="0"/>
                    <w:bottom w:val="single" w:color="auto" w:sz="4" w:space="0"/>
                    <w:right w:val="single" w:color="auto" w:sz="4" w:space="0"/>
                  </w:tcBorders>
                  <w:vAlign w:val="center"/>
                </w:tcPr>
                <w:p w14:paraId="2D18285E">
                  <w:pPr>
                    <w:spacing w:line="280" w:lineRule="exact"/>
                    <w:rPr>
                      <w:rFonts w:ascii="仿宋" w:hAnsi="仿宋" w:eastAsia="仿宋"/>
                      <w:kern w:val="2"/>
                      <w:sz w:val="21"/>
                      <w:szCs w:val="21"/>
                    </w:rPr>
                  </w:pPr>
                </w:p>
              </w:tc>
              <w:tc>
                <w:tcPr>
                  <w:tcW w:w="830" w:type="dxa"/>
                  <w:tcBorders>
                    <w:top w:val="single" w:color="auto" w:sz="4" w:space="0"/>
                    <w:left w:val="single" w:color="auto" w:sz="4" w:space="0"/>
                    <w:bottom w:val="single" w:color="auto" w:sz="4" w:space="0"/>
                    <w:right w:val="single" w:color="auto" w:sz="4" w:space="0"/>
                  </w:tcBorders>
                  <w:vAlign w:val="center"/>
                </w:tcPr>
                <w:p w14:paraId="01A8DF6E">
                  <w:pPr>
                    <w:snapToGrid w:val="0"/>
                    <w:spacing w:line="280" w:lineRule="exact"/>
                    <w:jc w:val="center"/>
                    <w:rPr>
                      <w:rFonts w:ascii="仿宋" w:hAnsi="仿宋" w:eastAsia="仿宋"/>
                      <w:sz w:val="21"/>
                      <w:szCs w:val="21"/>
                    </w:rPr>
                  </w:pPr>
                  <w:r>
                    <w:rPr>
                      <w:rFonts w:hint="eastAsia" w:ascii="仿宋" w:hAnsi="仿宋" w:eastAsia="仿宋"/>
                      <w:sz w:val="21"/>
                      <w:szCs w:val="21"/>
                    </w:rPr>
                    <w:t>1</w:t>
                  </w:r>
                </w:p>
              </w:tc>
              <w:tc>
                <w:tcPr>
                  <w:tcW w:w="847" w:type="dxa"/>
                  <w:tcBorders>
                    <w:top w:val="single" w:color="auto" w:sz="4" w:space="0"/>
                    <w:left w:val="single" w:color="auto" w:sz="4" w:space="0"/>
                    <w:bottom w:val="single" w:color="auto" w:sz="4" w:space="0"/>
                    <w:right w:val="single" w:color="auto" w:sz="4" w:space="0"/>
                  </w:tcBorders>
                  <w:vAlign w:val="center"/>
                </w:tcPr>
                <w:p w14:paraId="7C24ADEB">
                  <w:pPr>
                    <w:autoSpaceDE w:val="0"/>
                    <w:snapToGrid w:val="0"/>
                    <w:spacing w:line="280" w:lineRule="exact"/>
                    <w:jc w:val="center"/>
                    <w:rPr>
                      <w:rFonts w:ascii="仿宋" w:hAnsi="仿宋" w:eastAsia="仿宋"/>
                      <w:sz w:val="21"/>
                      <w:szCs w:val="21"/>
                    </w:rPr>
                  </w:pPr>
                  <w:r>
                    <w:rPr>
                      <w:rFonts w:hint="eastAsia" w:ascii="仿宋" w:hAnsi="仿宋" w:eastAsia="仿宋"/>
                      <w:sz w:val="21"/>
                      <w:szCs w:val="21"/>
                    </w:rPr>
                    <w:t>8</w:t>
                  </w:r>
                  <w:r>
                    <w:rPr>
                      <w:rFonts w:ascii="仿宋" w:hAnsi="仿宋" w:eastAsia="仿宋"/>
                      <w:sz w:val="21"/>
                      <w:szCs w:val="21"/>
                    </w:rPr>
                    <w:t>7</w:t>
                  </w:r>
                </w:p>
              </w:tc>
              <w:tc>
                <w:tcPr>
                  <w:tcW w:w="1168" w:type="dxa"/>
                  <w:tcBorders>
                    <w:top w:val="single" w:color="auto" w:sz="4" w:space="0"/>
                    <w:left w:val="single" w:color="auto" w:sz="4" w:space="0"/>
                    <w:bottom w:val="single" w:color="auto" w:sz="4" w:space="0"/>
                    <w:right w:val="single" w:color="auto" w:sz="4" w:space="0"/>
                  </w:tcBorders>
                  <w:vAlign w:val="center"/>
                </w:tcPr>
                <w:p w14:paraId="03F7C8A1">
                  <w:pPr>
                    <w:snapToGrid w:val="0"/>
                    <w:spacing w:line="280" w:lineRule="exact"/>
                    <w:jc w:val="center"/>
                    <w:rPr>
                      <w:rFonts w:ascii="仿宋" w:hAnsi="仿宋" w:eastAsia="仿宋"/>
                      <w:sz w:val="21"/>
                      <w:szCs w:val="21"/>
                    </w:rPr>
                  </w:pPr>
                  <w:r>
                    <w:rPr>
                      <w:rFonts w:ascii="仿宋" w:hAnsi="仿宋" w:eastAsia="仿宋"/>
                      <w:sz w:val="21"/>
                      <w:szCs w:val="21"/>
                    </w:rPr>
                    <w:t>GQQ90/2.5-XL</w:t>
                  </w:r>
                </w:p>
              </w:tc>
              <w:tc>
                <w:tcPr>
                  <w:tcW w:w="2101" w:type="dxa"/>
                  <w:tcBorders>
                    <w:top w:val="single" w:color="auto" w:sz="4" w:space="0"/>
                    <w:left w:val="single" w:color="auto" w:sz="4" w:space="0"/>
                    <w:bottom w:val="single" w:color="auto" w:sz="4" w:space="0"/>
                    <w:right w:val="single" w:color="auto" w:sz="4" w:space="0"/>
                  </w:tcBorders>
                  <w:vAlign w:val="center"/>
                </w:tcPr>
                <w:p w14:paraId="602196C5">
                  <w:pPr>
                    <w:snapToGrid w:val="0"/>
                    <w:spacing w:line="280" w:lineRule="exact"/>
                    <w:jc w:val="center"/>
                    <w:rPr>
                      <w:rStyle w:val="46"/>
                    </w:rPr>
                  </w:pPr>
                  <w:r>
                    <w:rPr>
                      <w:rStyle w:val="46"/>
                      <w:rFonts w:hint="eastAsia" w:ascii="仿宋" w:hAnsi="仿宋" w:eastAsia="仿宋"/>
                      <w:sz w:val="21"/>
                      <w:szCs w:val="21"/>
                    </w:rPr>
                    <w:t>江西博海消防设备有限公司</w:t>
                  </w:r>
                </w:p>
              </w:tc>
            </w:tr>
            <w:tr w14:paraId="56D1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31A56438">
                  <w:pPr>
                    <w:spacing w:line="280" w:lineRule="exact"/>
                    <w:rPr>
                      <w:rFonts w:ascii="仿宋" w:hAnsi="仿宋" w:eastAsia="仿宋"/>
                      <w:kern w:val="2"/>
                      <w:sz w:val="21"/>
                      <w:szCs w:val="21"/>
                    </w:rPr>
                  </w:pPr>
                  <w:r>
                    <w:rPr>
                      <w:rFonts w:hint="eastAsia" w:ascii="仿宋" w:hAnsi="仿宋" w:eastAsia="仿宋"/>
                      <w:kern w:val="2"/>
                      <w:sz w:val="21"/>
                      <w:szCs w:val="21"/>
                    </w:rPr>
                    <w:t>小计</w:t>
                  </w:r>
                </w:p>
              </w:tc>
              <w:tc>
                <w:tcPr>
                  <w:tcW w:w="830" w:type="dxa"/>
                  <w:tcBorders>
                    <w:top w:val="single" w:color="auto" w:sz="4" w:space="0"/>
                    <w:left w:val="single" w:color="auto" w:sz="4" w:space="0"/>
                    <w:bottom w:val="single" w:color="auto" w:sz="4" w:space="0"/>
                    <w:right w:val="single" w:color="auto" w:sz="4" w:space="0"/>
                  </w:tcBorders>
                  <w:vAlign w:val="center"/>
                </w:tcPr>
                <w:p w14:paraId="3809C087">
                  <w:pPr>
                    <w:autoSpaceDE w:val="0"/>
                    <w:snapToGrid w:val="0"/>
                    <w:spacing w:line="280" w:lineRule="exact"/>
                    <w:jc w:val="center"/>
                    <w:rPr>
                      <w:rFonts w:ascii="仿宋" w:hAnsi="仿宋" w:eastAsia="仿宋"/>
                      <w:sz w:val="21"/>
                      <w:szCs w:val="21"/>
                    </w:rPr>
                  </w:pPr>
                  <w:r>
                    <w:rPr>
                      <w:rFonts w:hint="eastAsia" w:ascii="仿宋" w:hAnsi="仿宋" w:eastAsia="仿宋"/>
                      <w:sz w:val="21"/>
                      <w:szCs w:val="21"/>
                    </w:rPr>
                    <w:t>1</w:t>
                  </w:r>
                  <w:r>
                    <w:rPr>
                      <w:rFonts w:ascii="仿宋" w:hAnsi="仿宋" w:eastAsia="仿宋"/>
                      <w:sz w:val="21"/>
                      <w:szCs w:val="21"/>
                    </w:rPr>
                    <w:t>2</w:t>
                  </w:r>
                </w:p>
              </w:tc>
              <w:tc>
                <w:tcPr>
                  <w:tcW w:w="847" w:type="dxa"/>
                  <w:tcBorders>
                    <w:top w:val="single" w:color="auto" w:sz="4" w:space="0"/>
                    <w:left w:val="single" w:color="auto" w:sz="4" w:space="0"/>
                    <w:bottom w:val="single" w:color="auto" w:sz="4" w:space="0"/>
                    <w:right w:val="single" w:color="auto" w:sz="4" w:space="0"/>
                  </w:tcBorders>
                  <w:vAlign w:val="center"/>
                </w:tcPr>
                <w:p w14:paraId="287C8EC3">
                  <w:pPr>
                    <w:autoSpaceDE w:val="0"/>
                    <w:snapToGrid w:val="0"/>
                    <w:spacing w:line="280" w:lineRule="exact"/>
                    <w:jc w:val="center"/>
                    <w:rPr>
                      <w:rFonts w:hint="default" w:ascii="仿宋" w:hAnsi="仿宋" w:eastAsia="仿宋"/>
                      <w:sz w:val="21"/>
                      <w:szCs w:val="21"/>
                      <w:lang w:val="en-US" w:eastAsia="zh-CN"/>
                    </w:rPr>
                  </w:pPr>
                  <w:r>
                    <w:rPr>
                      <w:rFonts w:hint="eastAsia" w:ascii="仿宋" w:hAnsi="仿宋" w:eastAsia="仿宋"/>
                      <w:sz w:val="21"/>
                      <w:szCs w:val="21"/>
                      <w:highlight w:val="none"/>
                    </w:rPr>
                    <w:t>8</w:t>
                  </w:r>
                  <w:r>
                    <w:rPr>
                      <w:rFonts w:hint="eastAsia" w:ascii="仿宋" w:hAnsi="仿宋" w:eastAsia="仿宋"/>
                      <w:sz w:val="21"/>
                      <w:szCs w:val="21"/>
                      <w:highlight w:val="none"/>
                      <w:lang w:val="en-US" w:eastAsia="zh-CN"/>
                    </w:rPr>
                    <w:t xml:space="preserve">67 </w:t>
                  </w:r>
                </w:p>
              </w:tc>
              <w:tc>
                <w:tcPr>
                  <w:tcW w:w="1168" w:type="dxa"/>
                  <w:tcBorders>
                    <w:top w:val="single" w:color="auto" w:sz="4" w:space="0"/>
                    <w:left w:val="single" w:color="auto" w:sz="4" w:space="0"/>
                    <w:bottom w:val="single" w:color="auto" w:sz="4" w:space="0"/>
                    <w:right w:val="single" w:color="auto" w:sz="4" w:space="0"/>
                  </w:tcBorders>
                  <w:vAlign w:val="center"/>
                </w:tcPr>
                <w:p w14:paraId="1EC2BE3A">
                  <w:pPr>
                    <w:autoSpaceDE w:val="0"/>
                    <w:snapToGrid w:val="0"/>
                    <w:spacing w:line="280" w:lineRule="exact"/>
                    <w:jc w:val="center"/>
                    <w:rPr>
                      <w:rFonts w:ascii="仿宋" w:hAnsi="仿宋" w:eastAsia="仿宋"/>
                      <w:sz w:val="21"/>
                      <w:szCs w:val="21"/>
                    </w:rPr>
                  </w:pPr>
                </w:p>
              </w:tc>
              <w:tc>
                <w:tcPr>
                  <w:tcW w:w="2101" w:type="dxa"/>
                  <w:tcBorders>
                    <w:top w:val="single" w:color="auto" w:sz="4" w:space="0"/>
                    <w:left w:val="single" w:color="auto" w:sz="4" w:space="0"/>
                    <w:bottom w:val="single" w:color="auto" w:sz="4" w:space="0"/>
                    <w:right w:val="single" w:color="auto" w:sz="4" w:space="0"/>
                  </w:tcBorders>
                  <w:vAlign w:val="center"/>
                </w:tcPr>
                <w:p w14:paraId="65ADBCE5">
                  <w:pPr>
                    <w:autoSpaceDE w:val="0"/>
                    <w:snapToGrid w:val="0"/>
                    <w:spacing w:line="280" w:lineRule="exact"/>
                    <w:jc w:val="center"/>
                    <w:rPr>
                      <w:rFonts w:ascii="仿宋" w:hAnsi="仿宋" w:eastAsia="仿宋"/>
                      <w:sz w:val="21"/>
                      <w:szCs w:val="21"/>
                    </w:rPr>
                  </w:pPr>
                </w:p>
              </w:tc>
            </w:tr>
          </w:tbl>
          <w:p w14:paraId="45F0C88D">
            <w:pPr>
              <w:pStyle w:val="2"/>
              <w:rPr>
                <w:rFonts w:hint="eastAsia"/>
              </w:rPr>
            </w:pPr>
          </w:p>
        </w:tc>
      </w:tr>
    </w:tbl>
    <w:p w14:paraId="623331EA">
      <w:pPr>
        <w:numPr>
          <w:ilvl w:val="0"/>
          <w:numId w:val="0"/>
        </w:numPr>
        <w:spacing w:line="560" w:lineRule="exact"/>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（二）商务要求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546"/>
        <w:gridCol w:w="6736"/>
      </w:tblGrid>
      <w:tr w14:paraId="6074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5FF785C2">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序号</w:t>
            </w:r>
          </w:p>
        </w:tc>
        <w:tc>
          <w:tcPr>
            <w:tcW w:w="1546" w:type="dxa"/>
          </w:tcPr>
          <w:p w14:paraId="4A4A9757">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类型</w:t>
            </w:r>
          </w:p>
        </w:tc>
        <w:tc>
          <w:tcPr>
            <w:tcW w:w="6736" w:type="dxa"/>
          </w:tcPr>
          <w:p w14:paraId="4F06870A">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要求</w:t>
            </w:r>
          </w:p>
        </w:tc>
      </w:tr>
      <w:tr w14:paraId="41E0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22" w:type="dxa"/>
          </w:tcPr>
          <w:p w14:paraId="3276EB0B">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1</w:t>
            </w:r>
          </w:p>
        </w:tc>
        <w:tc>
          <w:tcPr>
            <w:tcW w:w="1546" w:type="dxa"/>
          </w:tcPr>
          <w:p w14:paraId="5894ED79">
            <w:pPr>
              <w:numPr>
                <w:ilvl w:val="0"/>
                <w:numId w:val="0"/>
              </w:numPr>
              <w:spacing w:line="560" w:lineRule="exact"/>
              <w:jc w:val="left"/>
              <w:rPr>
                <w:rFonts w:hint="eastAsia" w:asciiTheme="minorEastAsia" w:hAnsiTheme="minorEastAsia" w:eastAsiaTheme="minorEastAsia" w:cstheme="minorEastAsia"/>
                <w:b/>
                <w:bCs/>
                <w:sz w:val="21"/>
                <w:szCs w:val="21"/>
                <w:highlight w:val="none"/>
                <w:vertAlign w:val="baseline"/>
              </w:rPr>
            </w:pPr>
            <w:r>
              <w:rPr>
                <w:rFonts w:hint="eastAsia" w:asciiTheme="minorEastAsia" w:hAnsiTheme="minorEastAsia" w:eastAsiaTheme="minorEastAsia" w:cstheme="minorEastAsia"/>
                <w:b/>
                <w:bCs/>
                <w:sz w:val="21"/>
                <w:szCs w:val="21"/>
                <w:highlight w:val="none"/>
                <w:vertAlign w:val="baseline"/>
              </w:rPr>
              <w:t>交付成果要求</w:t>
            </w:r>
          </w:p>
        </w:tc>
        <w:tc>
          <w:tcPr>
            <w:tcW w:w="6736" w:type="dxa"/>
          </w:tcPr>
          <w:p w14:paraId="1F0A9DAC">
            <w:pPr>
              <w:tabs>
                <w:tab w:val="left" w:pos="720"/>
              </w:tabs>
              <w:spacing w:line="400" w:lineRule="exact"/>
              <w:rPr>
                <w:rFonts w:cs="宋体" w:asciiTheme="minorEastAsia" w:hAnsiTheme="minorEastAsia" w:eastAsiaTheme="minorEastAsia"/>
              </w:rPr>
            </w:pPr>
            <w:r>
              <w:rPr>
                <w:rFonts w:hint="eastAsia" w:cs="宋体" w:asciiTheme="minorEastAsia" w:hAnsiTheme="minorEastAsia" w:eastAsiaTheme="minorEastAsia"/>
                <w:lang w:val="en-US" w:eastAsia="zh-CN"/>
              </w:rPr>
              <w:t>1.</w:t>
            </w:r>
            <w:r>
              <w:rPr>
                <w:rFonts w:cs="宋体" w:asciiTheme="minorEastAsia" w:hAnsiTheme="minorEastAsia" w:eastAsiaTheme="minorEastAsia"/>
              </w:rPr>
              <w:t>全部钢瓶检验合格后，出具带气瓶检验专用章、可溯源的正式气瓶定期检验检测报告，报告符合特种设备监管、消防监督检查存档要求</w:t>
            </w:r>
            <w:r>
              <w:rPr>
                <w:rFonts w:hint="eastAsia" w:cs="宋体" w:asciiTheme="minorEastAsia" w:hAnsiTheme="minorEastAsia" w:eastAsiaTheme="minorEastAsia"/>
              </w:rPr>
              <w:t>。</w:t>
            </w:r>
          </w:p>
          <w:p w14:paraId="7C51441A">
            <w:pPr>
              <w:tabs>
                <w:tab w:val="left" w:pos="720"/>
              </w:tabs>
              <w:spacing w:line="400" w:lineRule="exact"/>
              <w:rPr>
                <w:rFonts w:hint="eastAsia" w:asciiTheme="minorEastAsia" w:hAnsiTheme="minorEastAsia" w:eastAsiaTheme="minorEastAsia" w:cstheme="minorEastAsia"/>
                <w:b w:val="0"/>
                <w:bCs w:val="0"/>
                <w:sz w:val="21"/>
                <w:szCs w:val="21"/>
                <w:vertAlign w:val="baseline"/>
              </w:rPr>
            </w:pPr>
            <w:r>
              <w:rPr>
                <w:rFonts w:hint="eastAsia" w:cs="宋体" w:asciiTheme="minorEastAsia" w:hAnsiTheme="minorEastAsia" w:eastAsiaTheme="minorEastAsia"/>
                <w:lang w:val="en-US" w:eastAsia="zh-CN"/>
              </w:rPr>
              <w:t>2.</w:t>
            </w:r>
            <w:r>
              <w:rPr>
                <w:rFonts w:cs="宋体" w:asciiTheme="minorEastAsia" w:hAnsiTheme="minorEastAsia" w:eastAsiaTheme="minorEastAsia"/>
              </w:rPr>
              <w:t>同步交付全套佐证资料：企业营业执照、气瓶检验核准资质证书、检验人员资格证、原始检测记录、钢瓶检验标识拓印件</w:t>
            </w:r>
            <w:r>
              <w:rPr>
                <w:rFonts w:hint="eastAsia" w:cs="宋体" w:asciiTheme="minorEastAsia" w:hAnsiTheme="minorEastAsia" w:eastAsiaTheme="minorEastAsia"/>
              </w:rPr>
              <w:t>。</w:t>
            </w:r>
          </w:p>
        </w:tc>
      </w:tr>
      <w:tr w14:paraId="0F3D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722" w:type="dxa"/>
          </w:tcPr>
          <w:p w14:paraId="685A0CF8">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2</w:t>
            </w:r>
          </w:p>
        </w:tc>
        <w:tc>
          <w:tcPr>
            <w:tcW w:w="1546" w:type="dxa"/>
          </w:tcPr>
          <w:p w14:paraId="66348651">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付款方式</w:t>
            </w:r>
          </w:p>
        </w:tc>
        <w:tc>
          <w:tcPr>
            <w:tcW w:w="6736" w:type="dxa"/>
          </w:tcPr>
          <w:p w14:paraId="3DD3E2CC">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本项目无预付款，全部服务完成并验收合格后，供应商开具发票给采购人，采购人20个工作日内支付。</w:t>
            </w:r>
          </w:p>
        </w:tc>
      </w:tr>
      <w:tr w14:paraId="0AD4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48EAA20">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3</w:t>
            </w:r>
          </w:p>
        </w:tc>
        <w:tc>
          <w:tcPr>
            <w:tcW w:w="1546" w:type="dxa"/>
          </w:tcPr>
          <w:p w14:paraId="661EC29F">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履约与责任要求</w:t>
            </w:r>
          </w:p>
        </w:tc>
        <w:tc>
          <w:tcPr>
            <w:tcW w:w="6736" w:type="dxa"/>
          </w:tcPr>
          <w:p w14:paraId="67902A5F">
            <w:pPr>
              <w:tabs>
                <w:tab w:val="left" w:pos="720"/>
              </w:tabs>
              <w:spacing w:line="400" w:lineRule="exact"/>
              <w:rPr>
                <w:rFonts w:cs="宋体" w:asciiTheme="minorEastAsia" w:hAnsiTheme="minorEastAsia" w:eastAsiaTheme="minorEastAsia"/>
              </w:rPr>
            </w:pPr>
            <w:r>
              <w:rPr>
                <w:rFonts w:hint="eastAsia" w:cs="宋体" w:asciiTheme="minorEastAsia" w:hAnsiTheme="minorEastAsia" w:eastAsiaTheme="minorEastAsia"/>
                <w:lang w:val="en-US" w:eastAsia="zh-CN"/>
              </w:rPr>
              <w:t>1.</w:t>
            </w:r>
            <w:r>
              <w:rPr>
                <w:rFonts w:cs="宋体" w:asciiTheme="minorEastAsia" w:hAnsiTheme="minorEastAsia" w:eastAsiaTheme="minorEastAsia"/>
              </w:rPr>
              <w:t>供应商需承诺在约定工期内完成全部区域钢瓶检验、复位调试工作</w:t>
            </w:r>
            <w:r>
              <w:rPr>
                <w:rFonts w:hint="eastAsia" w:cs="宋体" w:asciiTheme="minorEastAsia" w:hAnsiTheme="minorEastAsia" w:eastAsiaTheme="minorEastAsia"/>
              </w:rPr>
              <w:t>。</w:t>
            </w:r>
          </w:p>
          <w:p w14:paraId="6A560A71">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rPr>
            </w:pPr>
            <w:r>
              <w:rPr>
                <w:rFonts w:hint="eastAsia" w:cs="宋体" w:asciiTheme="minorEastAsia" w:hAnsiTheme="minorEastAsia" w:eastAsiaTheme="minorEastAsia"/>
                <w:lang w:val="en-US" w:eastAsia="zh-CN"/>
              </w:rPr>
              <w:t>2.</w:t>
            </w:r>
            <w:r>
              <w:rPr>
                <w:rFonts w:cs="宋体" w:asciiTheme="minorEastAsia" w:hAnsiTheme="minorEastAsia" w:eastAsiaTheme="minorEastAsia"/>
              </w:rPr>
              <w:t>若因供应商资质无效、检验流程不合规、报告不被监管</w:t>
            </w:r>
            <w:r>
              <w:rPr>
                <w:rFonts w:hint="eastAsia" w:cs="宋体" w:asciiTheme="minorEastAsia" w:hAnsiTheme="minorEastAsia" w:eastAsiaTheme="minorEastAsia"/>
              </w:rPr>
              <w:t>和</w:t>
            </w:r>
            <w:r>
              <w:rPr>
                <w:rFonts w:cs="宋体" w:asciiTheme="minorEastAsia" w:hAnsiTheme="minorEastAsia" w:eastAsiaTheme="minorEastAsia"/>
              </w:rPr>
              <w:t>消防部门认可，由此产生的行政处罚、整改费用全部由供应商承担。</w:t>
            </w:r>
          </w:p>
        </w:tc>
      </w:tr>
      <w:tr w14:paraId="59BB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21C3E59">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4</w:t>
            </w:r>
          </w:p>
        </w:tc>
        <w:tc>
          <w:tcPr>
            <w:tcW w:w="1546" w:type="dxa"/>
          </w:tcPr>
          <w:p w14:paraId="43D3E4C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交付地点</w:t>
            </w:r>
          </w:p>
        </w:tc>
        <w:tc>
          <w:tcPr>
            <w:tcW w:w="6736" w:type="dxa"/>
          </w:tcPr>
          <w:p w14:paraId="5AF25EF4">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cs="宋体" w:asciiTheme="minorEastAsia" w:hAnsiTheme="minorEastAsia" w:eastAsiaTheme="minorEastAsia"/>
                <w:lang w:val="en-US" w:eastAsia="zh-CN"/>
              </w:rPr>
              <w:t>广西壮族自治区生殖医院</w:t>
            </w:r>
            <w:r>
              <w:rPr>
                <w:rFonts w:hint="eastAsia" w:asciiTheme="minorEastAsia" w:hAnsiTheme="minorEastAsia" w:eastAsiaTheme="minorEastAsia" w:cstheme="minorEastAsia"/>
                <w:b w:val="0"/>
                <w:bCs w:val="0"/>
                <w:sz w:val="21"/>
                <w:szCs w:val="21"/>
                <w:vertAlign w:val="baseline"/>
                <w:lang w:val="en-US" w:eastAsia="zh-CN"/>
              </w:rPr>
              <w:t xml:space="preserve">         </w:t>
            </w:r>
          </w:p>
        </w:tc>
      </w:tr>
      <w:tr w14:paraId="63DA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Align w:val="top"/>
          </w:tcPr>
          <w:p w14:paraId="514BC570">
            <w:pPr>
              <w:numPr>
                <w:ilvl w:val="0"/>
                <w:numId w:val="0"/>
              </w:numPr>
              <w:spacing w:line="560" w:lineRule="exact"/>
              <w:ind w:left="0" w:leftChars="0" w:firstLine="0" w:firstLineChars="0"/>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5</w:t>
            </w:r>
          </w:p>
        </w:tc>
        <w:tc>
          <w:tcPr>
            <w:tcW w:w="1546" w:type="dxa"/>
            <w:vAlign w:val="top"/>
          </w:tcPr>
          <w:p w14:paraId="6D87415D">
            <w:pPr>
              <w:numPr>
                <w:ilvl w:val="0"/>
                <w:numId w:val="0"/>
              </w:numPr>
              <w:spacing w:line="560" w:lineRule="exact"/>
              <w:ind w:left="0" w:leftChars="0" w:firstLine="0" w:firstLineChars="0"/>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履约保证金</w:t>
            </w:r>
          </w:p>
        </w:tc>
        <w:tc>
          <w:tcPr>
            <w:tcW w:w="6736" w:type="dxa"/>
            <w:vAlign w:val="top"/>
          </w:tcPr>
          <w:p w14:paraId="00A24F52">
            <w:pPr>
              <w:numPr>
                <w:ilvl w:val="0"/>
                <w:numId w:val="0"/>
              </w:numPr>
              <w:spacing w:line="560" w:lineRule="exact"/>
              <w:ind w:left="0" w:leftChars="0" w:firstLine="0" w:firstLineChars="0"/>
              <w:jc w:val="left"/>
              <w:rPr>
                <w:rFonts w:hint="eastAsia" w:cs="宋体" w:asciiTheme="minorEastAsia" w:hAnsiTheme="minorEastAsia" w:eastAsiaTheme="minorEastAsia"/>
                <w:lang w:val="en-US" w:eastAsia="zh-CN"/>
              </w:rPr>
            </w:pPr>
            <w:r>
              <w:rPr>
                <w:rFonts w:hint="eastAsia" w:asciiTheme="minorEastAsia" w:hAnsiTheme="minorEastAsia" w:eastAsiaTheme="minorEastAsia" w:cstheme="minorEastAsia"/>
                <w:b w:val="0"/>
                <w:bCs w:val="0"/>
                <w:sz w:val="21"/>
                <w:szCs w:val="21"/>
                <w:vertAlign w:val="baseline"/>
                <w:lang w:val="en-US" w:eastAsia="zh-CN"/>
              </w:rPr>
              <w:t>无</w:t>
            </w:r>
          </w:p>
        </w:tc>
      </w:tr>
      <w:tr w14:paraId="5530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vAlign w:val="top"/>
          </w:tcPr>
          <w:p w14:paraId="7EB78009">
            <w:pPr>
              <w:numPr>
                <w:ilvl w:val="0"/>
                <w:numId w:val="0"/>
              </w:numPr>
              <w:spacing w:line="560" w:lineRule="exact"/>
              <w:ind w:left="0" w:leftChars="0" w:firstLine="0" w:firstLineChars="0"/>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6</w:t>
            </w:r>
          </w:p>
        </w:tc>
        <w:tc>
          <w:tcPr>
            <w:tcW w:w="1546" w:type="dxa"/>
            <w:vAlign w:val="top"/>
          </w:tcPr>
          <w:p w14:paraId="6F7ADD20">
            <w:pPr>
              <w:numPr>
                <w:ilvl w:val="0"/>
                <w:numId w:val="0"/>
              </w:numPr>
              <w:spacing w:line="560" w:lineRule="exact"/>
              <w:ind w:left="0" w:leftChars="0" w:firstLine="0" w:firstLineChars="0"/>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供应商资质要求</w:t>
            </w:r>
          </w:p>
        </w:tc>
        <w:tc>
          <w:tcPr>
            <w:tcW w:w="6736" w:type="dxa"/>
            <w:vAlign w:val="top"/>
          </w:tcPr>
          <w:p w14:paraId="4DE1E414">
            <w:pPr>
              <w:numPr>
                <w:ilvl w:val="0"/>
                <w:numId w:val="0"/>
              </w:numPr>
              <w:spacing w:line="560" w:lineRule="exact"/>
              <w:ind w:left="0" w:leftChars="0" w:firstLine="0" w:firstLine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1.国内注册（指按工商管理有关规定要求核准登记的）依法取得营业执照，经营范围达到本次采购需求的供应商。</w:t>
            </w:r>
          </w:p>
          <w:p w14:paraId="6ABBF2E4">
            <w:pPr>
              <w:numPr>
                <w:ilvl w:val="0"/>
                <w:numId w:val="0"/>
              </w:numPr>
              <w:spacing w:line="560" w:lineRule="exact"/>
              <w:ind w:left="0" w:leftChars="0" w:firstLine="0" w:firstLine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2.特种设备检验资质：持有《中华人民共和国特种设备检验检测核准证书》，核准项目代码覆盖：钢质无缝气瓶、钢质焊接气瓶、小容积金属内胆纤维缠绕气瓶等。</w:t>
            </w:r>
          </w:p>
        </w:tc>
      </w:tr>
    </w:tbl>
    <w:p w14:paraId="2F0A9CFD">
      <w:pPr>
        <w:numPr>
          <w:ilvl w:val="0"/>
          <w:numId w:val="0"/>
        </w:numPr>
        <w:spacing w:line="560" w:lineRule="exact"/>
        <w:jc w:val="left"/>
        <w:rPr>
          <w:rFonts w:hint="eastAsia" w:asciiTheme="minorEastAsia" w:hAnsiTheme="minorEastAsia" w:eastAsiaTheme="minorEastAsia" w:cstheme="minorEastAsia"/>
          <w:b/>
          <w:bCs/>
          <w:sz w:val="21"/>
          <w:szCs w:val="21"/>
        </w:rPr>
      </w:pPr>
    </w:p>
    <w:p w14:paraId="57B6F2B4">
      <w:pPr>
        <w:pStyle w:val="2"/>
        <w:rPr>
          <w:rFonts w:hint="eastAsia"/>
        </w:rPr>
      </w:pPr>
    </w:p>
    <w:p w14:paraId="2A9B128D">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6" w:name="_Toc18067"/>
      <w:r>
        <w:rPr>
          <w:rFonts w:hint="eastAsia" w:ascii="Times New Roman" w:hAnsi="Times New Roman" w:eastAsia="宋体" w:cs="Times New Roman"/>
          <w:sz w:val="36"/>
          <w:szCs w:val="36"/>
          <w:highlight w:val="none"/>
          <w:lang w:val="en-US" w:eastAsia="zh-CN"/>
        </w:rPr>
        <w:t>第三章 响应文件格式</w:t>
      </w:r>
      <w:bookmarkEnd w:id="6"/>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8"/>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8"/>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8"/>
        <w:spacing w:line="360" w:lineRule="auto"/>
        <w:ind w:firstLine="616" w:firstLineChars="257"/>
        <w:jc w:val="right"/>
        <w:rPr>
          <w:rFonts w:hint="eastAsia"/>
          <w:sz w:val="24"/>
          <w:szCs w:val="24"/>
          <w:highlight w:val="none"/>
          <w:u w:val="single"/>
        </w:rPr>
      </w:pPr>
    </w:p>
    <w:p w14:paraId="4A83CCAB">
      <w:pPr>
        <w:pStyle w:val="18"/>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0749663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r>
        <w:rPr>
          <w:rFonts w:hint="eastAsia" w:ascii="宋体" w:hAnsi="宋体" w:cs="宋体"/>
          <w:b/>
          <w:bCs w:val="0"/>
          <w:color w:val="000000"/>
          <w:sz w:val="21"/>
          <w:szCs w:val="21"/>
          <w:highlight w:val="none"/>
          <w:lang w:eastAsia="zh-CN"/>
        </w:rPr>
        <w:t>。</w:t>
      </w:r>
    </w:p>
    <w:p w14:paraId="484ACBAC">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E96BA1">
      <w:pPr>
        <w:keepNext w:val="0"/>
        <w:keepLines w:val="0"/>
        <w:pageBreakBefore w:val="0"/>
        <w:numPr>
          <w:ilvl w:val="0"/>
          <w:numId w:val="3"/>
        </w:numPr>
        <w:kinsoku/>
        <w:overflowPunct/>
        <w:topLinePunct w:val="0"/>
        <w:bidi w:val="0"/>
        <w:snapToGrid w:val="0"/>
        <w:spacing w:line="240" w:lineRule="auto"/>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r>
        <w:rPr>
          <w:rFonts w:hint="eastAsia" w:ascii="宋体" w:hAnsi="宋体" w:cs="宋体"/>
          <w:b/>
          <w:bCs w:val="0"/>
          <w:color w:val="000000"/>
          <w:sz w:val="21"/>
          <w:szCs w:val="21"/>
          <w:highlight w:val="none"/>
          <w:lang w:eastAsia="zh-CN"/>
        </w:rPr>
        <w:t>。</w:t>
      </w:r>
    </w:p>
    <w:p w14:paraId="1CCA833E">
      <w:pPr>
        <w:pStyle w:val="2"/>
        <w:spacing w:line="240" w:lineRule="auto"/>
        <w:rPr>
          <w:rFonts w:hint="eastAsia" w:ascii="宋体" w:hAnsi="宋体" w:cs="宋体"/>
          <w:b/>
          <w:bCs w:val="0"/>
          <w:color w:val="000000"/>
          <w:sz w:val="21"/>
          <w:szCs w:val="21"/>
          <w:highlight w:val="none"/>
          <w:lang w:eastAsia="zh-CN"/>
        </w:rPr>
      </w:pPr>
    </w:p>
    <w:p w14:paraId="3C0C2488">
      <w:pPr>
        <w:spacing w:line="240" w:lineRule="auto"/>
        <w:rPr>
          <w:rFonts w:hint="eastAsia"/>
          <w:b/>
          <w:bCs/>
          <w:highlight w:val="yellow"/>
          <w:lang w:eastAsia="zh-CN"/>
        </w:rPr>
      </w:pPr>
      <w:r>
        <w:rPr>
          <w:rFonts w:hint="eastAsia"/>
          <w:b/>
          <w:bCs/>
          <w:highlight w:val="yellow"/>
          <w:lang w:val="en-US" w:eastAsia="zh-CN"/>
        </w:rPr>
        <w:t>三、</w:t>
      </w:r>
      <w:r>
        <w:rPr>
          <w:rFonts w:hint="eastAsia"/>
          <w:b/>
          <w:bCs/>
          <w:highlight w:val="yellow"/>
          <w:lang w:eastAsia="zh-CN"/>
        </w:rPr>
        <w:t>特种设备检验资质：持有《中华人民共和国特种设备检验检测核准证书》，核准项目代码覆盖：钢质无缝气瓶、钢质焊接气瓶、小容积金属内胆纤维缠绕气瓶等</w:t>
      </w:r>
      <w:r>
        <w:rPr>
          <w:rFonts w:hint="eastAsia" w:ascii="宋体" w:hAnsi="宋体" w:eastAsia="宋体" w:cs="宋体"/>
          <w:b/>
          <w:bCs w:val="0"/>
          <w:color w:val="000000"/>
          <w:sz w:val="21"/>
          <w:szCs w:val="21"/>
          <w:highlight w:val="yellow"/>
          <w:lang w:eastAsia="zh-CN"/>
        </w:rPr>
        <w:t>（必须提供）</w:t>
      </w:r>
      <w:r>
        <w:rPr>
          <w:rFonts w:hint="eastAsia"/>
          <w:b/>
          <w:bCs/>
          <w:highlight w:val="yellow"/>
          <w:lang w:eastAsia="zh-CN"/>
        </w:rPr>
        <w:t>。</w:t>
      </w:r>
    </w:p>
    <w:p w14:paraId="64B529A2">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cs="宋体"/>
          <w:b/>
          <w:bCs w:val="0"/>
          <w:color w:val="000000"/>
          <w:sz w:val="21"/>
          <w:szCs w:val="21"/>
          <w:highlight w:val="none"/>
          <w:lang w:val="en-US" w:eastAsia="zh-CN"/>
        </w:rPr>
        <w:t>四</w:t>
      </w:r>
      <w:r>
        <w:rPr>
          <w:rFonts w:hint="eastAsia" w:ascii="宋体" w:hAnsi="宋体" w:eastAsia="宋体" w:cs="宋体"/>
          <w:b/>
          <w:bCs w:val="0"/>
          <w:color w:val="000000"/>
          <w:sz w:val="21"/>
          <w:szCs w:val="21"/>
          <w:highlight w:val="none"/>
          <w:lang w:val="en-US" w:eastAsia="zh-CN"/>
        </w:rPr>
        <w:t>、</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yellow"/>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r>
        <w:rPr>
          <w:rFonts w:hint="eastAsia" w:ascii="宋体" w:hAnsi="宋体" w:cs="宋体"/>
          <w:b/>
          <w:bCs w:val="0"/>
          <w:color w:val="000000"/>
          <w:sz w:val="21"/>
          <w:szCs w:val="21"/>
          <w:highlight w:val="none"/>
          <w:lang w:eastAsia="zh-CN"/>
        </w:rPr>
        <w:t>。</w:t>
      </w:r>
    </w:p>
    <w:p w14:paraId="15B7DD43">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cs="宋体"/>
          <w:b/>
          <w:bCs w:val="0"/>
          <w:color w:val="000000"/>
          <w:sz w:val="21"/>
          <w:szCs w:val="21"/>
          <w:highlight w:val="none"/>
          <w:lang w:val="en-US" w:eastAsia="zh-CN"/>
        </w:rPr>
        <w:t>五</w:t>
      </w:r>
      <w:r>
        <w:rPr>
          <w:rFonts w:hint="eastAsia" w:ascii="宋体" w:hAnsi="宋体" w:eastAsia="宋体" w:cs="宋体"/>
          <w:b/>
          <w:bCs w:val="0"/>
          <w:color w:val="000000"/>
          <w:sz w:val="21"/>
          <w:szCs w:val="21"/>
          <w:highlight w:val="none"/>
          <w:lang w:val="en-US" w:eastAsia="zh-CN"/>
        </w:rPr>
        <w:t>、</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yellow"/>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w:t>
      </w:r>
      <w:r>
        <w:rPr>
          <w:rFonts w:hint="eastAsia" w:ascii="宋体" w:hAnsi="宋体" w:cs="宋体"/>
          <w:b/>
          <w:bCs w:val="0"/>
          <w:color w:val="000000"/>
          <w:sz w:val="21"/>
          <w:szCs w:val="21"/>
          <w:highlight w:val="none"/>
          <w:lang w:val="en-US" w:eastAsia="zh-CN"/>
        </w:rPr>
        <w:t>必须提供</w:t>
      </w:r>
      <w:r>
        <w:rPr>
          <w:rFonts w:hint="eastAsia" w:ascii="宋体" w:hAnsi="宋体" w:eastAsia="宋体" w:cs="宋体"/>
          <w:b/>
          <w:bCs w:val="0"/>
          <w:color w:val="000000"/>
          <w:sz w:val="21"/>
          <w:szCs w:val="21"/>
          <w:highlight w:val="none"/>
          <w:lang w:eastAsia="zh-CN"/>
        </w:rPr>
        <w:t>）</w:t>
      </w:r>
      <w:r>
        <w:rPr>
          <w:rFonts w:hint="eastAsia" w:ascii="宋体" w:hAnsi="宋体" w:cs="宋体"/>
          <w:b/>
          <w:bCs w:val="0"/>
          <w:color w:val="000000"/>
          <w:sz w:val="21"/>
          <w:szCs w:val="21"/>
          <w:highlight w:val="none"/>
          <w:lang w:eastAsia="zh-CN"/>
        </w:rPr>
        <w:t>。</w:t>
      </w:r>
    </w:p>
    <w:p w14:paraId="1137DF56">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379C33D8">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六</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r>
        <w:rPr>
          <w:rFonts w:hint="eastAsia" w:ascii="宋体" w:hAnsi="宋体" w:cs="宋体"/>
          <w:b/>
          <w:color w:val="000000"/>
          <w:sz w:val="21"/>
          <w:szCs w:val="21"/>
          <w:highlight w:val="none"/>
          <w:lang w:eastAsia="zh-CN"/>
        </w:rPr>
        <w:t>。</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8"/>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p>
    <w:p w14:paraId="07DA74DD">
      <w:pPr>
        <w:keepNext w:val="0"/>
        <w:keepLines w:val="0"/>
        <w:pageBreakBefore w:val="0"/>
        <w:widowControl w:val="0"/>
        <w:kinsoku/>
        <w:wordWrap/>
        <w:overflowPunct/>
        <w:topLinePunct w:val="0"/>
        <w:autoSpaceDE/>
        <w:autoSpaceDN/>
        <w:bidi w:val="0"/>
        <w:adjustRightInd/>
        <w:snapToGrid w:val="0"/>
        <w:spacing w:before="120" w:beforeLines="50" w:after="50" w:line="400" w:lineRule="exact"/>
        <w:textAlignment w:val="auto"/>
        <w:rPr>
          <w:rFonts w:hint="eastAsia" w:ascii="宋体" w:hAnsi="宋体" w:eastAsia="宋体" w:cs="宋体"/>
          <w:sz w:val="21"/>
          <w:szCs w:val="21"/>
          <w:highlight w:val="none"/>
        </w:rPr>
      </w:pP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七</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661BDDD4">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p>
    <w:tbl>
      <w:tblPr>
        <w:tblStyle w:val="30"/>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74"/>
        <w:gridCol w:w="3181"/>
        <w:gridCol w:w="1125"/>
        <w:gridCol w:w="990"/>
        <w:gridCol w:w="1016"/>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324" w:type="pct"/>
            <w:noWrap w:val="0"/>
            <w:vAlign w:val="center"/>
          </w:tcPr>
          <w:p w14:paraId="635B0DA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070" w:type="pct"/>
            <w:noWrap w:val="0"/>
            <w:vAlign w:val="center"/>
          </w:tcPr>
          <w:p w14:paraId="7501B25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标的</w:t>
            </w:r>
            <w:r>
              <w:rPr>
                <w:rFonts w:hint="eastAsia" w:ascii="宋体" w:hAnsi="宋体" w:eastAsia="宋体" w:cs="宋体"/>
                <w:sz w:val="21"/>
                <w:szCs w:val="21"/>
                <w:lang w:val="en-US" w:eastAsia="zh-CN"/>
              </w:rPr>
              <w:t>名称</w:t>
            </w:r>
          </w:p>
        </w:tc>
        <w:tc>
          <w:tcPr>
            <w:tcW w:w="1816" w:type="pct"/>
            <w:noWrap w:val="0"/>
            <w:vAlign w:val="center"/>
          </w:tcPr>
          <w:p w14:paraId="7007059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规格</w:t>
            </w:r>
          </w:p>
        </w:tc>
        <w:tc>
          <w:tcPr>
            <w:tcW w:w="642" w:type="pct"/>
            <w:noWrap w:val="0"/>
            <w:vAlign w:val="center"/>
          </w:tcPr>
          <w:p w14:paraId="1D395556">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计量单位</w:t>
            </w:r>
          </w:p>
        </w:tc>
        <w:tc>
          <w:tcPr>
            <w:tcW w:w="565" w:type="pct"/>
            <w:noWrap w:val="0"/>
            <w:vAlign w:val="center"/>
          </w:tcPr>
          <w:p w14:paraId="50926F5F">
            <w:pPr>
              <w:keepNext w:val="0"/>
              <w:keepLines w:val="0"/>
              <w:pageBreakBefore w:val="0"/>
              <w:kinsoku/>
              <w:overflowPunct/>
              <w:topLinePunct w:val="0"/>
              <w:bidi w:val="0"/>
              <w:spacing w:line="400" w:lineRule="exact"/>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数量</w:t>
            </w:r>
          </w:p>
        </w:tc>
        <w:tc>
          <w:tcPr>
            <w:tcW w:w="580" w:type="pct"/>
            <w:noWrap w:val="0"/>
            <w:vAlign w:val="center"/>
          </w:tcPr>
          <w:p w14:paraId="125D12AB">
            <w:pPr>
              <w:keepNext w:val="0"/>
              <w:keepLines w:val="0"/>
              <w:pageBreakBefore w:val="0"/>
              <w:kinsoku/>
              <w:overflowPunct/>
              <w:topLinePunct w:val="0"/>
              <w:bidi w:val="0"/>
              <w:spacing w:line="40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报价</w:t>
            </w:r>
          </w:p>
          <w:p w14:paraId="48DB35C7">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（元）</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324" w:type="pct"/>
            <w:noWrap w:val="0"/>
            <w:vAlign w:val="center"/>
          </w:tcPr>
          <w:p w14:paraId="07642F1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070" w:type="pct"/>
            <w:noWrap w:val="0"/>
            <w:vAlign w:val="center"/>
          </w:tcPr>
          <w:p w14:paraId="1078D84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rPr>
              <w:t>七氟丙烷灭火装置钢瓶检测</w:t>
            </w:r>
            <w:r>
              <w:rPr>
                <w:rFonts w:hint="eastAsia" w:cs="仿宋_GB2312" w:asciiTheme="minorEastAsia" w:hAnsiTheme="minorEastAsia" w:eastAsiaTheme="minorEastAsia"/>
                <w:color w:val="000000"/>
              </w:rPr>
              <w:t>服务</w:t>
            </w:r>
          </w:p>
        </w:tc>
        <w:tc>
          <w:tcPr>
            <w:tcW w:w="1816" w:type="pct"/>
            <w:noWrap w:val="0"/>
            <w:vAlign w:val="center"/>
          </w:tcPr>
          <w:p w14:paraId="0B32E404">
            <w:pPr>
              <w:keepNext w:val="0"/>
              <w:keepLines w:val="0"/>
              <w:pageBreakBefore w:val="0"/>
              <w:widowControl/>
              <w:suppressLineNumbers w:val="0"/>
              <w:kinsoku/>
              <w:wordWrap/>
              <w:overflowPunct/>
              <w:topLinePunct w:val="0"/>
              <w:autoSpaceDE/>
              <w:autoSpaceDN/>
              <w:bidi w:val="0"/>
              <w:adjustRightInd/>
              <w:snapToGrid/>
              <w:spacing w:line="40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医院共有七氟丙烷储存钢瓶12瓶，其中主业务楼13层计算机中心机房3瓶（88kg2瓶、28kg1瓶）；医技保障楼4层1号病案资料室3瓶（67kg）、2号病案库房4瓶（87kg 2 瓶、67kg2瓶）；医技保障楼3层DR检查室2瓶（87kg1瓶、67kg 1瓶）。</w:t>
            </w:r>
          </w:p>
        </w:tc>
        <w:tc>
          <w:tcPr>
            <w:tcW w:w="642" w:type="pct"/>
            <w:noWrap w:val="0"/>
            <w:vAlign w:val="center"/>
          </w:tcPr>
          <w:p w14:paraId="1B08C66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项</w:t>
            </w:r>
          </w:p>
        </w:tc>
        <w:tc>
          <w:tcPr>
            <w:tcW w:w="565" w:type="pct"/>
            <w:noWrap w:val="0"/>
            <w:vAlign w:val="center"/>
          </w:tcPr>
          <w:p w14:paraId="6670048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kern w:val="2"/>
                <w:sz w:val="21"/>
                <w:szCs w:val="21"/>
                <w:lang w:val="en-US" w:eastAsia="zh-CN" w:bidi="ar-SA"/>
              </w:rPr>
              <w:t>1</w:t>
            </w:r>
          </w:p>
        </w:tc>
        <w:tc>
          <w:tcPr>
            <w:tcW w:w="580" w:type="pct"/>
            <w:noWrap w:val="0"/>
            <w:vAlign w:val="center"/>
          </w:tcPr>
          <w:p w14:paraId="33EE69CA">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p>
        </w:tc>
      </w:tr>
    </w:tbl>
    <w:p w14:paraId="48290457">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1、根据采购内容要求提供明细内容（名称、规格、单位、单价）报价。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2、投标报价以人民币计价，单位为元，精确至小数点后两位。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7" w:name="_Toc6622"/>
    </w:p>
    <w:p w14:paraId="3849939D">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24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460" w:lineRule="exact"/>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8"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7"/>
      <w:bookmarkEnd w:id="8"/>
    </w:p>
    <w:p w14:paraId="55D0177D">
      <w:pPr>
        <w:pStyle w:val="2"/>
        <w:rPr>
          <w:rFonts w:hint="eastAsia"/>
        </w:rPr>
      </w:pPr>
    </w:p>
    <w:p w14:paraId="55EE2688">
      <w:pPr>
        <w:rPr>
          <w:rFonts w:hint="eastAsia"/>
        </w:rPr>
      </w:pPr>
    </w:p>
    <w:p w14:paraId="7FA79E5D">
      <w:pPr>
        <w:pStyle w:val="4"/>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default" w:eastAsia="黑体"/>
          <w:lang w:val="en-US" w:eastAsia="zh-CN"/>
        </w:rPr>
      </w:pPr>
      <w:r>
        <w:rPr>
          <w:rFonts w:hint="eastAsia"/>
          <w:lang w:val="en-US" w:eastAsia="zh-CN"/>
        </w:rPr>
        <w:t xml:space="preserve"> </w:t>
      </w:r>
      <w:r>
        <w:rPr>
          <w:rFonts w:hint="eastAsia"/>
        </w:rPr>
        <w:t>合</w:t>
      </w:r>
      <w:r>
        <w:rPr>
          <w:rFonts w:hint="eastAsia"/>
          <w:lang w:val="en-US" w:eastAsia="zh-CN"/>
        </w:rPr>
        <w:t xml:space="preserve"> </w:t>
      </w:r>
      <w:r>
        <w:rPr>
          <w:rFonts w:hint="eastAsia"/>
        </w:rPr>
        <w:t>同</w:t>
      </w:r>
      <w:r>
        <w:rPr>
          <w:rFonts w:hint="eastAsia"/>
          <w:lang w:val="en-US" w:eastAsia="zh-CN"/>
        </w:rPr>
        <w:t xml:space="preserve"> 书（服务类）</w:t>
      </w:r>
    </w:p>
    <w:p w14:paraId="5A34CA64">
      <w:pPr>
        <w:pStyle w:val="6"/>
        <w:rPr>
          <w:rFonts w:hint="eastAsia"/>
        </w:rPr>
      </w:pPr>
    </w:p>
    <w:p w14:paraId="56A78F12">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7357E32A">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4E123DED">
      <w:pPr>
        <w:keepNext w:val="0"/>
        <w:keepLines w:val="0"/>
        <w:pageBreakBefore w:val="0"/>
        <w:kinsoku/>
        <w:wordWrap/>
        <w:overflowPunct/>
        <w:topLinePunct w:val="0"/>
        <w:autoSpaceDE/>
        <w:autoSpaceDN/>
        <w:bidi w:val="0"/>
        <w:adjustRightInd/>
        <w:snapToGrid w:val="0"/>
        <w:spacing w:line="40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192905E3">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p>
    <w:p w14:paraId="3A9344DD">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p>
    <w:p w14:paraId="431F5F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u w:val="none"/>
        </w:rPr>
      </w:pPr>
    </w:p>
    <w:p w14:paraId="272491F7">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0ED0E0AB">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第一条　合同标的</w:t>
      </w:r>
    </w:p>
    <w:p w14:paraId="1BA9943F">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一览表</w:t>
      </w:r>
    </w:p>
    <w:tbl>
      <w:tblPr>
        <w:tblStyle w:val="30"/>
        <w:tblpPr w:leftFromText="180" w:rightFromText="180" w:vertAnchor="text" w:horzAnchor="page" w:tblpXSpec="center" w:tblpY="191"/>
        <w:tblOverlap w:val="never"/>
        <w:tblW w:w="11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2026"/>
        <w:gridCol w:w="1510"/>
        <w:gridCol w:w="1530"/>
        <w:gridCol w:w="1244"/>
        <w:gridCol w:w="1447"/>
        <w:gridCol w:w="1447"/>
        <w:gridCol w:w="1447"/>
      </w:tblGrid>
      <w:tr w14:paraId="2A0C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566" w:type="dxa"/>
            <w:noWrap w:val="0"/>
            <w:vAlign w:val="center"/>
          </w:tcPr>
          <w:p w14:paraId="0E9BC672">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2026" w:type="dxa"/>
            <w:noWrap w:val="0"/>
            <w:vAlign w:val="center"/>
          </w:tcPr>
          <w:p w14:paraId="5403B81C">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项目名称</w:t>
            </w:r>
          </w:p>
        </w:tc>
        <w:tc>
          <w:tcPr>
            <w:tcW w:w="1510" w:type="dxa"/>
            <w:noWrap w:val="0"/>
            <w:vAlign w:val="center"/>
          </w:tcPr>
          <w:p w14:paraId="2E6101EA">
            <w:pPr>
              <w:pStyle w:val="18"/>
              <w:keepNext w:val="0"/>
              <w:keepLines w:val="0"/>
              <w:pageBreakBefore w:val="0"/>
              <w:widowControl w:val="0"/>
              <w:kinsoku/>
              <w:wordWrap/>
              <w:overflowPunct/>
              <w:topLinePunct w:val="0"/>
              <w:autoSpaceDE/>
              <w:autoSpaceDN/>
              <w:bidi w:val="0"/>
              <w:adjustRightInd/>
              <w:spacing w:line="440" w:lineRule="exact"/>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服务内容</w:t>
            </w:r>
          </w:p>
        </w:tc>
        <w:tc>
          <w:tcPr>
            <w:tcW w:w="1530" w:type="dxa"/>
            <w:noWrap w:val="0"/>
            <w:vAlign w:val="center"/>
          </w:tcPr>
          <w:p w14:paraId="27F1348C">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数量</w:t>
            </w:r>
          </w:p>
        </w:tc>
        <w:tc>
          <w:tcPr>
            <w:tcW w:w="1244" w:type="dxa"/>
            <w:noWrap w:val="0"/>
            <w:vAlign w:val="center"/>
          </w:tcPr>
          <w:p w14:paraId="30DE4BFF">
            <w:pPr>
              <w:pStyle w:val="18"/>
              <w:keepNext w:val="0"/>
              <w:keepLines w:val="0"/>
              <w:pageBreakBefore w:val="0"/>
              <w:widowControl w:val="0"/>
              <w:kinsoku/>
              <w:wordWrap/>
              <w:overflowPunct/>
              <w:topLinePunct w:val="0"/>
              <w:autoSpaceDE/>
              <w:autoSpaceDN/>
              <w:bidi w:val="0"/>
              <w:adjustRightInd/>
              <w:spacing w:line="440" w:lineRule="exact"/>
              <w:ind w:firstLine="228" w:firstLineChars="100"/>
              <w:jc w:val="center"/>
              <w:textAlignment w:val="auto"/>
              <w:rPr>
                <w:rFonts w:hint="default" w:ascii="宋体" w:hAnsi="宋体" w:eastAsia="宋体" w:cs="宋体"/>
                <w:color w:val="auto"/>
                <w:spacing w:val="-6"/>
                <w:sz w:val="24"/>
                <w:szCs w:val="24"/>
                <w:highlight w:val="none"/>
                <w:lang w:val="en-US" w:eastAsia="zh-CN"/>
              </w:rPr>
            </w:pPr>
            <w:r>
              <w:rPr>
                <w:rFonts w:hint="default" w:ascii="宋体" w:hAnsi="宋体" w:eastAsia="宋体" w:cs="宋体"/>
                <w:color w:val="auto"/>
                <w:spacing w:val="-6"/>
                <w:sz w:val="24"/>
                <w:szCs w:val="24"/>
                <w:highlight w:val="none"/>
                <w:lang w:val="en-US" w:eastAsia="zh-CN"/>
              </w:rPr>
              <w:t>单位</w:t>
            </w:r>
          </w:p>
        </w:tc>
        <w:tc>
          <w:tcPr>
            <w:tcW w:w="1447" w:type="dxa"/>
            <w:noWrap w:val="0"/>
            <w:vAlign w:val="center"/>
          </w:tcPr>
          <w:p w14:paraId="0E6703E4">
            <w:pPr>
              <w:pStyle w:val="18"/>
              <w:keepNext w:val="0"/>
              <w:keepLines w:val="0"/>
              <w:pageBreakBefore w:val="0"/>
              <w:widowControl w:val="0"/>
              <w:kinsoku/>
              <w:wordWrap/>
              <w:overflowPunct/>
              <w:topLinePunct w:val="0"/>
              <w:autoSpaceDE/>
              <w:autoSpaceDN/>
              <w:bidi w:val="0"/>
              <w:adjustRightInd/>
              <w:spacing w:line="440" w:lineRule="exact"/>
              <w:ind w:firstLine="228" w:firstLineChars="100"/>
              <w:jc w:val="center"/>
              <w:textAlignment w:val="auto"/>
              <w:rPr>
                <w:rFonts w:hint="default"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最终单价（元）</w:t>
            </w:r>
          </w:p>
        </w:tc>
        <w:tc>
          <w:tcPr>
            <w:tcW w:w="1447" w:type="dxa"/>
            <w:noWrap w:val="0"/>
            <w:vAlign w:val="center"/>
          </w:tcPr>
          <w:p w14:paraId="3FBF1B3A">
            <w:pPr>
              <w:pStyle w:val="18"/>
              <w:keepNext w:val="0"/>
              <w:keepLines w:val="0"/>
              <w:pageBreakBefore w:val="0"/>
              <w:widowControl w:val="0"/>
              <w:kinsoku/>
              <w:wordWrap/>
              <w:overflowPunct/>
              <w:topLinePunct w:val="0"/>
              <w:autoSpaceDE/>
              <w:autoSpaceDN/>
              <w:bidi w:val="0"/>
              <w:adjustRightInd/>
              <w:spacing w:line="440" w:lineRule="exact"/>
              <w:ind w:left="228" w:hanging="228" w:hangingChars="100"/>
              <w:jc w:val="both"/>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合计（元）</w:t>
            </w:r>
          </w:p>
        </w:tc>
        <w:tc>
          <w:tcPr>
            <w:tcW w:w="1447" w:type="dxa"/>
            <w:noWrap w:val="0"/>
            <w:vAlign w:val="center"/>
          </w:tcPr>
          <w:p w14:paraId="5FF904B4">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备注</w:t>
            </w:r>
          </w:p>
        </w:tc>
      </w:tr>
      <w:tr w14:paraId="6B0B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6" w:hRule="atLeast"/>
          <w:jc w:val="center"/>
        </w:trPr>
        <w:tc>
          <w:tcPr>
            <w:tcW w:w="566" w:type="dxa"/>
            <w:noWrap w:val="0"/>
            <w:vAlign w:val="center"/>
          </w:tcPr>
          <w:p w14:paraId="23D46EB5">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p w14:paraId="67D31284">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p>
        </w:tc>
        <w:tc>
          <w:tcPr>
            <w:tcW w:w="2026" w:type="dxa"/>
            <w:noWrap w:val="0"/>
            <w:vAlign w:val="center"/>
          </w:tcPr>
          <w:p w14:paraId="6E9F137A">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rPr>
            </w:pPr>
          </w:p>
        </w:tc>
        <w:tc>
          <w:tcPr>
            <w:tcW w:w="1510" w:type="dxa"/>
            <w:noWrap w:val="0"/>
            <w:vAlign w:val="center"/>
          </w:tcPr>
          <w:p w14:paraId="54D4D8C8">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sz w:val="24"/>
                <w:szCs w:val="24"/>
                <w:lang w:val="en-US" w:eastAsia="zh-CN"/>
              </w:rPr>
            </w:pPr>
          </w:p>
        </w:tc>
        <w:tc>
          <w:tcPr>
            <w:tcW w:w="1530" w:type="dxa"/>
            <w:noWrap w:val="0"/>
            <w:vAlign w:val="center"/>
          </w:tcPr>
          <w:p w14:paraId="1667F22C">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244" w:type="dxa"/>
            <w:noWrap w:val="0"/>
            <w:vAlign w:val="center"/>
          </w:tcPr>
          <w:p w14:paraId="23F593C1">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447" w:type="dxa"/>
            <w:noWrap w:val="0"/>
            <w:vAlign w:val="center"/>
          </w:tcPr>
          <w:p w14:paraId="09E9BF37">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447" w:type="dxa"/>
            <w:noWrap w:val="0"/>
            <w:vAlign w:val="center"/>
          </w:tcPr>
          <w:p w14:paraId="3C445741">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447" w:type="dxa"/>
            <w:noWrap w:val="0"/>
            <w:vAlign w:val="center"/>
          </w:tcPr>
          <w:p w14:paraId="3BDD1E52">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val="en-US" w:eastAsia="zh-CN"/>
              </w:rPr>
            </w:pPr>
          </w:p>
        </w:tc>
      </w:tr>
      <w:tr w14:paraId="67D6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1217" w:type="dxa"/>
            <w:gridSpan w:val="8"/>
            <w:noWrap w:val="0"/>
            <w:vAlign w:val="center"/>
          </w:tcPr>
          <w:p w14:paraId="49780824">
            <w:pPr>
              <w:pStyle w:val="18"/>
              <w:keepNext w:val="0"/>
              <w:keepLines w:val="0"/>
              <w:pageBreakBefore w:val="0"/>
              <w:widowControl w:val="0"/>
              <w:kinsoku/>
              <w:wordWrap/>
              <w:overflowPunct/>
              <w:topLinePunct w:val="0"/>
              <w:autoSpaceDE/>
              <w:autoSpaceDN/>
              <w:bidi w:val="0"/>
              <w:adjustRightInd/>
              <w:spacing w:line="440" w:lineRule="exact"/>
              <w:jc w:val="both"/>
              <w:textAlignment w:val="auto"/>
              <w:rPr>
                <w:rFonts w:hint="eastAsia" w:ascii="宋体" w:hAnsi="宋体" w:eastAsia="宋体" w:cs="宋体"/>
                <w:b w:val="0"/>
                <w:bCs w:val="0"/>
                <w:color w:val="auto"/>
                <w:spacing w:val="-6"/>
                <w:sz w:val="24"/>
                <w:szCs w:val="24"/>
                <w:highlight w:val="none"/>
                <w:lang w:val="en-US" w:eastAsia="zh-CN"/>
              </w:rPr>
            </w:pPr>
            <w:r>
              <w:rPr>
                <w:rFonts w:hint="eastAsia" w:ascii="宋体" w:hAnsi="宋体" w:eastAsia="宋体" w:cs="宋体"/>
                <w:b w:val="0"/>
                <w:bCs w:val="0"/>
                <w:color w:val="auto"/>
                <w:spacing w:val="-6"/>
                <w:sz w:val="24"/>
                <w:szCs w:val="24"/>
                <w:highlight w:val="none"/>
                <w:lang w:val="en-US" w:eastAsia="zh-CN"/>
              </w:rPr>
              <w:t>合同</w:t>
            </w:r>
            <w:r>
              <w:rPr>
                <w:rFonts w:hint="eastAsia" w:ascii="宋体" w:hAnsi="宋体" w:eastAsia="宋体" w:cs="宋体"/>
                <w:b w:val="0"/>
                <w:bCs w:val="0"/>
                <w:color w:val="auto"/>
                <w:spacing w:val="-6"/>
                <w:sz w:val="24"/>
                <w:szCs w:val="24"/>
                <w:highlight w:val="none"/>
                <w:lang w:eastAsia="zh-CN"/>
              </w:rPr>
              <w:t>总金额：</w:t>
            </w:r>
            <w:r>
              <w:rPr>
                <w:rFonts w:hint="eastAsia" w:ascii="宋体" w:hAnsi="宋体" w:eastAsia="宋体" w:cs="宋体"/>
                <w:b w:val="0"/>
                <w:bCs w:val="0"/>
                <w:color w:val="auto"/>
                <w:spacing w:val="-6"/>
                <w:sz w:val="24"/>
                <w:szCs w:val="24"/>
                <w:highlight w:val="none"/>
                <w:lang w:val="en-US" w:eastAsia="zh-CN"/>
              </w:rPr>
              <w:t xml:space="preserve"> 人民币（¥）</w:t>
            </w:r>
          </w:p>
        </w:tc>
      </w:tr>
      <w:tr w14:paraId="4AEE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jc w:val="center"/>
        </w:trPr>
        <w:tc>
          <w:tcPr>
            <w:tcW w:w="11217" w:type="dxa"/>
            <w:gridSpan w:val="8"/>
            <w:noWrap w:val="0"/>
            <w:vAlign w:val="center"/>
          </w:tcPr>
          <w:p w14:paraId="62628A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contextualSpacing/>
              <w:jc w:val="left"/>
              <w:textAlignment w:val="auto"/>
              <w:rPr>
                <w:rFonts w:hint="eastAsia" w:ascii="宋体" w:hAnsi="宋体" w:eastAsia="宋体" w:cs="宋体"/>
                <w:b w:val="0"/>
                <w:bCs w:val="0"/>
                <w:color w:val="auto"/>
                <w:spacing w:val="-6"/>
                <w:sz w:val="24"/>
                <w:szCs w:val="24"/>
                <w:highlight w:val="none"/>
                <w:lang w:eastAsia="zh-CN"/>
              </w:rPr>
            </w:pPr>
            <w:r>
              <w:rPr>
                <w:rFonts w:hint="eastAsia" w:ascii="宋体" w:hAnsi="宋体" w:eastAsia="宋体" w:cs="宋体"/>
                <w:b w:val="0"/>
                <w:bCs w:val="0"/>
                <w:color w:val="auto"/>
                <w:spacing w:val="-6"/>
                <w:sz w:val="24"/>
                <w:szCs w:val="24"/>
                <w:highlight w:val="none"/>
                <w:lang w:eastAsia="zh-CN"/>
              </w:rPr>
              <w:t>服务期：自签订合同之日起</w:t>
            </w:r>
          </w:p>
        </w:tc>
      </w:tr>
    </w:tbl>
    <w:p w14:paraId="4CDE483F">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2、合同</w:t>
      </w:r>
      <w:r>
        <w:rPr>
          <w:rFonts w:hint="eastAsia" w:ascii="宋体" w:hAnsi="宋体" w:eastAsia="宋体" w:cs="宋体"/>
          <w:sz w:val="24"/>
          <w:szCs w:val="24"/>
        </w:rPr>
        <w:t>固定总价包干 ，包</w:t>
      </w:r>
      <w:r>
        <w:rPr>
          <w:rFonts w:hint="eastAsia" w:ascii="宋体" w:hAnsi="宋体" w:eastAsia="宋体" w:cs="宋体"/>
          <w:sz w:val="24"/>
          <w:szCs w:val="24"/>
          <w:lang w:eastAsia="zh-CN"/>
        </w:rPr>
        <w:t>含但不限于</w:t>
      </w:r>
      <w:r>
        <w:rPr>
          <w:rFonts w:hint="eastAsia" w:ascii="宋体" w:hAnsi="宋体" w:eastAsia="宋体" w:cs="宋体"/>
          <w:sz w:val="24"/>
          <w:szCs w:val="24"/>
        </w:rPr>
        <w:t>完成本项目工作所需的服务费用和税费、保险费、交通、用餐等各项杂费</w:t>
      </w:r>
      <w:r>
        <w:rPr>
          <w:rFonts w:hint="eastAsia" w:ascii="宋体" w:hAnsi="宋体" w:eastAsia="宋体" w:cs="宋体"/>
          <w:sz w:val="24"/>
          <w:szCs w:val="24"/>
          <w:lang w:eastAsia="zh-CN"/>
        </w:rPr>
        <w:t>。</w:t>
      </w:r>
    </w:p>
    <w:p w14:paraId="737054CD">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第二条  质量保证</w:t>
      </w:r>
    </w:p>
    <w:p w14:paraId="4F072629">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1、乙方所提供的服务内容必须与招投标文件和承诺相一致。</w:t>
      </w:r>
    </w:p>
    <w:p w14:paraId="24977D60">
      <w:pPr>
        <w:pStyle w:val="2"/>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2、检验检测范围及服务要求：全套钢瓶法定检验：包含瓶体外观检查、壁厚检测、水压试验、气密性试验、瓶阀拆解校验、除锈防腐、检验钢印标识喷涂、残存七氟丙烷密闭回收。</w:t>
      </w:r>
    </w:p>
    <w:p w14:paraId="3B34D925">
      <w:pPr>
        <w:pStyle w:val="2"/>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3、配套服务：负责钢瓶拆卸、转运、检验检测后回装，全部钢瓶复位后开展管网整体气密性复检。</w:t>
      </w:r>
    </w:p>
    <w:p w14:paraId="02CC6EE1">
      <w:pPr>
        <w:pStyle w:val="2"/>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4、现场管控：项目区域为计算机机房、病案库房、放射医疗区域，乙方需配合院方错峰施工，落实防尘、防静电、防辐射、病案资料保密、医疗设备防护措施，施工全过程做好安全防护。</w:t>
      </w:r>
    </w:p>
    <w:p w14:paraId="1424ED4A">
      <w:pPr>
        <w:pStyle w:val="2"/>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5、检验检测执行标准。严格按照以下规范、规程全部条款执行检验：</w:t>
      </w:r>
    </w:p>
    <w:p w14:paraId="256EC6FC">
      <w:pPr>
        <w:pStyle w:val="2"/>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（1）GB/T13075-2016《钢质焊接气瓶定期检验与评定》第 3.2 条及全部通用检验要求。</w:t>
      </w:r>
    </w:p>
    <w:p w14:paraId="5ACCB04E">
      <w:pPr>
        <w:pStyle w:val="2"/>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（2）TSG 23-2021《气瓶安全技术规程》及 TSG23/XG1-2024 第 1 号修改单相关规定。</w:t>
      </w:r>
    </w:p>
    <w:p w14:paraId="1D568E90">
      <w:pPr>
        <w:pStyle w:val="2"/>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（3）《气体灭火系统施工及验收规范》等现行国家消防标准。</w:t>
      </w:r>
    </w:p>
    <w:p w14:paraId="3B88F990">
      <w:pPr>
        <w:pStyle w:val="2"/>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（4）服务期限。合同签订之日起30天内完成。</w:t>
      </w:r>
    </w:p>
    <w:p w14:paraId="7190C148">
      <w:pPr>
        <w:pStyle w:val="2"/>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（5）质保期。检验检测的气瓶质保期为一年，质保期自检验回装验收合格之日起计算。</w:t>
      </w:r>
    </w:p>
    <w:p w14:paraId="11E5DBE4">
      <w:pPr>
        <w:pStyle w:val="2"/>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（6）七氟丙烷灭火装置钢瓶检测明细表</w:t>
      </w:r>
    </w:p>
    <w:tbl>
      <w:tblPr>
        <w:tblStyle w:val="30"/>
        <w:tblW w:w="8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9"/>
        <w:gridCol w:w="1103"/>
        <w:gridCol w:w="1125"/>
        <w:gridCol w:w="1552"/>
        <w:gridCol w:w="2790"/>
      </w:tblGrid>
      <w:tr w14:paraId="4665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22A29AA1">
            <w:pPr>
              <w:snapToGrid w:val="0"/>
              <w:spacing w:line="280" w:lineRule="exact"/>
              <w:jc w:val="center"/>
              <w:rPr>
                <w:rFonts w:ascii="仿宋" w:hAnsi="仿宋" w:eastAsia="仿宋"/>
                <w:sz w:val="21"/>
                <w:szCs w:val="21"/>
              </w:rPr>
            </w:pPr>
            <w:r>
              <w:rPr>
                <w:rFonts w:hint="eastAsia" w:ascii="仿宋" w:hAnsi="仿宋" w:eastAsia="仿宋"/>
                <w:sz w:val="21"/>
                <w:szCs w:val="21"/>
              </w:rPr>
              <w:t>安装部位</w:t>
            </w:r>
          </w:p>
        </w:tc>
        <w:tc>
          <w:tcPr>
            <w:tcW w:w="1103" w:type="dxa"/>
            <w:tcBorders>
              <w:top w:val="single" w:color="auto" w:sz="4" w:space="0"/>
              <w:left w:val="single" w:color="auto" w:sz="4" w:space="0"/>
              <w:bottom w:val="single" w:color="auto" w:sz="4" w:space="0"/>
              <w:right w:val="single" w:color="auto" w:sz="4" w:space="0"/>
            </w:tcBorders>
            <w:vAlign w:val="center"/>
          </w:tcPr>
          <w:p w14:paraId="722B883E">
            <w:pPr>
              <w:snapToGrid w:val="0"/>
              <w:spacing w:line="280" w:lineRule="exact"/>
              <w:jc w:val="center"/>
              <w:rPr>
                <w:rFonts w:ascii="仿宋" w:hAnsi="仿宋" w:eastAsia="仿宋"/>
                <w:sz w:val="21"/>
                <w:szCs w:val="21"/>
              </w:rPr>
            </w:pPr>
            <w:r>
              <w:rPr>
                <w:rFonts w:hint="eastAsia" w:ascii="仿宋" w:hAnsi="仿宋" w:eastAsia="仿宋"/>
                <w:sz w:val="21"/>
                <w:szCs w:val="21"/>
              </w:rPr>
              <w:t>数量</w:t>
            </w:r>
          </w:p>
          <w:p w14:paraId="1F5A8919">
            <w:pPr>
              <w:snapToGrid w:val="0"/>
              <w:spacing w:line="280" w:lineRule="exact"/>
              <w:jc w:val="center"/>
              <w:rPr>
                <w:rFonts w:ascii="仿宋" w:hAnsi="仿宋" w:eastAsia="仿宋"/>
                <w:sz w:val="21"/>
                <w:szCs w:val="21"/>
              </w:rPr>
            </w:pPr>
            <w:r>
              <w:rPr>
                <w:rFonts w:hint="eastAsia" w:ascii="仿宋" w:hAnsi="仿宋" w:eastAsia="仿宋"/>
                <w:sz w:val="21"/>
                <w:szCs w:val="21"/>
              </w:rPr>
              <w:t>（瓶）</w:t>
            </w:r>
          </w:p>
        </w:tc>
        <w:tc>
          <w:tcPr>
            <w:tcW w:w="1125" w:type="dxa"/>
            <w:tcBorders>
              <w:top w:val="single" w:color="auto" w:sz="4" w:space="0"/>
              <w:left w:val="single" w:color="auto" w:sz="4" w:space="0"/>
              <w:bottom w:val="single" w:color="auto" w:sz="4" w:space="0"/>
              <w:right w:val="single" w:color="auto" w:sz="4" w:space="0"/>
            </w:tcBorders>
            <w:vAlign w:val="center"/>
          </w:tcPr>
          <w:p w14:paraId="2B56495C">
            <w:pPr>
              <w:snapToGrid w:val="0"/>
              <w:spacing w:line="280" w:lineRule="exact"/>
              <w:jc w:val="center"/>
              <w:rPr>
                <w:rFonts w:ascii="仿宋" w:hAnsi="仿宋" w:eastAsia="仿宋"/>
                <w:sz w:val="21"/>
                <w:szCs w:val="21"/>
              </w:rPr>
            </w:pPr>
            <w:r>
              <w:rPr>
                <w:rFonts w:hint="eastAsia" w:ascii="仿宋" w:hAnsi="仿宋" w:eastAsia="仿宋"/>
                <w:sz w:val="21"/>
                <w:szCs w:val="21"/>
              </w:rPr>
              <w:t>药剂充</w:t>
            </w:r>
          </w:p>
          <w:p w14:paraId="6E4202B3">
            <w:pPr>
              <w:snapToGrid w:val="0"/>
              <w:spacing w:line="280" w:lineRule="exact"/>
              <w:jc w:val="center"/>
              <w:rPr>
                <w:rFonts w:ascii="仿宋" w:hAnsi="仿宋" w:eastAsia="仿宋"/>
                <w:sz w:val="21"/>
                <w:szCs w:val="21"/>
              </w:rPr>
            </w:pPr>
            <w:r>
              <w:rPr>
                <w:rFonts w:hint="eastAsia" w:ascii="仿宋" w:hAnsi="仿宋" w:eastAsia="仿宋"/>
                <w:sz w:val="21"/>
                <w:szCs w:val="21"/>
              </w:rPr>
              <w:t>装量（kg）</w:t>
            </w:r>
          </w:p>
        </w:tc>
        <w:tc>
          <w:tcPr>
            <w:tcW w:w="1552" w:type="dxa"/>
            <w:tcBorders>
              <w:top w:val="single" w:color="auto" w:sz="4" w:space="0"/>
              <w:left w:val="single" w:color="auto" w:sz="4" w:space="0"/>
              <w:bottom w:val="single" w:color="auto" w:sz="4" w:space="0"/>
              <w:right w:val="single" w:color="auto" w:sz="4" w:space="0"/>
            </w:tcBorders>
            <w:vAlign w:val="center"/>
          </w:tcPr>
          <w:p w14:paraId="56A77D2B">
            <w:pPr>
              <w:snapToGrid w:val="0"/>
              <w:spacing w:line="280" w:lineRule="exact"/>
              <w:jc w:val="center"/>
              <w:rPr>
                <w:rFonts w:ascii="仿宋" w:hAnsi="仿宋" w:eastAsia="仿宋"/>
                <w:sz w:val="21"/>
                <w:szCs w:val="21"/>
              </w:rPr>
            </w:pPr>
            <w:r>
              <w:rPr>
                <w:rFonts w:hint="eastAsia" w:ascii="仿宋" w:hAnsi="仿宋" w:eastAsia="仿宋"/>
                <w:sz w:val="21"/>
                <w:szCs w:val="21"/>
              </w:rPr>
              <w:t>型号</w:t>
            </w:r>
          </w:p>
        </w:tc>
        <w:tc>
          <w:tcPr>
            <w:tcW w:w="2790" w:type="dxa"/>
            <w:tcBorders>
              <w:top w:val="single" w:color="auto" w:sz="4" w:space="0"/>
              <w:left w:val="single" w:color="auto" w:sz="4" w:space="0"/>
              <w:bottom w:val="single" w:color="auto" w:sz="4" w:space="0"/>
              <w:right w:val="single" w:color="auto" w:sz="4" w:space="0"/>
            </w:tcBorders>
            <w:vAlign w:val="center"/>
          </w:tcPr>
          <w:p w14:paraId="617CA26F">
            <w:pPr>
              <w:snapToGrid w:val="0"/>
              <w:spacing w:line="280" w:lineRule="exact"/>
              <w:jc w:val="center"/>
              <w:rPr>
                <w:rFonts w:ascii="仿宋" w:hAnsi="仿宋" w:eastAsia="仿宋"/>
                <w:sz w:val="21"/>
                <w:szCs w:val="21"/>
              </w:rPr>
            </w:pPr>
            <w:r>
              <w:rPr>
                <w:rFonts w:hint="eastAsia" w:ascii="仿宋" w:hAnsi="仿宋" w:eastAsia="仿宋"/>
                <w:sz w:val="21"/>
                <w:szCs w:val="21"/>
              </w:rPr>
              <w:t>生产厂家</w:t>
            </w:r>
          </w:p>
        </w:tc>
      </w:tr>
      <w:tr w14:paraId="678C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449" w:type="dxa"/>
            <w:vMerge w:val="restart"/>
            <w:tcBorders>
              <w:top w:val="nil"/>
              <w:left w:val="single" w:color="auto" w:sz="4" w:space="0"/>
              <w:bottom w:val="single" w:color="auto" w:sz="4" w:space="0"/>
              <w:right w:val="single" w:color="auto" w:sz="4" w:space="0"/>
            </w:tcBorders>
            <w:vAlign w:val="center"/>
          </w:tcPr>
          <w:p w14:paraId="380F4136">
            <w:pPr>
              <w:snapToGrid w:val="0"/>
              <w:spacing w:line="280" w:lineRule="exact"/>
              <w:rPr>
                <w:rFonts w:hint="eastAsia" w:ascii="仿宋" w:hAnsi="仿宋" w:eastAsia="仿宋" w:cs="Times New Roman"/>
                <w:sz w:val="21"/>
                <w:szCs w:val="21"/>
              </w:rPr>
            </w:pPr>
            <w:r>
              <w:rPr>
                <w:rFonts w:hint="eastAsia" w:ascii="仿宋" w:hAnsi="仿宋" w:eastAsia="仿宋" w:cs="Times New Roman"/>
                <w:sz w:val="21"/>
                <w:szCs w:val="21"/>
              </w:rPr>
              <w:t>业务楼13楼计算机中心机房</w:t>
            </w:r>
          </w:p>
        </w:tc>
        <w:tc>
          <w:tcPr>
            <w:tcW w:w="1103" w:type="dxa"/>
            <w:tcBorders>
              <w:top w:val="single" w:color="auto" w:sz="4" w:space="0"/>
              <w:left w:val="single" w:color="auto" w:sz="4" w:space="0"/>
              <w:bottom w:val="single" w:color="auto" w:sz="4" w:space="0"/>
              <w:right w:val="single" w:color="auto" w:sz="4" w:space="0"/>
            </w:tcBorders>
            <w:vAlign w:val="center"/>
          </w:tcPr>
          <w:p w14:paraId="669C47D5">
            <w:pPr>
              <w:snapToGrid w:val="0"/>
              <w:spacing w:line="280" w:lineRule="exact"/>
              <w:jc w:val="center"/>
              <w:rPr>
                <w:rFonts w:ascii="仿宋" w:hAnsi="仿宋" w:eastAsia="仿宋"/>
                <w:sz w:val="21"/>
                <w:szCs w:val="21"/>
              </w:rPr>
            </w:pPr>
            <w:r>
              <w:rPr>
                <w:rFonts w:ascii="仿宋" w:hAnsi="仿宋" w:eastAsia="仿宋"/>
                <w:sz w:val="21"/>
                <w:szCs w:val="21"/>
              </w:rPr>
              <w:t>2</w:t>
            </w:r>
          </w:p>
        </w:tc>
        <w:tc>
          <w:tcPr>
            <w:tcW w:w="1125" w:type="dxa"/>
            <w:tcBorders>
              <w:top w:val="single" w:color="auto" w:sz="4" w:space="0"/>
              <w:left w:val="single" w:color="auto" w:sz="4" w:space="0"/>
              <w:bottom w:val="single" w:color="auto" w:sz="4" w:space="0"/>
              <w:right w:val="single" w:color="auto" w:sz="4" w:space="0"/>
            </w:tcBorders>
            <w:vAlign w:val="center"/>
          </w:tcPr>
          <w:p w14:paraId="788FAFDB">
            <w:pPr>
              <w:snapToGrid w:val="0"/>
              <w:spacing w:line="280" w:lineRule="exact"/>
              <w:jc w:val="center"/>
              <w:rPr>
                <w:rFonts w:ascii="仿宋" w:hAnsi="仿宋" w:eastAsia="仿宋"/>
                <w:sz w:val="21"/>
                <w:szCs w:val="21"/>
              </w:rPr>
            </w:pPr>
            <w:r>
              <w:rPr>
                <w:rFonts w:hint="eastAsia" w:ascii="仿宋" w:hAnsi="仿宋" w:eastAsia="仿宋"/>
                <w:sz w:val="21"/>
                <w:szCs w:val="21"/>
              </w:rPr>
              <w:t>8</w:t>
            </w:r>
            <w:r>
              <w:rPr>
                <w:rFonts w:ascii="仿宋" w:hAnsi="仿宋" w:eastAsia="仿宋"/>
                <w:sz w:val="21"/>
                <w:szCs w:val="21"/>
              </w:rPr>
              <w:t>8</w:t>
            </w:r>
          </w:p>
        </w:tc>
        <w:tc>
          <w:tcPr>
            <w:tcW w:w="1552" w:type="dxa"/>
            <w:tcBorders>
              <w:top w:val="single" w:color="auto" w:sz="4" w:space="0"/>
              <w:left w:val="single" w:color="auto" w:sz="4" w:space="0"/>
              <w:bottom w:val="single" w:color="auto" w:sz="4" w:space="0"/>
              <w:right w:val="single" w:color="auto" w:sz="4" w:space="0"/>
            </w:tcBorders>
            <w:vAlign w:val="center"/>
          </w:tcPr>
          <w:p w14:paraId="70476739">
            <w:pPr>
              <w:snapToGrid w:val="0"/>
              <w:spacing w:line="280" w:lineRule="exact"/>
              <w:jc w:val="center"/>
              <w:rPr>
                <w:rFonts w:ascii="仿宋" w:hAnsi="仿宋" w:eastAsia="仿宋"/>
                <w:sz w:val="21"/>
                <w:szCs w:val="21"/>
              </w:rPr>
            </w:pPr>
            <w:r>
              <w:rPr>
                <w:rFonts w:ascii="仿宋" w:hAnsi="仿宋" w:eastAsia="仿宋"/>
                <w:sz w:val="21"/>
                <w:szCs w:val="21"/>
              </w:rPr>
              <w:t>GQQ90/2.5-XL</w:t>
            </w:r>
          </w:p>
        </w:tc>
        <w:tc>
          <w:tcPr>
            <w:tcW w:w="2790" w:type="dxa"/>
            <w:tcBorders>
              <w:top w:val="single" w:color="auto" w:sz="4" w:space="0"/>
              <w:left w:val="single" w:color="auto" w:sz="4" w:space="0"/>
              <w:bottom w:val="single" w:color="auto" w:sz="4" w:space="0"/>
              <w:right w:val="single" w:color="auto" w:sz="4" w:space="0"/>
            </w:tcBorders>
            <w:vAlign w:val="center"/>
          </w:tcPr>
          <w:p w14:paraId="1B78783C">
            <w:pPr>
              <w:snapToGrid w:val="0"/>
              <w:spacing w:line="280" w:lineRule="exact"/>
              <w:jc w:val="center"/>
              <w:rPr>
                <w:rFonts w:ascii="仿宋" w:hAnsi="仿宋" w:eastAsia="仿宋"/>
                <w:sz w:val="21"/>
                <w:szCs w:val="21"/>
              </w:rPr>
            </w:pPr>
            <w:r>
              <w:rPr>
                <w:rStyle w:val="46"/>
                <w:rFonts w:hint="eastAsia" w:ascii="仿宋" w:hAnsi="仿宋" w:eastAsia="仿宋"/>
                <w:sz w:val="21"/>
                <w:szCs w:val="21"/>
              </w:rPr>
              <w:t>浙江信达可恩消防实业有限公司</w:t>
            </w:r>
          </w:p>
        </w:tc>
      </w:tr>
      <w:tr w14:paraId="7140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449" w:type="dxa"/>
            <w:vMerge w:val="continue"/>
            <w:tcBorders>
              <w:top w:val="nil"/>
              <w:left w:val="single" w:color="auto" w:sz="4" w:space="0"/>
              <w:bottom w:val="single" w:color="auto" w:sz="4" w:space="0"/>
              <w:right w:val="single" w:color="auto" w:sz="4" w:space="0"/>
            </w:tcBorders>
            <w:vAlign w:val="center"/>
          </w:tcPr>
          <w:p w14:paraId="7F59876D">
            <w:pPr>
              <w:snapToGrid w:val="0"/>
              <w:spacing w:line="280" w:lineRule="exact"/>
              <w:rPr>
                <w:rFonts w:hint="eastAsia" w:ascii="仿宋" w:hAnsi="仿宋" w:eastAsia="仿宋" w:cs="Times New Roman"/>
                <w:sz w:val="21"/>
                <w:szCs w:val="21"/>
              </w:rPr>
            </w:pPr>
          </w:p>
        </w:tc>
        <w:tc>
          <w:tcPr>
            <w:tcW w:w="1103" w:type="dxa"/>
            <w:tcBorders>
              <w:top w:val="single" w:color="auto" w:sz="4" w:space="0"/>
              <w:left w:val="single" w:color="auto" w:sz="4" w:space="0"/>
              <w:bottom w:val="single" w:color="auto" w:sz="4" w:space="0"/>
              <w:right w:val="single" w:color="auto" w:sz="4" w:space="0"/>
            </w:tcBorders>
            <w:vAlign w:val="center"/>
          </w:tcPr>
          <w:p w14:paraId="408C0710">
            <w:pPr>
              <w:snapToGrid w:val="0"/>
              <w:spacing w:line="280" w:lineRule="exact"/>
              <w:jc w:val="center"/>
              <w:rPr>
                <w:rFonts w:ascii="仿宋" w:hAnsi="仿宋" w:eastAsia="仿宋"/>
                <w:sz w:val="21"/>
                <w:szCs w:val="21"/>
              </w:rPr>
            </w:pPr>
            <w:r>
              <w:rPr>
                <w:rFonts w:hint="eastAsia" w:ascii="仿宋" w:hAnsi="仿宋" w:eastAsia="仿宋"/>
                <w:sz w:val="21"/>
                <w:szCs w:val="21"/>
              </w:rPr>
              <w:t>1</w:t>
            </w:r>
          </w:p>
        </w:tc>
        <w:tc>
          <w:tcPr>
            <w:tcW w:w="1125" w:type="dxa"/>
            <w:tcBorders>
              <w:top w:val="single" w:color="auto" w:sz="4" w:space="0"/>
              <w:left w:val="single" w:color="auto" w:sz="4" w:space="0"/>
              <w:bottom w:val="single" w:color="auto" w:sz="4" w:space="0"/>
              <w:right w:val="single" w:color="auto" w:sz="4" w:space="0"/>
            </w:tcBorders>
            <w:vAlign w:val="center"/>
          </w:tcPr>
          <w:p w14:paraId="41BAD5E0">
            <w:pPr>
              <w:snapToGrid w:val="0"/>
              <w:spacing w:line="280" w:lineRule="exact"/>
              <w:jc w:val="center"/>
              <w:rPr>
                <w:rFonts w:ascii="仿宋" w:hAnsi="仿宋" w:eastAsia="仿宋"/>
                <w:sz w:val="21"/>
                <w:szCs w:val="21"/>
              </w:rPr>
            </w:pPr>
            <w:r>
              <w:rPr>
                <w:rFonts w:hint="eastAsia" w:ascii="仿宋" w:hAnsi="仿宋" w:eastAsia="仿宋"/>
                <w:sz w:val="21"/>
                <w:szCs w:val="21"/>
              </w:rPr>
              <w:t>2</w:t>
            </w:r>
            <w:r>
              <w:rPr>
                <w:rFonts w:ascii="仿宋" w:hAnsi="仿宋" w:eastAsia="仿宋"/>
                <w:sz w:val="21"/>
                <w:szCs w:val="21"/>
              </w:rPr>
              <w:t>8</w:t>
            </w:r>
          </w:p>
        </w:tc>
        <w:tc>
          <w:tcPr>
            <w:tcW w:w="1552" w:type="dxa"/>
            <w:tcBorders>
              <w:top w:val="single" w:color="auto" w:sz="4" w:space="0"/>
              <w:left w:val="single" w:color="auto" w:sz="4" w:space="0"/>
              <w:bottom w:val="single" w:color="auto" w:sz="4" w:space="0"/>
              <w:right w:val="single" w:color="auto" w:sz="4" w:space="0"/>
            </w:tcBorders>
            <w:vAlign w:val="center"/>
          </w:tcPr>
          <w:p w14:paraId="173B0413">
            <w:pPr>
              <w:snapToGrid w:val="0"/>
              <w:spacing w:line="280" w:lineRule="exact"/>
              <w:jc w:val="center"/>
              <w:rPr>
                <w:rFonts w:ascii="仿宋" w:hAnsi="仿宋" w:eastAsia="仿宋"/>
                <w:sz w:val="21"/>
                <w:szCs w:val="21"/>
              </w:rPr>
            </w:pPr>
            <w:r>
              <w:rPr>
                <w:rFonts w:ascii="仿宋" w:hAnsi="仿宋" w:eastAsia="仿宋"/>
                <w:sz w:val="21"/>
                <w:szCs w:val="21"/>
              </w:rPr>
              <w:t>GQQ40/2.5-XL</w:t>
            </w:r>
          </w:p>
        </w:tc>
        <w:tc>
          <w:tcPr>
            <w:tcW w:w="2790" w:type="dxa"/>
            <w:tcBorders>
              <w:top w:val="single" w:color="auto" w:sz="4" w:space="0"/>
              <w:left w:val="single" w:color="auto" w:sz="4" w:space="0"/>
              <w:bottom w:val="single" w:color="auto" w:sz="4" w:space="0"/>
              <w:right w:val="single" w:color="auto" w:sz="4" w:space="0"/>
            </w:tcBorders>
            <w:vAlign w:val="center"/>
          </w:tcPr>
          <w:p w14:paraId="6121D05A">
            <w:pPr>
              <w:snapToGrid w:val="0"/>
              <w:spacing w:line="280" w:lineRule="exact"/>
              <w:jc w:val="center"/>
              <w:rPr>
                <w:rFonts w:ascii="仿宋" w:hAnsi="仿宋" w:eastAsia="仿宋"/>
                <w:sz w:val="21"/>
                <w:szCs w:val="21"/>
              </w:rPr>
            </w:pPr>
            <w:r>
              <w:rPr>
                <w:rStyle w:val="46"/>
                <w:rFonts w:hint="eastAsia" w:ascii="仿宋" w:hAnsi="仿宋" w:eastAsia="仿宋"/>
                <w:sz w:val="21"/>
                <w:szCs w:val="21"/>
              </w:rPr>
              <w:t>浙江信达可恩消防实业有限公司</w:t>
            </w:r>
          </w:p>
        </w:tc>
      </w:tr>
      <w:tr w14:paraId="5036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449" w:type="dxa"/>
            <w:vMerge w:val="restart"/>
            <w:tcBorders>
              <w:top w:val="single" w:color="auto" w:sz="4" w:space="0"/>
              <w:left w:val="single" w:color="auto" w:sz="4" w:space="0"/>
              <w:bottom w:val="single" w:color="auto" w:sz="4" w:space="0"/>
              <w:right w:val="single" w:color="auto" w:sz="4" w:space="0"/>
            </w:tcBorders>
            <w:vAlign w:val="center"/>
          </w:tcPr>
          <w:p w14:paraId="30298947">
            <w:pPr>
              <w:snapToGrid w:val="0"/>
              <w:spacing w:line="280" w:lineRule="exact"/>
              <w:rPr>
                <w:rFonts w:hint="eastAsia" w:ascii="仿宋" w:hAnsi="仿宋" w:eastAsia="仿宋" w:cs="Times New Roman"/>
                <w:sz w:val="21"/>
                <w:szCs w:val="21"/>
              </w:rPr>
            </w:pPr>
            <w:r>
              <w:rPr>
                <w:rFonts w:hint="eastAsia" w:ascii="仿宋" w:hAnsi="仿宋" w:eastAsia="仿宋" w:cs="Times New Roman"/>
                <w:sz w:val="21"/>
                <w:szCs w:val="21"/>
              </w:rPr>
              <w:t>医技保障楼4层1、2档案室</w:t>
            </w:r>
          </w:p>
        </w:tc>
        <w:tc>
          <w:tcPr>
            <w:tcW w:w="1103" w:type="dxa"/>
            <w:tcBorders>
              <w:top w:val="single" w:color="auto" w:sz="4" w:space="0"/>
              <w:left w:val="single" w:color="auto" w:sz="4" w:space="0"/>
              <w:bottom w:val="single" w:color="auto" w:sz="4" w:space="0"/>
              <w:right w:val="single" w:color="auto" w:sz="4" w:space="0"/>
            </w:tcBorders>
            <w:vAlign w:val="center"/>
          </w:tcPr>
          <w:p w14:paraId="70527CCB">
            <w:pPr>
              <w:snapToGrid w:val="0"/>
              <w:spacing w:line="280" w:lineRule="exact"/>
              <w:jc w:val="center"/>
              <w:rPr>
                <w:rFonts w:ascii="仿宋" w:hAnsi="仿宋" w:eastAsia="仿宋"/>
                <w:sz w:val="21"/>
                <w:szCs w:val="21"/>
              </w:rPr>
            </w:pPr>
            <w:r>
              <w:rPr>
                <w:rFonts w:hint="eastAsia" w:ascii="仿宋" w:hAnsi="仿宋" w:eastAsia="仿宋"/>
                <w:sz w:val="21"/>
                <w:szCs w:val="21"/>
              </w:rPr>
              <w:t>5</w:t>
            </w:r>
          </w:p>
        </w:tc>
        <w:tc>
          <w:tcPr>
            <w:tcW w:w="1125" w:type="dxa"/>
            <w:tcBorders>
              <w:top w:val="single" w:color="auto" w:sz="4" w:space="0"/>
              <w:left w:val="single" w:color="auto" w:sz="4" w:space="0"/>
              <w:bottom w:val="single" w:color="auto" w:sz="4" w:space="0"/>
              <w:right w:val="single" w:color="auto" w:sz="4" w:space="0"/>
            </w:tcBorders>
            <w:vAlign w:val="center"/>
          </w:tcPr>
          <w:p w14:paraId="23105105">
            <w:pPr>
              <w:snapToGrid w:val="0"/>
              <w:spacing w:line="280" w:lineRule="exact"/>
              <w:jc w:val="center"/>
              <w:rPr>
                <w:rFonts w:ascii="仿宋" w:hAnsi="仿宋" w:eastAsia="仿宋"/>
                <w:sz w:val="21"/>
                <w:szCs w:val="21"/>
              </w:rPr>
            </w:pPr>
            <w:r>
              <w:rPr>
                <w:rFonts w:hint="eastAsia" w:ascii="仿宋" w:hAnsi="仿宋" w:eastAsia="仿宋"/>
                <w:sz w:val="21"/>
                <w:szCs w:val="21"/>
              </w:rPr>
              <w:t>6</w:t>
            </w:r>
            <w:r>
              <w:rPr>
                <w:rFonts w:ascii="仿宋" w:hAnsi="仿宋" w:eastAsia="仿宋"/>
                <w:sz w:val="21"/>
                <w:szCs w:val="21"/>
              </w:rPr>
              <w:t>7</w:t>
            </w:r>
          </w:p>
        </w:tc>
        <w:tc>
          <w:tcPr>
            <w:tcW w:w="1552" w:type="dxa"/>
            <w:tcBorders>
              <w:top w:val="single" w:color="auto" w:sz="4" w:space="0"/>
              <w:left w:val="single" w:color="auto" w:sz="4" w:space="0"/>
              <w:bottom w:val="single" w:color="auto" w:sz="4" w:space="0"/>
              <w:right w:val="single" w:color="auto" w:sz="4" w:space="0"/>
            </w:tcBorders>
            <w:vAlign w:val="center"/>
          </w:tcPr>
          <w:p w14:paraId="16BD2046">
            <w:pPr>
              <w:snapToGrid w:val="0"/>
              <w:spacing w:line="280" w:lineRule="exact"/>
              <w:jc w:val="center"/>
              <w:rPr>
                <w:rFonts w:ascii="仿宋" w:hAnsi="仿宋" w:eastAsia="仿宋"/>
                <w:sz w:val="21"/>
                <w:szCs w:val="21"/>
              </w:rPr>
            </w:pPr>
            <w:r>
              <w:rPr>
                <w:rFonts w:ascii="仿宋" w:hAnsi="仿宋" w:eastAsia="仿宋"/>
                <w:sz w:val="21"/>
                <w:szCs w:val="21"/>
              </w:rPr>
              <w:t>GQQ70/2.5-XL</w:t>
            </w:r>
          </w:p>
        </w:tc>
        <w:tc>
          <w:tcPr>
            <w:tcW w:w="2790" w:type="dxa"/>
            <w:tcBorders>
              <w:top w:val="single" w:color="auto" w:sz="4" w:space="0"/>
              <w:left w:val="single" w:color="auto" w:sz="4" w:space="0"/>
              <w:bottom w:val="single" w:color="auto" w:sz="4" w:space="0"/>
              <w:right w:val="single" w:color="auto" w:sz="4" w:space="0"/>
            </w:tcBorders>
            <w:vAlign w:val="center"/>
          </w:tcPr>
          <w:p w14:paraId="75EFC97E">
            <w:pPr>
              <w:snapToGrid w:val="0"/>
              <w:spacing w:line="280" w:lineRule="exact"/>
              <w:jc w:val="center"/>
              <w:rPr>
                <w:rStyle w:val="46"/>
              </w:rPr>
            </w:pPr>
            <w:r>
              <w:rPr>
                <w:rStyle w:val="46"/>
                <w:rFonts w:hint="eastAsia" w:ascii="仿宋" w:hAnsi="仿宋" w:eastAsia="仿宋"/>
                <w:sz w:val="21"/>
                <w:szCs w:val="21"/>
              </w:rPr>
              <w:t>江西博海消防设备有限公司</w:t>
            </w:r>
          </w:p>
        </w:tc>
      </w:tr>
      <w:tr w14:paraId="6577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449" w:type="dxa"/>
            <w:vMerge w:val="continue"/>
            <w:tcBorders>
              <w:top w:val="nil"/>
              <w:left w:val="single" w:color="auto" w:sz="4" w:space="0"/>
              <w:bottom w:val="single" w:color="auto" w:sz="4" w:space="0"/>
              <w:right w:val="single" w:color="auto" w:sz="4" w:space="0"/>
            </w:tcBorders>
            <w:vAlign w:val="center"/>
          </w:tcPr>
          <w:p w14:paraId="57C1E391">
            <w:pPr>
              <w:snapToGrid w:val="0"/>
              <w:spacing w:line="280" w:lineRule="exact"/>
              <w:rPr>
                <w:rFonts w:hint="eastAsia" w:ascii="仿宋" w:hAnsi="仿宋" w:eastAsia="仿宋" w:cs="Times New Roman"/>
                <w:sz w:val="21"/>
                <w:szCs w:val="21"/>
              </w:rPr>
            </w:pPr>
          </w:p>
        </w:tc>
        <w:tc>
          <w:tcPr>
            <w:tcW w:w="1103" w:type="dxa"/>
            <w:tcBorders>
              <w:top w:val="single" w:color="auto" w:sz="4" w:space="0"/>
              <w:left w:val="single" w:color="auto" w:sz="4" w:space="0"/>
              <w:bottom w:val="single" w:color="auto" w:sz="4" w:space="0"/>
              <w:right w:val="single" w:color="auto" w:sz="4" w:space="0"/>
            </w:tcBorders>
            <w:vAlign w:val="center"/>
          </w:tcPr>
          <w:p w14:paraId="08C9BA52">
            <w:pPr>
              <w:snapToGrid w:val="0"/>
              <w:spacing w:line="280" w:lineRule="exact"/>
              <w:jc w:val="center"/>
              <w:rPr>
                <w:rFonts w:ascii="仿宋" w:hAnsi="仿宋" w:eastAsia="仿宋"/>
                <w:sz w:val="21"/>
                <w:szCs w:val="21"/>
              </w:rPr>
            </w:pPr>
            <w:r>
              <w:rPr>
                <w:rFonts w:hint="eastAsia" w:ascii="仿宋" w:hAnsi="仿宋" w:eastAsia="仿宋"/>
                <w:sz w:val="21"/>
                <w:szCs w:val="21"/>
              </w:rPr>
              <w:t>2</w:t>
            </w:r>
          </w:p>
        </w:tc>
        <w:tc>
          <w:tcPr>
            <w:tcW w:w="1125" w:type="dxa"/>
            <w:tcBorders>
              <w:top w:val="single" w:color="auto" w:sz="4" w:space="0"/>
              <w:left w:val="single" w:color="auto" w:sz="4" w:space="0"/>
              <w:bottom w:val="single" w:color="auto" w:sz="4" w:space="0"/>
              <w:right w:val="single" w:color="auto" w:sz="4" w:space="0"/>
            </w:tcBorders>
            <w:vAlign w:val="center"/>
          </w:tcPr>
          <w:p w14:paraId="1B800F9B">
            <w:pPr>
              <w:autoSpaceDE w:val="0"/>
              <w:snapToGrid w:val="0"/>
              <w:spacing w:line="280" w:lineRule="exact"/>
              <w:jc w:val="center"/>
              <w:rPr>
                <w:rFonts w:ascii="仿宋" w:hAnsi="仿宋" w:eastAsia="仿宋"/>
                <w:sz w:val="21"/>
                <w:szCs w:val="21"/>
              </w:rPr>
            </w:pPr>
            <w:r>
              <w:rPr>
                <w:rFonts w:hint="eastAsia" w:ascii="仿宋" w:hAnsi="仿宋" w:eastAsia="仿宋"/>
                <w:sz w:val="21"/>
                <w:szCs w:val="21"/>
              </w:rPr>
              <w:t>8</w:t>
            </w:r>
            <w:r>
              <w:rPr>
                <w:rFonts w:ascii="仿宋" w:hAnsi="仿宋" w:eastAsia="仿宋"/>
                <w:sz w:val="21"/>
                <w:szCs w:val="21"/>
              </w:rPr>
              <w:t>7</w:t>
            </w:r>
          </w:p>
        </w:tc>
        <w:tc>
          <w:tcPr>
            <w:tcW w:w="1552" w:type="dxa"/>
            <w:tcBorders>
              <w:top w:val="single" w:color="auto" w:sz="4" w:space="0"/>
              <w:left w:val="single" w:color="auto" w:sz="4" w:space="0"/>
              <w:bottom w:val="single" w:color="auto" w:sz="4" w:space="0"/>
              <w:right w:val="single" w:color="auto" w:sz="4" w:space="0"/>
            </w:tcBorders>
            <w:vAlign w:val="center"/>
          </w:tcPr>
          <w:p w14:paraId="2003BDBC">
            <w:pPr>
              <w:snapToGrid w:val="0"/>
              <w:spacing w:line="280" w:lineRule="exact"/>
              <w:jc w:val="center"/>
              <w:rPr>
                <w:rFonts w:ascii="仿宋" w:hAnsi="仿宋" w:eastAsia="仿宋"/>
                <w:sz w:val="21"/>
                <w:szCs w:val="21"/>
              </w:rPr>
            </w:pPr>
            <w:r>
              <w:rPr>
                <w:rFonts w:ascii="仿宋" w:hAnsi="仿宋" w:eastAsia="仿宋"/>
                <w:sz w:val="21"/>
                <w:szCs w:val="21"/>
              </w:rPr>
              <w:t>GQQ90/2.5-XL</w:t>
            </w:r>
          </w:p>
        </w:tc>
        <w:tc>
          <w:tcPr>
            <w:tcW w:w="2790" w:type="dxa"/>
            <w:tcBorders>
              <w:top w:val="single" w:color="auto" w:sz="4" w:space="0"/>
              <w:left w:val="single" w:color="auto" w:sz="4" w:space="0"/>
              <w:bottom w:val="single" w:color="auto" w:sz="4" w:space="0"/>
              <w:right w:val="single" w:color="auto" w:sz="4" w:space="0"/>
            </w:tcBorders>
            <w:vAlign w:val="center"/>
          </w:tcPr>
          <w:p w14:paraId="45E72FA2">
            <w:pPr>
              <w:snapToGrid w:val="0"/>
              <w:spacing w:line="280" w:lineRule="exact"/>
              <w:jc w:val="center"/>
              <w:rPr>
                <w:rStyle w:val="46"/>
              </w:rPr>
            </w:pPr>
            <w:r>
              <w:rPr>
                <w:rStyle w:val="46"/>
                <w:rFonts w:hint="eastAsia" w:ascii="仿宋" w:hAnsi="仿宋" w:eastAsia="仿宋"/>
                <w:sz w:val="21"/>
                <w:szCs w:val="21"/>
              </w:rPr>
              <w:t>江西博海消防设备有限公司</w:t>
            </w:r>
          </w:p>
        </w:tc>
      </w:tr>
      <w:tr w14:paraId="394C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449" w:type="dxa"/>
            <w:vMerge w:val="restart"/>
            <w:tcBorders>
              <w:top w:val="single" w:color="auto" w:sz="4" w:space="0"/>
              <w:left w:val="single" w:color="auto" w:sz="4" w:space="0"/>
              <w:bottom w:val="single" w:color="auto" w:sz="4" w:space="0"/>
              <w:right w:val="single" w:color="auto" w:sz="4" w:space="0"/>
            </w:tcBorders>
            <w:vAlign w:val="center"/>
          </w:tcPr>
          <w:p w14:paraId="08C5ADCD">
            <w:pPr>
              <w:snapToGrid w:val="0"/>
              <w:spacing w:line="280" w:lineRule="exact"/>
              <w:rPr>
                <w:rFonts w:hint="eastAsia" w:ascii="仿宋" w:hAnsi="仿宋" w:eastAsia="仿宋" w:cs="Times New Roman"/>
                <w:sz w:val="21"/>
                <w:szCs w:val="21"/>
              </w:rPr>
            </w:pPr>
            <w:r>
              <w:rPr>
                <w:rFonts w:hint="eastAsia" w:ascii="仿宋" w:hAnsi="仿宋" w:eastAsia="仿宋" w:cs="Times New Roman"/>
                <w:sz w:val="21"/>
                <w:szCs w:val="21"/>
              </w:rPr>
              <w:t>医技保障楼3层DR检查室</w:t>
            </w:r>
          </w:p>
        </w:tc>
        <w:tc>
          <w:tcPr>
            <w:tcW w:w="1103" w:type="dxa"/>
            <w:tcBorders>
              <w:top w:val="single" w:color="auto" w:sz="4" w:space="0"/>
              <w:left w:val="single" w:color="auto" w:sz="4" w:space="0"/>
              <w:bottom w:val="single" w:color="auto" w:sz="4" w:space="0"/>
              <w:right w:val="single" w:color="auto" w:sz="4" w:space="0"/>
            </w:tcBorders>
            <w:vAlign w:val="center"/>
          </w:tcPr>
          <w:p w14:paraId="5FD160E7">
            <w:pPr>
              <w:snapToGrid w:val="0"/>
              <w:spacing w:line="280" w:lineRule="exact"/>
              <w:jc w:val="center"/>
              <w:rPr>
                <w:rFonts w:ascii="仿宋" w:hAnsi="仿宋" w:eastAsia="仿宋"/>
                <w:sz w:val="21"/>
                <w:szCs w:val="21"/>
              </w:rPr>
            </w:pPr>
            <w:r>
              <w:rPr>
                <w:rFonts w:hint="eastAsia" w:ascii="仿宋" w:hAnsi="仿宋" w:eastAsia="仿宋"/>
                <w:sz w:val="21"/>
                <w:szCs w:val="21"/>
              </w:rPr>
              <w:t>1</w:t>
            </w:r>
          </w:p>
        </w:tc>
        <w:tc>
          <w:tcPr>
            <w:tcW w:w="1125" w:type="dxa"/>
            <w:tcBorders>
              <w:top w:val="single" w:color="auto" w:sz="4" w:space="0"/>
              <w:left w:val="single" w:color="auto" w:sz="4" w:space="0"/>
              <w:bottom w:val="single" w:color="auto" w:sz="4" w:space="0"/>
              <w:right w:val="single" w:color="auto" w:sz="4" w:space="0"/>
            </w:tcBorders>
            <w:vAlign w:val="center"/>
          </w:tcPr>
          <w:p w14:paraId="6980BDC4">
            <w:pPr>
              <w:autoSpaceDE w:val="0"/>
              <w:snapToGrid w:val="0"/>
              <w:spacing w:line="280" w:lineRule="exact"/>
              <w:jc w:val="center"/>
              <w:rPr>
                <w:rFonts w:ascii="仿宋" w:hAnsi="仿宋" w:eastAsia="仿宋"/>
                <w:sz w:val="21"/>
                <w:szCs w:val="21"/>
              </w:rPr>
            </w:pPr>
            <w:r>
              <w:rPr>
                <w:rFonts w:hint="eastAsia" w:ascii="仿宋" w:hAnsi="仿宋" w:eastAsia="仿宋"/>
                <w:sz w:val="21"/>
                <w:szCs w:val="21"/>
              </w:rPr>
              <w:t>6</w:t>
            </w:r>
            <w:r>
              <w:rPr>
                <w:rFonts w:ascii="仿宋" w:hAnsi="仿宋" w:eastAsia="仿宋"/>
                <w:sz w:val="21"/>
                <w:szCs w:val="21"/>
              </w:rPr>
              <w:t>7</w:t>
            </w:r>
          </w:p>
        </w:tc>
        <w:tc>
          <w:tcPr>
            <w:tcW w:w="1552" w:type="dxa"/>
            <w:tcBorders>
              <w:top w:val="single" w:color="auto" w:sz="4" w:space="0"/>
              <w:left w:val="single" w:color="auto" w:sz="4" w:space="0"/>
              <w:bottom w:val="single" w:color="auto" w:sz="4" w:space="0"/>
              <w:right w:val="single" w:color="auto" w:sz="4" w:space="0"/>
            </w:tcBorders>
            <w:vAlign w:val="center"/>
          </w:tcPr>
          <w:p w14:paraId="6C9E5C47">
            <w:pPr>
              <w:snapToGrid w:val="0"/>
              <w:spacing w:line="280" w:lineRule="exact"/>
              <w:jc w:val="center"/>
              <w:rPr>
                <w:rFonts w:ascii="仿宋" w:hAnsi="仿宋" w:eastAsia="仿宋"/>
                <w:sz w:val="21"/>
                <w:szCs w:val="21"/>
              </w:rPr>
            </w:pPr>
            <w:r>
              <w:rPr>
                <w:rFonts w:ascii="仿宋" w:hAnsi="仿宋" w:eastAsia="仿宋"/>
                <w:sz w:val="21"/>
                <w:szCs w:val="21"/>
              </w:rPr>
              <w:t>GQQ70/2.5-XL</w:t>
            </w:r>
          </w:p>
        </w:tc>
        <w:tc>
          <w:tcPr>
            <w:tcW w:w="2790" w:type="dxa"/>
            <w:tcBorders>
              <w:top w:val="single" w:color="auto" w:sz="4" w:space="0"/>
              <w:left w:val="single" w:color="auto" w:sz="4" w:space="0"/>
              <w:bottom w:val="single" w:color="auto" w:sz="4" w:space="0"/>
              <w:right w:val="single" w:color="auto" w:sz="4" w:space="0"/>
            </w:tcBorders>
            <w:vAlign w:val="center"/>
          </w:tcPr>
          <w:p w14:paraId="1537E653">
            <w:pPr>
              <w:snapToGrid w:val="0"/>
              <w:spacing w:line="280" w:lineRule="exact"/>
              <w:jc w:val="center"/>
              <w:rPr>
                <w:rStyle w:val="46"/>
              </w:rPr>
            </w:pPr>
            <w:r>
              <w:rPr>
                <w:rStyle w:val="46"/>
                <w:rFonts w:hint="eastAsia" w:ascii="仿宋" w:hAnsi="仿宋" w:eastAsia="仿宋"/>
                <w:sz w:val="21"/>
                <w:szCs w:val="21"/>
              </w:rPr>
              <w:t>江西博海消防设备有限公司</w:t>
            </w:r>
          </w:p>
        </w:tc>
      </w:tr>
      <w:tr w14:paraId="2A563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449" w:type="dxa"/>
            <w:vMerge w:val="continue"/>
            <w:tcBorders>
              <w:top w:val="nil"/>
              <w:left w:val="single" w:color="auto" w:sz="4" w:space="0"/>
              <w:bottom w:val="single" w:color="auto" w:sz="4" w:space="0"/>
              <w:right w:val="single" w:color="auto" w:sz="4" w:space="0"/>
            </w:tcBorders>
            <w:vAlign w:val="center"/>
          </w:tcPr>
          <w:p w14:paraId="68FA04FF">
            <w:pPr>
              <w:spacing w:line="280" w:lineRule="exact"/>
              <w:rPr>
                <w:rFonts w:ascii="仿宋" w:hAnsi="仿宋" w:eastAsia="仿宋"/>
                <w:kern w:val="2"/>
                <w:sz w:val="21"/>
                <w:szCs w:val="21"/>
              </w:rPr>
            </w:pPr>
          </w:p>
        </w:tc>
        <w:tc>
          <w:tcPr>
            <w:tcW w:w="1103" w:type="dxa"/>
            <w:tcBorders>
              <w:top w:val="single" w:color="auto" w:sz="4" w:space="0"/>
              <w:left w:val="single" w:color="auto" w:sz="4" w:space="0"/>
              <w:bottom w:val="single" w:color="auto" w:sz="4" w:space="0"/>
              <w:right w:val="single" w:color="auto" w:sz="4" w:space="0"/>
            </w:tcBorders>
            <w:vAlign w:val="center"/>
          </w:tcPr>
          <w:p w14:paraId="424FEF7B">
            <w:pPr>
              <w:snapToGrid w:val="0"/>
              <w:spacing w:line="280" w:lineRule="exact"/>
              <w:jc w:val="center"/>
              <w:rPr>
                <w:rFonts w:ascii="仿宋" w:hAnsi="仿宋" w:eastAsia="仿宋"/>
                <w:sz w:val="21"/>
                <w:szCs w:val="21"/>
              </w:rPr>
            </w:pPr>
            <w:r>
              <w:rPr>
                <w:rFonts w:hint="eastAsia" w:ascii="仿宋" w:hAnsi="仿宋" w:eastAsia="仿宋"/>
                <w:sz w:val="21"/>
                <w:szCs w:val="21"/>
              </w:rPr>
              <w:t>1</w:t>
            </w:r>
          </w:p>
        </w:tc>
        <w:tc>
          <w:tcPr>
            <w:tcW w:w="1125" w:type="dxa"/>
            <w:tcBorders>
              <w:top w:val="single" w:color="auto" w:sz="4" w:space="0"/>
              <w:left w:val="single" w:color="auto" w:sz="4" w:space="0"/>
              <w:bottom w:val="single" w:color="auto" w:sz="4" w:space="0"/>
              <w:right w:val="single" w:color="auto" w:sz="4" w:space="0"/>
            </w:tcBorders>
            <w:vAlign w:val="center"/>
          </w:tcPr>
          <w:p w14:paraId="1F31D88A">
            <w:pPr>
              <w:autoSpaceDE w:val="0"/>
              <w:snapToGrid w:val="0"/>
              <w:spacing w:line="280" w:lineRule="exact"/>
              <w:jc w:val="center"/>
              <w:rPr>
                <w:rFonts w:ascii="仿宋" w:hAnsi="仿宋" w:eastAsia="仿宋"/>
                <w:sz w:val="21"/>
                <w:szCs w:val="21"/>
              </w:rPr>
            </w:pPr>
            <w:r>
              <w:rPr>
                <w:rFonts w:hint="eastAsia" w:ascii="仿宋" w:hAnsi="仿宋" w:eastAsia="仿宋"/>
                <w:sz w:val="21"/>
                <w:szCs w:val="21"/>
              </w:rPr>
              <w:t>8</w:t>
            </w:r>
            <w:r>
              <w:rPr>
                <w:rFonts w:ascii="仿宋" w:hAnsi="仿宋" w:eastAsia="仿宋"/>
                <w:sz w:val="21"/>
                <w:szCs w:val="21"/>
              </w:rPr>
              <w:t>7</w:t>
            </w:r>
          </w:p>
        </w:tc>
        <w:tc>
          <w:tcPr>
            <w:tcW w:w="1552" w:type="dxa"/>
            <w:tcBorders>
              <w:top w:val="single" w:color="auto" w:sz="4" w:space="0"/>
              <w:left w:val="single" w:color="auto" w:sz="4" w:space="0"/>
              <w:bottom w:val="single" w:color="auto" w:sz="4" w:space="0"/>
              <w:right w:val="single" w:color="auto" w:sz="4" w:space="0"/>
            </w:tcBorders>
            <w:vAlign w:val="center"/>
          </w:tcPr>
          <w:p w14:paraId="3AB826A3">
            <w:pPr>
              <w:snapToGrid w:val="0"/>
              <w:spacing w:line="280" w:lineRule="exact"/>
              <w:jc w:val="center"/>
              <w:rPr>
                <w:rFonts w:ascii="仿宋" w:hAnsi="仿宋" w:eastAsia="仿宋"/>
                <w:sz w:val="21"/>
                <w:szCs w:val="21"/>
              </w:rPr>
            </w:pPr>
            <w:r>
              <w:rPr>
                <w:rFonts w:ascii="仿宋" w:hAnsi="仿宋" w:eastAsia="仿宋"/>
                <w:sz w:val="21"/>
                <w:szCs w:val="21"/>
              </w:rPr>
              <w:t>GQQ90/2.5-XL</w:t>
            </w:r>
          </w:p>
        </w:tc>
        <w:tc>
          <w:tcPr>
            <w:tcW w:w="2790" w:type="dxa"/>
            <w:tcBorders>
              <w:top w:val="single" w:color="auto" w:sz="4" w:space="0"/>
              <w:left w:val="single" w:color="auto" w:sz="4" w:space="0"/>
              <w:bottom w:val="single" w:color="auto" w:sz="4" w:space="0"/>
              <w:right w:val="single" w:color="auto" w:sz="4" w:space="0"/>
            </w:tcBorders>
            <w:vAlign w:val="center"/>
          </w:tcPr>
          <w:p w14:paraId="3D6B31B8">
            <w:pPr>
              <w:snapToGrid w:val="0"/>
              <w:spacing w:line="280" w:lineRule="exact"/>
              <w:jc w:val="center"/>
              <w:rPr>
                <w:rStyle w:val="46"/>
              </w:rPr>
            </w:pPr>
            <w:r>
              <w:rPr>
                <w:rStyle w:val="46"/>
                <w:rFonts w:hint="eastAsia" w:ascii="仿宋" w:hAnsi="仿宋" w:eastAsia="仿宋"/>
                <w:sz w:val="21"/>
                <w:szCs w:val="21"/>
              </w:rPr>
              <w:t>江西博海消防设备有限公司</w:t>
            </w:r>
          </w:p>
        </w:tc>
      </w:tr>
      <w:tr w14:paraId="08E3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02E8DC07">
            <w:pPr>
              <w:spacing w:line="280" w:lineRule="exact"/>
              <w:rPr>
                <w:rFonts w:ascii="仿宋" w:hAnsi="仿宋" w:eastAsia="仿宋"/>
                <w:kern w:val="2"/>
                <w:sz w:val="21"/>
                <w:szCs w:val="21"/>
              </w:rPr>
            </w:pPr>
            <w:r>
              <w:rPr>
                <w:rFonts w:hint="eastAsia" w:ascii="仿宋" w:hAnsi="仿宋" w:eastAsia="仿宋"/>
                <w:kern w:val="2"/>
                <w:sz w:val="21"/>
                <w:szCs w:val="21"/>
              </w:rPr>
              <w:t>小计</w:t>
            </w:r>
          </w:p>
        </w:tc>
        <w:tc>
          <w:tcPr>
            <w:tcW w:w="1103" w:type="dxa"/>
            <w:tcBorders>
              <w:top w:val="single" w:color="auto" w:sz="4" w:space="0"/>
              <w:left w:val="single" w:color="auto" w:sz="4" w:space="0"/>
              <w:bottom w:val="single" w:color="auto" w:sz="4" w:space="0"/>
              <w:right w:val="single" w:color="auto" w:sz="4" w:space="0"/>
            </w:tcBorders>
            <w:shd w:val="clear" w:color="auto" w:fill="auto"/>
            <w:vAlign w:val="center"/>
          </w:tcPr>
          <w:p w14:paraId="49EDE5A1">
            <w:pPr>
              <w:autoSpaceDE w:val="0"/>
              <w:snapToGrid w:val="0"/>
              <w:spacing w:line="280" w:lineRule="exact"/>
              <w:jc w:val="center"/>
              <w:rPr>
                <w:rFonts w:ascii="仿宋" w:hAnsi="仿宋" w:eastAsia="仿宋"/>
                <w:sz w:val="21"/>
                <w:szCs w:val="21"/>
              </w:rPr>
            </w:pPr>
            <w:r>
              <w:rPr>
                <w:rFonts w:hint="eastAsia" w:ascii="仿宋" w:hAnsi="仿宋" w:eastAsia="仿宋"/>
                <w:sz w:val="21"/>
                <w:szCs w:val="21"/>
              </w:rPr>
              <w:t>1</w:t>
            </w:r>
            <w:r>
              <w:rPr>
                <w:rFonts w:ascii="仿宋" w:hAnsi="仿宋" w:eastAsia="仿宋"/>
                <w:sz w:val="21"/>
                <w:szCs w:val="21"/>
              </w:rPr>
              <w:t>2</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5D0A9627">
            <w:pPr>
              <w:autoSpaceDE w:val="0"/>
              <w:snapToGrid w:val="0"/>
              <w:spacing w:line="28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867</w:t>
            </w:r>
          </w:p>
        </w:tc>
        <w:tc>
          <w:tcPr>
            <w:tcW w:w="1552" w:type="dxa"/>
            <w:tcBorders>
              <w:top w:val="single" w:color="auto" w:sz="4" w:space="0"/>
              <w:left w:val="single" w:color="auto" w:sz="4" w:space="0"/>
              <w:bottom w:val="single" w:color="auto" w:sz="4" w:space="0"/>
              <w:right w:val="single" w:color="auto" w:sz="4" w:space="0"/>
            </w:tcBorders>
            <w:vAlign w:val="center"/>
          </w:tcPr>
          <w:p w14:paraId="7265EE02">
            <w:pPr>
              <w:autoSpaceDE w:val="0"/>
              <w:snapToGrid w:val="0"/>
              <w:spacing w:line="280" w:lineRule="exact"/>
              <w:jc w:val="center"/>
              <w:rPr>
                <w:rFonts w:ascii="仿宋" w:hAnsi="仿宋" w:eastAsia="仿宋"/>
                <w:sz w:val="21"/>
                <w:szCs w:val="21"/>
              </w:rPr>
            </w:pPr>
          </w:p>
        </w:tc>
        <w:tc>
          <w:tcPr>
            <w:tcW w:w="2790" w:type="dxa"/>
            <w:tcBorders>
              <w:top w:val="single" w:color="auto" w:sz="4" w:space="0"/>
              <w:left w:val="single" w:color="auto" w:sz="4" w:space="0"/>
              <w:bottom w:val="single" w:color="auto" w:sz="4" w:space="0"/>
              <w:right w:val="single" w:color="auto" w:sz="4" w:space="0"/>
            </w:tcBorders>
            <w:vAlign w:val="center"/>
          </w:tcPr>
          <w:p w14:paraId="6AF5F133">
            <w:pPr>
              <w:autoSpaceDE w:val="0"/>
              <w:snapToGrid w:val="0"/>
              <w:spacing w:line="280" w:lineRule="exact"/>
              <w:jc w:val="center"/>
              <w:rPr>
                <w:rFonts w:ascii="仿宋" w:hAnsi="仿宋" w:eastAsia="仿宋"/>
                <w:sz w:val="21"/>
                <w:szCs w:val="21"/>
              </w:rPr>
            </w:pPr>
          </w:p>
        </w:tc>
      </w:tr>
    </w:tbl>
    <w:p w14:paraId="12ECA5D1">
      <w:pPr>
        <w:rPr>
          <w:rFonts w:hint="eastAsia"/>
          <w:lang w:val="en-US" w:eastAsia="zh-CN"/>
        </w:rPr>
      </w:pPr>
    </w:p>
    <w:p w14:paraId="6EE4F67D">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第三条  权力保证</w:t>
      </w:r>
    </w:p>
    <w:p w14:paraId="64B22811">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1、乙方应保证所提供服务在使用时不会侵犯任何第三方的专利权、商标权、工业设计权或其他权利。</w:t>
      </w:r>
    </w:p>
    <w:p w14:paraId="1DAFB50E">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2、乙方应按招标文件规定的时间向甲方提供服务的有关资质资料。</w:t>
      </w:r>
    </w:p>
    <w:p w14:paraId="5308E51E">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乙方提交的成果所有权归甲方所有，没有甲方事先书面同意，乙方不得将由甲方提供的有关合同或任何合同条文、规格、计划、图纸、样品或资料提供给与履行本合同无关的任何其他人。即使向履行本合同有关的人员提供，也应注意保密并限于履行合同的必需范围。如有泄漏，乙方需承担相应的法律责任。</w:t>
      </w:r>
    </w:p>
    <w:p w14:paraId="6DE147B8">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lang w:eastAsia="zh-CN"/>
        </w:rPr>
      </w:pPr>
      <w:r>
        <w:rPr>
          <w:rFonts w:hint="eastAsia" w:ascii="宋体" w:hAnsi="宋体" w:eastAsia="宋体" w:cs="宋体"/>
          <w:b/>
          <w:sz w:val="24"/>
          <w:szCs w:val="24"/>
        </w:rPr>
        <w:t>第四条  售后服务</w:t>
      </w:r>
      <w:r>
        <w:rPr>
          <w:rFonts w:hint="eastAsia" w:ascii="宋体" w:hAnsi="宋体" w:eastAsia="宋体" w:cs="宋体"/>
          <w:b/>
          <w:sz w:val="24"/>
          <w:szCs w:val="24"/>
          <w:lang w:eastAsia="zh-CN"/>
        </w:rPr>
        <w:t>及验收</w:t>
      </w:r>
    </w:p>
    <w:p w14:paraId="6EA9B476">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1、乙方应按照国家有关法律法规和“三包”规定以及招投标文件和本合同所附的《服务承诺》，为甲方提供售后服务。</w:t>
      </w:r>
    </w:p>
    <w:p w14:paraId="12B39524">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2、乙方提供的服务承诺和售后服务责任等其它具体约定事项。</w:t>
      </w:r>
    </w:p>
    <w:p w14:paraId="3285AFB7">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甲方按项目服务要求对乙方提供的服务及货物进行验收，乙方向甲方提供验收相关材料，提供的服务与响应文件中承诺的技术参数不符的或未提供以上服务及货物去甲方进行验收的，由此导致的所有损失由乙方承担。</w:t>
      </w:r>
    </w:p>
    <w:p w14:paraId="7F0101F0">
      <w:pPr>
        <w:tabs>
          <w:tab w:val="left" w:pos="720"/>
        </w:tabs>
        <w:spacing w:line="40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4、合同条款有其他规定的按其规定。</w:t>
      </w:r>
    </w:p>
    <w:p w14:paraId="3B33CC13">
      <w:pPr>
        <w:tabs>
          <w:tab w:val="left" w:pos="720"/>
        </w:tabs>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5、乙方</w:t>
      </w:r>
      <w:r>
        <w:rPr>
          <w:rFonts w:hint="eastAsia" w:asciiTheme="minorEastAsia" w:hAnsiTheme="minorEastAsia" w:eastAsiaTheme="minorEastAsia" w:cstheme="minorEastAsia"/>
          <w:sz w:val="24"/>
          <w:szCs w:val="24"/>
          <w:highlight w:val="none"/>
        </w:rPr>
        <w:t>需承诺在约定工期内完成全部区域钢瓶检验、复位调试工作。</w:t>
      </w:r>
    </w:p>
    <w:p w14:paraId="020BD42D">
      <w:pPr>
        <w:tabs>
          <w:tab w:val="left" w:pos="720"/>
        </w:tabs>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全部钢瓶检验合格后，出具带气瓶检验专用章、可溯源的正式气瓶定期检验检测报告，报告符合特种设备监管、消防监督检查存档要求。</w:t>
      </w:r>
    </w:p>
    <w:p w14:paraId="525C7386">
      <w:pPr>
        <w:tabs>
          <w:tab w:val="left" w:pos="720"/>
        </w:tabs>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同步交付全套佐证资料：企业营业执照、气瓶检验核准资质证书、检验人员资格证、原始检测记录、钢瓶检验标识拓印件。</w:t>
      </w:r>
    </w:p>
    <w:p w14:paraId="2BFE222F">
      <w:pPr>
        <w:pStyle w:val="40"/>
        <w:keepNext w:val="0"/>
        <w:keepLines w:val="0"/>
        <w:pageBreakBefore w:val="0"/>
        <w:widowControl w:val="0"/>
        <w:kinsoku/>
        <w:wordWrap/>
        <w:overflowPunct/>
        <w:topLinePunct w:val="0"/>
        <w:autoSpaceDE/>
        <w:autoSpaceDN/>
        <w:bidi w:val="0"/>
        <w:adjustRightInd/>
        <w:spacing w:line="440" w:lineRule="exact"/>
        <w:ind w:left="0" w:leftChars="0" w:firstLine="0" w:firstLineChars="0"/>
        <w:textAlignment w:val="auto"/>
        <w:rPr>
          <w:rFonts w:hint="default" w:ascii="宋体" w:hAnsi="宋体" w:eastAsia="宋体" w:cs="宋体"/>
          <w:sz w:val="24"/>
          <w:szCs w:val="24"/>
          <w:highlight w:val="none"/>
          <w:lang w:val="en-US" w:eastAsia="zh-CN"/>
        </w:rPr>
      </w:pPr>
    </w:p>
    <w:p w14:paraId="67F09047">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sz w:val="24"/>
          <w:szCs w:val="24"/>
          <w:highlight w:val="none"/>
        </w:rPr>
        <w:t>第</w:t>
      </w:r>
      <w:r>
        <w:rPr>
          <w:rFonts w:hint="eastAsia" w:ascii="宋体" w:hAnsi="宋体" w:eastAsia="宋体" w:cs="宋体"/>
          <w:b/>
          <w:sz w:val="24"/>
          <w:szCs w:val="24"/>
          <w:highlight w:val="none"/>
          <w:lang w:val="en-US" w:eastAsia="zh-CN"/>
        </w:rPr>
        <w:t>五</w:t>
      </w:r>
      <w:r>
        <w:rPr>
          <w:rFonts w:hint="eastAsia" w:ascii="宋体" w:hAnsi="宋体" w:eastAsia="宋体" w:cs="宋体"/>
          <w:b/>
          <w:sz w:val="24"/>
          <w:szCs w:val="24"/>
          <w:highlight w:val="none"/>
        </w:rPr>
        <w:t>条</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付款方式</w:t>
      </w:r>
      <w:r>
        <w:rPr>
          <w:rFonts w:hint="eastAsia" w:ascii="宋体" w:hAnsi="宋体" w:eastAsia="宋体" w:cs="宋体"/>
          <w:b w:val="0"/>
          <w:bCs/>
          <w:sz w:val="24"/>
          <w:szCs w:val="24"/>
          <w:highlight w:val="none"/>
          <w:lang w:val="en-US" w:eastAsia="zh-CN"/>
        </w:rPr>
        <w:t xml:space="preserve"> </w:t>
      </w:r>
    </w:p>
    <w:p w14:paraId="6AA12EF9">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b/>
          <w:bCs w:val="0"/>
          <w:sz w:val="24"/>
          <w:szCs w:val="24"/>
          <w:highlight w:val="none"/>
          <w:lang w:val="en-US" w:eastAsia="zh-CN"/>
        </w:rPr>
      </w:pPr>
      <w:r>
        <w:rPr>
          <w:rFonts w:hint="eastAsia" w:cs="宋体" w:asciiTheme="minorEastAsia" w:hAnsiTheme="minorEastAsia" w:eastAsiaTheme="minorEastAsia"/>
          <w:sz w:val="24"/>
          <w:szCs w:val="24"/>
          <w:highlight w:val="none"/>
        </w:rPr>
        <w:t>本项目无预付款，全部服务完成并验收合格后，</w:t>
      </w:r>
      <w:r>
        <w:rPr>
          <w:rFonts w:hint="eastAsia" w:cs="宋体" w:asciiTheme="minorEastAsia" w:hAnsiTheme="minorEastAsia" w:eastAsiaTheme="minorEastAsia"/>
          <w:sz w:val="24"/>
          <w:szCs w:val="24"/>
          <w:highlight w:val="none"/>
          <w:lang w:val="en-US" w:eastAsia="zh-CN"/>
        </w:rPr>
        <w:t>乙方</w:t>
      </w:r>
      <w:r>
        <w:rPr>
          <w:rFonts w:hint="eastAsia" w:cs="宋体" w:asciiTheme="minorEastAsia" w:hAnsiTheme="minorEastAsia" w:eastAsiaTheme="minorEastAsia"/>
          <w:sz w:val="24"/>
          <w:szCs w:val="24"/>
          <w:highlight w:val="none"/>
        </w:rPr>
        <w:t>开具发票给</w:t>
      </w:r>
      <w:r>
        <w:rPr>
          <w:rFonts w:hint="eastAsia" w:cs="宋体" w:asciiTheme="minorEastAsia" w:hAnsiTheme="minorEastAsia" w:eastAsiaTheme="minorEastAsia"/>
          <w:sz w:val="24"/>
          <w:szCs w:val="24"/>
          <w:highlight w:val="none"/>
          <w:lang w:val="en-US" w:eastAsia="zh-CN"/>
        </w:rPr>
        <w:t>甲方</w:t>
      </w:r>
      <w:r>
        <w:rPr>
          <w:rFonts w:hint="eastAsia" w:cs="宋体" w:asciiTheme="minorEastAsia" w:hAnsiTheme="minorEastAsia" w:eastAsiaTheme="minorEastAsia"/>
          <w:sz w:val="24"/>
          <w:szCs w:val="24"/>
          <w:highlight w:val="none"/>
        </w:rPr>
        <w:t>，</w:t>
      </w:r>
      <w:r>
        <w:rPr>
          <w:rFonts w:hint="eastAsia" w:cs="宋体" w:asciiTheme="minorEastAsia" w:hAnsiTheme="minorEastAsia" w:eastAsiaTheme="minorEastAsia"/>
          <w:sz w:val="24"/>
          <w:szCs w:val="24"/>
          <w:highlight w:val="none"/>
          <w:lang w:val="en-US" w:eastAsia="zh-CN"/>
        </w:rPr>
        <w:t>甲方</w:t>
      </w:r>
      <w:r>
        <w:rPr>
          <w:rFonts w:hint="eastAsia" w:cs="宋体" w:asciiTheme="minorEastAsia" w:hAnsiTheme="minorEastAsia" w:eastAsiaTheme="minorEastAsia"/>
          <w:sz w:val="24"/>
          <w:szCs w:val="24"/>
          <w:highlight w:val="none"/>
        </w:rPr>
        <w:t>20个工作</w:t>
      </w:r>
      <w:r>
        <w:rPr>
          <w:rFonts w:hint="eastAsia" w:cs="宋体" w:asciiTheme="minorEastAsia" w:hAnsiTheme="minorEastAsia" w:eastAsiaTheme="minorEastAsia"/>
          <w:sz w:val="24"/>
          <w:szCs w:val="24"/>
          <w:highlight w:val="none"/>
          <w:lang w:eastAsia="zh-CN"/>
        </w:rPr>
        <w:t>日内</w:t>
      </w:r>
      <w:r>
        <w:rPr>
          <w:rFonts w:hint="eastAsia" w:cs="宋体" w:asciiTheme="minorEastAsia" w:hAnsiTheme="minorEastAsia" w:eastAsiaTheme="minorEastAsia"/>
          <w:sz w:val="24"/>
          <w:szCs w:val="24"/>
          <w:highlight w:val="none"/>
        </w:rPr>
        <w:t>支付。</w:t>
      </w:r>
      <w:r>
        <w:rPr>
          <w:rFonts w:hint="eastAsia" w:ascii="宋体" w:hAnsi="宋体" w:eastAsia="宋体" w:cs="宋体"/>
          <w:b/>
          <w:bCs w:val="0"/>
          <w:sz w:val="24"/>
          <w:szCs w:val="24"/>
          <w:highlight w:val="none"/>
          <w:lang w:val="en-US" w:eastAsia="zh-CN"/>
        </w:rPr>
        <w:t xml:space="preserve"> </w:t>
      </w:r>
    </w:p>
    <w:p w14:paraId="583EEAD3">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default" w:ascii="宋体" w:hAnsi="宋体" w:eastAsia="宋体" w:cs="宋体"/>
          <w:b w:val="0"/>
          <w:bCs/>
          <w:sz w:val="24"/>
          <w:szCs w:val="24"/>
          <w:lang w:val="en-US"/>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六</w:t>
      </w:r>
      <w:r>
        <w:rPr>
          <w:rFonts w:hint="eastAsia" w:ascii="宋体" w:hAnsi="宋体" w:eastAsia="宋体" w:cs="宋体"/>
          <w:b/>
          <w:sz w:val="24"/>
          <w:szCs w:val="24"/>
        </w:rPr>
        <w:t>条　</w:t>
      </w:r>
      <w:r>
        <w:rPr>
          <w:rFonts w:hint="eastAsia" w:ascii="宋体" w:hAnsi="宋体" w:eastAsia="宋体" w:cs="宋体"/>
          <w:b/>
          <w:sz w:val="24"/>
          <w:szCs w:val="24"/>
          <w:lang w:val="en-US" w:eastAsia="zh-CN"/>
        </w:rPr>
        <w:t xml:space="preserve"> </w:t>
      </w:r>
      <w:r>
        <w:rPr>
          <w:rFonts w:hint="eastAsia" w:ascii="宋体" w:hAnsi="宋体" w:eastAsia="宋体" w:cs="宋体"/>
          <w:b/>
          <w:bCs w:val="0"/>
          <w:sz w:val="24"/>
          <w:szCs w:val="24"/>
          <w:lang w:val="en-US" w:eastAsia="zh-CN"/>
        </w:rPr>
        <w:t>履约保证金  无</w:t>
      </w:r>
    </w:p>
    <w:p w14:paraId="66E00453">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七</w:t>
      </w:r>
      <w:r>
        <w:rPr>
          <w:rFonts w:hint="eastAsia" w:ascii="宋体" w:hAnsi="宋体" w:eastAsia="宋体" w:cs="宋体"/>
          <w:b/>
          <w:sz w:val="24"/>
          <w:szCs w:val="24"/>
        </w:rPr>
        <w:t>条　违约责任</w:t>
      </w:r>
    </w:p>
    <w:p w14:paraId="5E0034F1">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rPr>
      </w:pPr>
      <w:r>
        <w:rPr>
          <w:rFonts w:hint="eastAsia" w:ascii="宋体"/>
          <w:color w:val="auto"/>
          <w:sz w:val="24"/>
          <w:szCs w:val="24"/>
          <w:highlight w:val="none"/>
        </w:rPr>
        <w:t>1、乙方所提供的服务质量不合格的，应及时调整；因所提供的服务质量问题甲方不同意接收的或特殊情况甲方</w:t>
      </w:r>
      <w:r>
        <w:rPr>
          <w:rFonts w:hint="eastAsia" w:ascii="宋体"/>
          <w:color w:val="auto"/>
          <w:sz w:val="24"/>
          <w:szCs w:val="24"/>
          <w:highlight w:val="none"/>
          <w:lang w:eastAsia="zh-CN"/>
        </w:rPr>
        <w:t>不</w:t>
      </w:r>
      <w:r>
        <w:rPr>
          <w:rFonts w:hint="eastAsia" w:ascii="宋体"/>
          <w:color w:val="auto"/>
          <w:sz w:val="24"/>
          <w:szCs w:val="24"/>
          <w:highlight w:val="none"/>
        </w:rPr>
        <w:t xml:space="preserve">同意接收的，乙方应向甲方支付合同款5%违约金并赔偿甲方经济损失。 </w:t>
      </w:r>
    </w:p>
    <w:p w14:paraId="475A3EDE">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rPr>
      </w:pPr>
      <w:r>
        <w:rPr>
          <w:rFonts w:hint="eastAsia" w:ascii="宋体"/>
          <w:color w:val="auto"/>
          <w:sz w:val="24"/>
          <w:szCs w:val="24"/>
          <w:highlight w:val="none"/>
        </w:rPr>
        <w:t>2、乙方提供的服务如侵犯了第三方合法权益而引发的任何纠纷或诉讼，均由乙方负责交涉并承担全部责任。</w:t>
      </w:r>
    </w:p>
    <w:p w14:paraId="2B3BEB61">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rPr>
      </w:pPr>
      <w:r>
        <w:rPr>
          <w:rFonts w:hint="eastAsia" w:ascii="宋体"/>
          <w:color w:val="auto"/>
          <w:sz w:val="24"/>
          <w:szCs w:val="24"/>
          <w:highlight w:val="none"/>
        </w:rPr>
        <w:t>3、乙方未按本合同和投标文件中规定的服务承诺提供售后服务的，乙方应按本合同合计金额 5%向甲方支付违约金。</w:t>
      </w:r>
    </w:p>
    <w:p w14:paraId="527CED21">
      <w:pPr>
        <w:keepNext w:val="0"/>
        <w:keepLines w:val="0"/>
        <w:suppressLineNumbers w:val="0"/>
        <w:spacing w:before="0" w:beforeAutospacing="0" w:after="0" w:afterAutospacing="0" w:line="560" w:lineRule="exact"/>
        <w:ind w:left="0" w:right="0" w:firstLine="480" w:firstLineChars="200"/>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4、</w:t>
      </w:r>
      <w:r>
        <w:rPr>
          <w:rFonts w:hint="eastAsia" w:ascii="宋体" w:hAnsi="宋体" w:eastAsia="宋体" w:cs="宋体"/>
          <w:color w:val="auto"/>
          <w:kern w:val="0"/>
          <w:sz w:val="24"/>
          <w:szCs w:val="24"/>
          <w:lang w:val="en-US" w:eastAsia="zh-CN"/>
        </w:rPr>
        <w:t>除不可抗力原因外，乙方未按照合同规定的时间提供服务的，甲方有权要求乙方支付违约金。每延迟一天按合同金额的3‰支付违约金，该违约金累计不超过合同金额的10%。</w:t>
      </w:r>
    </w:p>
    <w:p w14:paraId="0625451E">
      <w:pPr>
        <w:keepNext w:val="0"/>
        <w:keepLines w:val="0"/>
        <w:suppressLineNumbers w:val="0"/>
        <w:spacing w:before="0" w:beforeAutospacing="0" w:after="0" w:afterAutospacing="0" w:line="560" w:lineRule="exact"/>
        <w:ind w:left="0" w:right="0" w:firstLine="480" w:firstLineChars="200"/>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5、其它违约行为按合同款5%收取违约金并赔偿经济损失。</w:t>
      </w:r>
    </w:p>
    <w:p w14:paraId="64159357">
      <w:pPr>
        <w:tabs>
          <w:tab w:val="left" w:pos="720"/>
        </w:tabs>
        <w:spacing w:line="40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lang w:val="en-US" w:eastAsia="zh-CN"/>
        </w:rPr>
        <w:t>6、</w:t>
      </w:r>
      <w:r>
        <w:rPr>
          <w:rFonts w:cs="宋体" w:asciiTheme="minorEastAsia" w:hAnsiTheme="minorEastAsia" w:eastAsiaTheme="minorEastAsia"/>
          <w:sz w:val="24"/>
          <w:szCs w:val="24"/>
          <w:highlight w:val="none"/>
        </w:rPr>
        <w:t>若因</w:t>
      </w:r>
      <w:r>
        <w:rPr>
          <w:rFonts w:hint="eastAsia" w:cs="宋体" w:asciiTheme="minorEastAsia" w:hAnsiTheme="minorEastAsia" w:eastAsiaTheme="minorEastAsia"/>
          <w:sz w:val="24"/>
          <w:szCs w:val="24"/>
          <w:highlight w:val="none"/>
          <w:lang w:val="en-US" w:eastAsia="zh-CN"/>
        </w:rPr>
        <w:t>乙方</w:t>
      </w:r>
      <w:r>
        <w:rPr>
          <w:rFonts w:cs="宋体" w:asciiTheme="minorEastAsia" w:hAnsiTheme="minorEastAsia" w:eastAsiaTheme="minorEastAsia"/>
          <w:sz w:val="24"/>
          <w:szCs w:val="24"/>
          <w:highlight w:val="none"/>
        </w:rPr>
        <w:t>资质无效、检验流程不合规、报告不被监管</w:t>
      </w:r>
      <w:r>
        <w:rPr>
          <w:rFonts w:hint="eastAsia" w:cs="宋体" w:asciiTheme="minorEastAsia" w:hAnsiTheme="minorEastAsia" w:eastAsiaTheme="minorEastAsia"/>
          <w:sz w:val="24"/>
          <w:szCs w:val="24"/>
          <w:highlight w:val="none"/>
        </w:rPr>
        <w:t>和</w:t>
      </w:r>
      <w:r>
        <w:rPr>
          <w:rFonts w:cs="宋体" w:asciiTheme="minorEastAsia" w:hAnsiTheme="minorEastAsia" w:eastAsiaTheme="minorEastAsia"/>
          <w:sz w:val="24"/>
          <w:szCs w:val="24"/>
          <w:highlight w:val="none"/>
        </w:rPr>
        <w:t>消防部门认可，由此产生的行政处罚、整改费用全部由</w:t>
      </w:r>
      <w:r>
        <w:rPr>
          <w:rFonts w:hint="eastAsia" w:cs="宋体" w:asciiTheme="minorEastAsia" w:hAnsiTheme="minorEastAsia" w:eastAsiaTheme="minorEastAsia"/>
          <w:sz w:val="24"/>
          <w:szCs w:val="24"/>
          <w:highlight w:val="none"/>
          <w:lang w:val="en-US" w:eastAsia="zh-CN"/>
        </w:rPr>
        <w:t>乙方</w:t>
      </w:r>
      <w:r>
        <w:rPr>
          <w:rFonts w:cs="宋体" w:asciiTheme="minorEastAsia" w:hAnsiTheme="minorEastAsia" w:eastAsiaTheme="minorEastAsia"/>
          <w:sz w:val="24"/>
          <w:szCs w:val="24"/>
          <w:highlight w:val="none"/>
        </w:rPr>
        <w:t>承担。</w:t>
      </w:r>
    </w:p>
    <w:p w14:paraId="6FBA9EE9">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color w:val="auto"/>
          <w:kern w:val="0"/>
          <w:sz w:val="24"/>
          <w:szCs w:val="24"/>
          <w:highlight w:val="none"/>
          <w:lang w:val="en-US" w:eastAsia="zh-CN"/>
        </w:rPr>
      </w:pPr>
    </w:p>
    <w:p w14:paraId="52AE225B">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八</w:t>
      </w:r>
      <w:r>
        <w:rPr>
          <w:rFonts w:hint="eastAsia" w:ascii="宋体" w:hAnsi="宋体" w:eastAsia="宋体" w:cs="宋体"/>
          <w:b/>
          <w:sz w:val="24"/>
          <w:szCs w:val="24"/>
        </w:rPr>
        <w:t>条  不可抗力事件处理</w:t>
      </w:r>
    </w:p>
    <w:p w14:paraId="30E7A5A6">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1、在合同有效期内，任何一方因不可抗力事件导致不能履行合同，则合同履行期可延长，其延长期与不可抗力影响期相同。</w:t>
      </w:r>
    </w:p>
    <w:p w14:paraId="557A3F0E">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2、不可抗力事件发生后，应立即通知对方，并寄送有关权威机构出具的证明。</w:t>
      </w:r>
    </w:p>
    <w:p w14:paraId="3A5554C0">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3、不可抗力事件延续120天以上，双方应通过友好协商，确定是否继续履行合同。</w:t>
      </w:r>
    </w:p>
    <w:p w14:paraId="3EB07C43">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九</w:t>
      </w:r>
      <w:r>
        <w:rPr>
          <w:rFonts w:hint="eastAsia" w:ascii="宋体" w:hAnsi="宋体" w:eastAsia="宋体" w:cs="宋体"/>
          <w:b/>
          <w:sz w:val="24"/>
          <w:szCs w:val="24"/>
        </w:rPr>
        <w:t>条  合同争议解决</w:t>
      </w:r>
    </w:p>
    <w:p w14:paraId="57A290ED">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1、因履行本合同引起的或与本合同有关的争议，甲乙双方应首先通过友好协商解决，如果协商不能解决，可向甲方所在地人民法院提起诉讼。</w:t>
      </w:r>
    </w:p>
    <w:p w14:paraId="78B3386A">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2、诉讼期间，本合同继续履行。</w:t>
      </w:r>
    </w:p>
    <w:p w14:paraId="089A4A68">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第十条  合同生效及其它</w:t>
      </w:r>
    </w:p>
    <w:p w14:paraId="776C819B">
      <w:pPr>
        <w:spacing w:line="40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1、合同经双方法定代表人(负责人)或授权代表（委托代理人）签字并加盖单位公章</w:t>
      </w:r>
      <w:r>
        <w:rPr>
          <w:rFonts w:hint="eastAsia" w:ascii="宋体" w:hAnsi="宋体" w:eastAsia="宋体" w:cs="宋体"/>
          <w:b w:val="0"/>
          <w:bCs/>
          <w:color w:val="auto"/>
          <w:sz w:val="24"/>
          <w:szCs w:val="24"/>
          <w:highlight w:val="none"/>
          <w:lang w:eastAsia="zh-CN"/>
        </w:rPr>
        <w:t>（或合同章）</w:t>
      </w:r>
      <w:r>
        <w:rPr>
          <w:rFonts w:hint="eastAsia" w:ascii="宋体" w:hAnsi="宋体" w:eastAsia="宋体" w:cs="宋体"/>
          <w:b w:val="0"/>
          <w:bCs/>
          <w:color w:val="auto"/>
          <w:sz w:val="24"/>
          <w:szCs w:val="24"/>
          <w:highlight w:val="none"/>
        </w:rPr>
        <w:t>后生效</w:t>
      </w:r>
      <w:r>
        <w:rPr>
          <w:rFonts w:hint="eastAsia" w:ascii="宋体" w:hAnsi="宋体" w:eastAsia="宋体" w:cs="宋体"/>
          <w:b w:val="0"/>
          <w:bCs/>
          <w:color w:val="auto"/>
          <w:sz w:val="24"/>
          <w:szCs w:val="24"/>
          <w:highlight w:val="none"/>
          <w:lang w:eastAsia="zh-CN"/>
        </w:rPr>
        <w:t>，</w:t>
      </w:r>
      <w:r>
        <w:rPr>
          <w:rFonts w:hint="eastAsia" w:ascii="宋体" w:hAnsi="宋体" w:eastAsia="宋体" w:cs="宋体"/>
          <w:kern w:val="2"/>
          <w:sz w:val="24"/>
          <w:szCs w:val="24"/>
          <w:lang w:val="en-US" w:eastAsia="zh-CN" w:bidi="ar-SA"/>
        </w:rPr>
        <w:t>（如为代理人签字，需附授权委托书）。</w:t>
      </w:r>
      <w:r>
        <w:rPr>
          <w:rFonts w:hint="eastAsia" w:ascii="宋体" w:hAnsi="宋体" w:eastAsia="宋体" w:cs="宋体"/>
          <w:sz w:val="24"/>
          <w:szCs w:val="24"/>
        </w:rPr>
        <w:t xml:space="preserve"> </w:t>
      </w:r>
    </w:p>
    <w:p w14:paraId="6239E3C3">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合同执行中涉及采购资金和采购内容修改或补充的，须经甲乙双方审批同意，方可签订补充协议，补充协议作为主合同不可分割的一部分。</w:t>
      </w:r>
    </w:p>
    <w:p w14:paraId="0218CAD6">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本合同未尽事宜，遵照《民法典》有关条文执行。</w:t>
      </w:r>
    </w:p>
    <w:p w14:paraId="2E059145">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一</w:t>
      </w:r>
      <w:r>
        <w:rPr>
          <w:rFonts w:hint="eastAsia" w:ascii="宋体" w:hAnsi="宋体" w:eastAsia="宋体" w:cs="宋体"/>
          <w:b/>
          <w:sz w:val="24"/>
          <w:szCs w:val="24"/>
        </w:rPr>
        <w:t>条　合同的变更、终止与转让</w:t>
      </w:r>
    </w:p>
    <w:p w14:paraId="1C14B929">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1、除《中华人民共和国政府采购法》第50条规定的情形外，本合同一经签订，甲乙双方不得擅自变更、中止或终止。</w:t>
      </w:r>
    </w:p>
    <w:p w14:paraId="257A1469">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2、乙方不得擅自转让其应履行的合同义务。</w:t>
      </w:r>
    </w:p>
    <w:p w14:paraId="30D0BD00">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二</w:t>
      </w:r>
      <w:r>
        <w:rPr>
          <w:rFonts w:hint="eastAsia" w:ascii="宋体" w:hAnsi="宋体" w:eastAsia="宋体" w:cs="宋体"/>
          <w:b/>
          <w:sz w:val="24"/>
          <w:szCs w:val="24"/>
        </w:rPr>
        <w:t>条　签订本合同依据</w:t>
      </w:r>
    </w:p>
    <w:p w14:paraId="69EFD384">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采购</w:t>
      </w:r>
      <w:r>
        <w:rPr>
          <w:rFonts w:hint="eastAsia" w:ascii="宋体" w:hAnsi="宋体" w:eastAsia="宋体" w:cs="宋体"/>
          <w:sz w:val="24"/>
          <w:szCs w:val="24"/>
        </w:rPr>
        <w:t>文件；2、乙方的</w:t>
      </w:r>
      <w:r>
        <w:rPr>
          <w:rFonts w:hint="eastAsia" w:ascii="宋体" w:hAnsi="宋体" w:eastAsia="宋体" w:cs="宋体"/>
          <w:sz w:val="24"/>
          <w:szCs w:val="24"/>
          <w:lang w:val="en-US" w:eastAsia="zh-CN"/>
        </w:rPr>
        <w:t>响应</w:t>
      </w:r>
      <w:r>
        <w:rPr>
          <w:rFonts w:hint="eastAsia" w:ascii="宋体" w:hAnsi="宋体" w:eastAsia="宋体" w:cs="宋体"/>
          <w:sz w:val="24"/>
          <w:szCs w:val="24"/>
        </w:rPr>
        <w:t>文件；3、</w:t>
      </w:r>
      <w:r>
        <w:rPr>
          <w:rFonts w:hint="eastAsia" w:ascii="宋体" w:hAnsi="宋体" w:eastAsia="宋体" w:cs="宋体"/>
          <w:sz w:val="24"/>
          <w:szCs w:val="24"/>
          <w:lang w:val="en-US" w:eastAsia="zh-CN"/>
        </w:rPr>
        <w:t>成交</w:t>
      </w:r>
      <w:r>
        <w:rPr>
          <w:rFonts w:hint="eastAsia" w:ascii="宋体" w:hAnsi="宋体" w:eastAsia="宋体" w:cs="宋体"/>
          <w:sz w:val="24"/>
          <w:szCs w:val="24"/>
        </w:rPr>
        <w:t>通知书。</w:t>
      </w:r>
    </w:p>
    <w:p w14:paraId="038927E1">
      <w:pPr>
        <w:keepNext w:val="0"/>
        <w:keepLines w:val="0"/>
        <w:pageBreakBefore w:val="0"/>
        <w:widowControl w:val="0"/>
        <w:kinsoku/>
        <w:wordWrap/>
        <w:overflowPunct/>
        <w:topLinePunct w:val="0"/>
        <w:autoSpaceDE/>
        <w:autoSpaceDN/>
        <w:bidi w:val="0"/>
        <w:adjustRightInd/>
        <w:spacing w:line="440" w:lineRule="exact"/>
        <w:ind w:firstLine="602" w:firstLineChars="250"/>
        <w:textAlignment w:val="auto"/>
        <w:rPr>
          <w:rFonts w:hint="eastAsia" w:ascii="宋体" w:hAnsi="宋体" w:eastAsia="宋体" w:cs="宋体"/>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三</w:t>
      </w:r>
      <w:r>
        <w:rPr>
          <w:rFonts w:hint="eastAsia" w:ascii="宋体" w:hAnsi="宋体" w:eastAsia="宋体" w:cs="宋体"/>
          <w:b/>
          <w:sz w:val="24"/>
          <w:szCs w:val="24"/>
        </w:rPr>
        <w:t>条　</w:t>
      </w:r>
      <w:r>
        <w:rPr>
          <w:rFonts w:hint="eastAsia" w:ascii="宋体" w:hAnsi="宋体" w:eastAsia="宋体" w:cs="宋体"/>
          <w:b w:val="0"/>
          <w:bCs/>
          <w:sz w:val="24"/>
          <w:szCs w:val="24"/>
          <w:lang w:eastAsia="zh-CN"/>
        </w:rPr>
        <w:t>本</w:t>
      </w:r>
      <w:r>
        <w:rPr>
          <w:rFonts w:hint="eastAsia" w:ascii="宋体" w:hAnsi="宋体" w:eastAsia="宋体" w:cs="宋体"/>
          <w:sz w:val="24"/>
          <w:szCs w:val="24"/>
        </w:rPr>
        <w:t>合同一式</w:t>
      </w:r>
      <w:r>
        <w:rPr>
          <w:rFonts w:hint="eastAsia" w:ascii="宋体" w:hAnsi="宋体" w:eastAsia="宋体" w:cs="宋体"/>
          <w:sz w:val="24"/>
          <w:szCs w:val="24"/>
          <w:lang w:eastAsia="zh-CN"/>
        </w:rPr>
        <w:t>六</w:t>
      </w:r>
      <w:r>
        <w:rPr>
          <w:rFonts w:hint="eastAsia" w:ascii="宋体" w:hAnsi="宋体" w:eastAsia="宋体" w:cs="宋体"/>
          <w:sz w:val="24"/>
          <w:szCs w:val="24"/>
        </w:rPr>
        <w:t>份，具有同等法律效力，甲方</w:t>
      </w:r>
      <w:r>
        <w:rPr>
          <w:rFonts w:hint="eastAsia" w:ascii="宋体" w:hAnsi="宋体" w:eastAsia="宋体" w:cs="宋体"/>
          <w:sz w:val="24"/>
          <w:szCs w:val="24"/>
          <w:lang w:eastAsia="zh-CN"/>
        </w:rPr>
        <w:t>五</w:t>
      </w:r>
      <w:r>
        <w:rPr>
          <w:rFonts w:hint="eastAsia" w:ascii="宋体" w:hAnsi="宋体" w:eastAsia="宋体" w:cs="宋体"/>
          <w:sz w:val="24"/>
          <w:szCs w:val="24"/>
        </w:rPr>
        <w:t>份，乙方一份。</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9"/>
        <w:gridCol w:w="4180"/>
      </w:tblGrid>
      <w:tr w14:paraId="1DCEB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4569" w:type="dxa"/>
            <w:noWrap w:val="0"/>
            <w:vAlign w:val="center"/>
          </w:tcPr>
          <w:p w14:paraId="19F08003">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 xml:space="preserve">甲方(章) </w:t>
            </w:r>
          </w:p>
          <w:p w14:paraId="11DCA4D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p>
          <w:p w14:paraId="37CCCD30">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p>
        </w:tc>
        <w:tc>
          <w:tcPr>
            <w:tcW w:w="4180" w:type="dxa"/>
            <w:noWrap w:val="0"/>
            <w:vAlign w:val="center"/>
          </w:tcPr>
          <w:p w14:paraId="5402182F">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rPr>
              <w:t>乙方(章)</w:t>
            </w:r>
          </w:p>
          <w:p w14:paraId="6BE94933">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p>
          <w:p w14:paraId="5E59FACA">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p>
        </w:tc>
      </w:tr>
      <w:tr w14:paraId="1986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4569" w:type="dxa"/>
            <w:noWrap w:val="0"/>
            <w:vAlign w:val="center"/>
          </w:tcPr>
          <w:p w14:paraId="654105C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单位地址：</w:t>
            </w:r>
          </w:p>
        </w:tc>
        <w:tc>
          <w:tcPr>
            <w:tcW w:w="4180" w:type="dxa"/>
            <w:noWrap w:val="0"/>
            <w:vAlign w:val="center"/>
          </w:tcPr>
          <w:p w14:paraId="133E727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4F81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4E98AFB6">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法定代表人：</w:t>
            </w:r>
          </w:p>
          <w:p w14:paraId="3CEC608A">
            <w:pPr>
              <w:pStyle w:val="53"/>
              <w:keepNext w:val="0"/>
              <w:keepLines w:val="0"/>
              <w:pageBreakBefore w:val="0"/>
              <w:widowControl w:val="0"/>
              <w:suppressLineNumbers w:val="0"/>
              <w:kinsoku/>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p>
        </w:tc>
        <w:tc>
          <w:tcPr>
            <w:tcW w:w="4180" w:type="dxa"/>
            <w:noWrap w:val="0"/>
            <w:vAlign w:val="center"/>
          </w:tcPr>
          <w:p w14:paraId="2A87D72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386D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0125D35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委托代理人：</w:t>
            </w:r>
          </w:p>
        </w:tc>
        <w:tc>
          <w:tcPr>
            <w:tcW w:w="4180" w:type="dxa"/>
            <w:noWrap w:val="0"/>
            <w:vAlign w:val="center"/>
          </w:tcPr>
          <w:p w14:paraId="2922C29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p>
        </w:tc>
      </w:tr>
      <w:tr w14:paraId="2045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46418FB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电话：</w:t>
            </w:r>
          </w:p>
        </w:tc>
        <w:tc>
          <w:tcPr>
            <w:tcW w:w="4180" w:type="dxa"/>
            <w:noWrap w:val="0"/>
            <w:vAlign w:val="center"/>
          </w:tcPr>
          <w:p w14:paraId="002890C2">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49D2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2486116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电子邮箱：</w:t>
            </w:r>
          </w:p>
        </w:tc>
        <w:tc>
          <w:tcPr>
            <w:tcW w:w="4180" w:type="dxa"/>
            <w:noWrap w:val="0"/>
            <w:vAlign w:val="center"/>
          </w:tcPr>
          <w:p w14:paraId="2F2943D0">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4CB9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5247351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4180" w:type="dxa"/>
            <w:noWrap w:val="0"/>
            <w:vAlign w:val="center"/>
          </w:tcPr>
          <w:p w14:paraId="66CA0110">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开户银行：</w:t>
            </w:r>
          </w:p>
        </w:tc>
      </w:tr>
      <w:tr w14:paraId="6F2E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180011FA">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开户名称：</w:t>
            </w:r>
          </w:p>
        </w:tc>
        <w:tc>
          <w:tcPr>
            <w:tcW w:w="4180" w:type="dxa"/>
            <w:noWrap w:val="0"/>
            <w:vAlign w:val="center"/>
          </w:tcPr>
          <w:p w14:paraId="4F7FBEB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lang w:eastAsia="zh-CN"/>
              </w:rPr>
              <w:t>开户名称：</w:t>
            </w:r>
          </w:p>
        </w:tc>
      </w:tr>
      <w:tr w14:paraId="2682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611CD552">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账号：</w:t>
            </w:r>
          </w:p>
        </w:tc>
        <w:tc>
          <w:tcPr>
            <w:tcW w:w="4180" w:type="dxa"/>
            <w:noWrap w:val="0"/>
            <w:vAlign w:val="center"/>
          </w:tcPr>
          <w:p w14:paraId="6438D3D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账号：</w:t>
            </w:r>
          </w:p>
        </w:tc>
      </w:tr>
      <w:tr w14:paraId="2D4A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4F67E84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邮政编码：</w:t>
            </w:r>
          </w:p>
        </w:tc>
        <w:tc>
          <w:tcPr>
            <w:tcW w:w="4180" w:type="dxa"/>
            <w:noWrap w:val="0"/>
            <w:vAlign w:val="center"/>
          </w:tcPr>
          <w:p w14:paraId="31E5AF1A">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4FEA0688">
      <w:pPr>
        <w:pStyle w:val="54"/>
        <w:numPr>
          <w:ilvl w:val="0"/>
          <w:numId w:val="0"/>
        </w:numPr>
        <w:jc w:val="both"/>
        <w:outlineLvl w:val="0"/>
        <w:rPr>
          <w:rFonts w:hint="eastAsia" w:ascii="宋体" w:hAnsi="宋体" w:eastAsia="宋体" w:cs="宋体"/>
          <w:b/>
          <w:kern w:val="2"/>
          <w:sz w:val="24"/>
          <w:szCs w:val="24"/>
          <w:lang w:val="en-US" w:eastAsia="zh-CN" w:bidi="ar-SA"/>
        </w:rPr>
      </w:pPr>
    </w:p>
    <w:p w14:paraId="2AD94458">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合同签订时间： </w:t>
      </w:r>
      <w:r>
        <w:rPr>
          <w:rFonts w:hint="eastAsia" w:hAnsi="宋体" w:eastAsia="宋体" w:cs="宋体"/>
          <w:b w:val="0"/>
          <w:bCs w:val="0"/>
          <w:sz w:val="24"/>
          <w:szCs w:val="24"/>
          <w:lang w:val="en-US" w:eastAsia="zh-CN"/>
        </w:rPr>
        <w:t>2026</w:t>
      </w:r>
      <w:r>
        <w:rPr>
          <w:rFonts w:hint="eastAsia" w:ascii="宋体" w:hAnsi="宋体" w:eastAsia="宋体" w:cs="宋体"/>
          <w:b w:val="0"/>
          <w:bCs w:val="0"/>
          <w:sz w:val="24"/>
          <w:szCs w:val="24"/>
        </w:rPr>
        <w:t>年    月    日</w:t>
      </w:r>
    </w:p>
    <w:p w14:paraId="238C013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highlight w:val="none"/>
          <w:lang w:val="en-US" w:eastAsia="zh-CN"/>
        </w:rPr>
      </w:pPr>
      <w:r>
        <w:rPr>
          <w:rFonts w:hint="eastAsia" w:ascii="宋体" w:hAnsi="宋体" w:eastAsia="宋体" w:cs="宋体"/>
          <w:b w:val="0"/>
          <w:bCs w:val="0"/>
          <w:sz w:val="24"/>
          <w:szCs w:val="24"/>
        </w:rPr>
        <w:t>合同签订地点：南宁市</w:t>
      </w: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986AE3"/>
    <w:multiLevelType w:val="singleLevel"/>
    <w:tmpl w:val="87986AE3"/>
    <w:lvl w:ilvl="0" w:tentative="0">
      <w:start w:val="1"/>
      <w:numFmt w:val="decimal"/>
      <w:lvlText w:val="%1."/>
      <w:lvlJc w:val="left"/>
      <w:pPr>
        <w:tabs>
          <w:tab w:val="left" w:pos="312"/>
        </w:tabs>
      </w:pPr>
    </w:lvl>
  </w:abstractNum>
  <w:abstractNum w:abstractNumId="1">
    <w:nsid w:val="CD306D35"/>
    <w:multiLevelType w:val="singleLevel"/>
    <w:tmpl w:val="CD306D35"/>
    <w:lvl w:ilvl="0" w:tentative="0">
      <w:start w:val="2"/>
      <w:numFmt w:val="chineseCounting"/>
      <w:suff w:val="nothing"/>
      <w:lvlText w:val="%1、"/>
      <w:lvlJc w:val="left"/>
      <w:rPr>
        <w:rFonts w:hint="eastAsia"/>
        <w:b/>
        <w:bCs/>
      </w:rPr>
    </w:lvl>
  </w:abstractNum>
  <w:abstractNum w:abstractNumId="2">
    <w:nsid w:val="064BE252"/>
    <w:multiLevelType w:val="singleLevel"/>
    <w:tmpl w:val="064BE252"/>
    <w:lvl w:ilvl="0" w:tentative="0">
      <w:start w:val="1"/>
      <w:numFmt w:val="decimal"/>
      <w:pStyle w:val="7"/>
      <w:lvlText w:val="%1."/>
      <w:lvlJc w:val="left"/>
      <w:pPr>
        <w:tabs>
          <w:tab w:val="left" w:pos="360"/>
        </w:tabs>
        <w:ind w:left="36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B5EF9"/>
    <w:rsid w:val="079B25E0"/>
    <w:rsid w:val="07A34FF1"/>
    <w:rsid w:val="07B0452B"/>
    <w:rsid w:val="07B62F76"/>
    <w:rsid w:val="07D16002"/>
    <w:rsid w:val="07E31891"/>
    <w:rsid w:val="07E35D35"/>
    <w:rsid w:val="07F01A92"/>
    <w:rsid w:val="080737D2"/>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BB0AEB"/>
    <w:rsid w:val="11C97EA9"/>
    <w:rsid w:val="11DA5964"/>
    <w:rsid w:val="11E54CD2"/>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87C76"/>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4FB2991"/>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AFF47DC"/>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871F0"/>
    <w:rsid w:val="1FAB33E8"/>
    <w:rsid w:val="1FAB6CE1"/>
    <w:rsid w:val="1FB5190D"/>
    <w:rsid w:val="1FC12BF7"/>
    <w:rsid w:val="1FCB2EDF"/>
    <w:rsid w:val="1FE16BA6"/>
    <w:rsid w:val="1FF93EF0"/>
    <w:rsid w:val="1FF95C9E"/>
    <w:rsid w:val="1FFB1D03"/>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821CC5"/>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A184E"/>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70553A"/>
    <w:rsid w:val="2C730B86"/>
    <w:rsid w:val="2C9B780D"/>
    <w:rsid w:val="2C9F2B97"/>
    <w:rsid w:val="2CA760BB"/>
    <w:rsid w:val="2CB90C8F"/>
    <w:rsid w:val="2CD535EF"/>
    <w:rsid w:val="2CD634E0"/>
    <w:rsid w:val="2CDA585C"/>
    <w:rsid w:val="2CF6225B"/>
    <w:rsid w:val="2D1139FF"/>
    <w:rsid w:val="2D4A18E7"/>
    <w:rsid w:val="2D5101A8"/>
    <w:rsid w:val="2D572256"/>
    <w:rsid w:val="2D630BFB"/>
    <w:rsid w:val="2D6B4704"/>
    <w:rsid w:val="2D855015"/>
    <w:rsid w:val="2D9E66A8"/>
    <w:rsid w:val="2DAC0C1E"/>
    <w:rsid w:val="2DBD7B99"/>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E0B46"/>
    <w:rsid w:val="2F3F11F4"/>
    <w:rsid w:val="2F45680A"/>
    <w:rsid w:val="2F5C1DA5"/>
    <w:rsid w:val="2F621523"/>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083BE3"/>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E060C40"/>
    <w:rsid w:val="3E32264F"/>
    <w:rsid w:val="3E410AE4"/>
    <w:rsid w:val="3E432AAE"/>
    <w:rsid w:val="3E5D1F87"/>
    <w:rsid w:val="3E602B0F"/>
    <w:rsid w:val="3E674787"/>
    <w:rsid w:val="3E8310FD"/>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CF3ECE"/>
    <w:rsid w:val="3FD140EA"/>
    <w:rsid w:val="3FDC0668"/>
    <w:rsid w:val="3FF57DD8"/>
    <w:rsid w:val="3FF77EED"/>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006B7"/>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934F8"/>
    <w:rsid w:val="42FE533E"/>
    <w:rsid w:val="43122A4F"/>
    <w:rsid w:val="431247FD"/>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EA77D2"/>
    <w:rsid w:val="46FC25A6"/>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A478D"/>
    <w:rsid w:val="4BCD4DA7"/>
    <w:rsid w:val="4BD72A88"/>
    <w:rsid w:val="4C003D8D"/>
    <w:rsid w:val="4C2D65B7"/>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7A32CC"/>
    <w:rsid w:val="51AB6549"/>
    <w:rsid w:val="51AC22C1"/>
    <w:rsid w:val="51B51175"/>
    <w:rsid w:val="51B655ED"/>
    <w:rsid w:val="51BC69A8"/>
    <w:rsid w:val="51C45B1E"/>
    <w:rsid w:val="51DD027E"/>
    <w:rsid w:val="51F7425E"/>
    <w:rsid w:val="51FF4AE6"/>
    <w:rsid w:val="5202766A"/>
    <w:rsid w:val="52075749"/>
    <w:rsid w:val="52086E88"/>
    <w:rsid w:val="520914C1"/>
    <w:rsid w:val="522D51B0"/>
    <w:rsid w:val="52385255"/>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216B5"/>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0A624B"/>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6240BF"/>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81B16"/>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D59E3"/>
    <w:rsid w:val="656F7435"/>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20E31"/>
    <w:rsid w:val="685F19E3"/>
    <w:rsid w:val="685F7957"/>
    <w:rsid w:val="687F2281"/>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D03E7"/>
    <w:rsid w:val="6A7449B2"/>
    <w:rsid w:val="6A8706F1"/>
    <w:rsid w:val="6A9736B6"/>
    <w:rsid w:val="6AA302AD"/>
    <w:rsid w:val="6AA61B4B"/>
    <w:rsid w:val="6AA67D9D"/>
    <w:rsid w:val="6AA95198"/>
    <w:rsid w:val="6ABF6769"/>
    <w:rsid w:val="6AD12266"/>
    <w:rsid w:val="6AD57716"/>
    <w:rsid w:val="6AD73E3C"/>
    <w:rsid w:val="6AF1726A"/>
    <w:rsid w:val="6AF208E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20324C"/>
    <w:rsid w:val="704936A5"/>
    <w:rsid w:val="704C06A7"/>
    <w:rsid w:val="706128E0"/>
    <w:rsid w:val="70651B61"/>
    <w:rsid w:val="706F478E"/>
    <w:rsid w:val="708E10B8"/>
    <w:rsid w:val="708E2E66"/>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134850"/>
    <w:rsid w:val="79426EE3"/>
    <w:rsid w:val="794C71C1"/>
    <w:rsid w:val="796609EE"/>
    <w:rsid w:val="79786DA9"/>
    <w:rsid w:val="797F5A41"/>
    <w:rsid w:val="798C63B0"/>
    <w:rsid w:val="79975481"/>
    <w:rsid w:val="79A851F6"/>
    <w:rsid w:val="79C67B14"/>
    <w:rsid w:val="79EB30D7"/>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DA593C"/>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434CC"/>
    <w:rsid w:val="7F5E434B"/>
    <w:rsid w:val="7F741DC0"/>
    <w:rsid w:val="7F7F4D53"/>
    <w:rsid w:val="7F8D69DE"/>
    <w:rsid w:val="7F9B4DDA"/>
    <w:rsid w:val="7FA44454"/>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2">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qFormat/>
    <w:uiPriority w:val="0"/>
    <w:pPr>
      <w:spacing w:line="380" w:lineRule="exact"/>
    </w:pPr>
    <w:rPr>
      <w:kern w:val="0"/>
      <w:sz w:val="24"/>
    </w:rPr>
  </w:style>
  <w:style w:type="paragraph" w:styleId="14">
    <w:name w:val="Date"/>
    <w:basedOn w:val="1"/>
    <w:next w:val="1"/>
    <w:qFormat/>
    <w:uiPriority w:val="0"/>
    <w:rPr>
      <w:sz w:val="24"/>
    </w:rPr>
  </w:style>
  <w:style w:type="paragraph" w:styleId="15">
    <w:name w:val="Body Text Indent"/>
    <w:basedOn w:val="1"/>
    <w:qFormat/>
    <w:uiPriority w:val="0"/>
    <w:pPr>
      <w:ind w:firstLine="830" w:firstLineChars="352"/>
    </w:pPr>
    <w:rPr>
      <w:rFonts w:ascii="仿宋_GB2312" w:eastAsia="仿宋_GB2312"/>
      <w:kern w:val="0"/>
      <w:sz w:val="32"/>
      <w:szCs w:val="20"/>
    </w:rPr>
  </w:style>
  <w:style w:type="paragraph" w:styleId="16">
    <w:name w:val="List 2"/>
    <w:basedOn w:val="1"/>
    <w:qFormat/>
    <w:uiPriority w:val="0"/>
    <w:pPr>
      <w:ind w:left="100" w:leftChars="200" w:hanging="200" w:hangingChars="200"/>
    </w:pPr>
    <w:rPr>
      <w:rFonts w:ascii="Verdana" w:hAnsi="Verdana"/>
      <w:sz w:val="28"/>
    </w:rPr>
  </w:style>
  <w:style w:type="paragraph" w:styleId="17">
    <w:name w:val="toc 3"/>
    <w:basedOn w:val="1"/>
    <w:next w:val="1"/>
    <w:qFormat/>
    <w:uiPriority w:val="0"/>
    <w:pPr>
      <w:ind w:left="840" w:leftChars="400"/>
    </w:pPr>
  </w:style>
  <w:style w:type="paragraph" w:styleId="18">
    <w:name w:val="Plain Text"/>
    <w:basedOn w:val="1"/>
    <w:next w:val="1"/>
    <w:qFormat/>
    <w:uiPriority w:val="0"/>
    <w:rPr>
      <w:rFonts w:ascii="宋体" w:hAnsi="Courier New"/>
      <w:kern w:val="0"/>
      <w:sz w:val="20"/>
      <w:szCs w:val="21"/>
    </w:rPr>
  </w:style>
  <w:style w:type="paragraph" w:styleId="19">
    <w:name w:val="footer"/>
    <w:basedOn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5"/>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5"/>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1903</Words>
  <Characters>2156</Characters>
  <Lines>0</Lines>
  <Paragraphs>0</Paragraphs>
  <TotalTime>1</TotalTime>
  <ScaleCrop>false</ScaleCrop>
  <LinksUpToDate>false</LinksUpToDate>
  <CharactersWithSpaces>2237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路小路</cp:lastModifiedBy>
  <cp:lastPrinted>2026-09-15T03:23:00Z</cp:lastPrinted>
  <dcterms:modified xsi:type="dcterms:W3CDTF">2026-09-21T07:29:47Z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6EB2D53824A943AC8248F347D99A7613_13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