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600" w:lineRule="exact"/>
        <w:jc w:val="center"/>
        <w:rPr>
          <w:rFonts w:hint="eastAsia" w:ascii="宋体" w:hAnsi="宋体" w:eastAsia="宋体"/>
          <w:b/>
          <w:sz w:val="72"/>
          <w:szCs w:val="72"/>
          <w:lang w:eastAsia="zh-CN"/>
        </w:rPr>
      </w:pPr>
    </w:p>
    <w:p w14:paraId="345907D3">
      <w:pPr>
        <w:spacing w:before="312" w:beforeLines="100" w:after="156" w:afterLines="50" w:line="600" w:lineRule="exact"/>
        <w:jc w:val="center"/>
        <w:rPr>
          <w:rFonts w:hint="eastAsia" w:ascii="宋体" w:hAnsi="宋体"/>
          <w:b/>
          <w:sz w:val="72"/>
          <w:szCs w:val="72"/>
        </w:rPr>
      </w:pPr>
    </w:p>
    <w:p w14:paraId="14ADFCB2">
      <w:pPr>
        <w:spacing w:before="312" w:beforeLines="100" w:after="156" w:afterLines="50" w:line="600" w:lineRule="exact"/>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600" w:lineRule="exact"/>
        <w:jc w:val="center"/>
        <w:rPr>
          <w:rFonts w:hint="eastAsia" w:ascii="宋体" w:hAnsi="宋体"/>
          <w:b/>
          <w:sz w:val="72"/>
          <w:szCs w:val="72"/>
        </w:rPr>
      </w:pPr>
    </w:p>
    <w:p w14:paraId="69A40B1D">
      <w:pPr>
        <w:spacing w:before="312" w:beforeLines="100" w:after="156" w:afterLines="50" w:line="600" w:lineRule="exact"/>
        <w:jc w:val="center"/>
        <w:rPr>
          <w:rFonts w:hint="eastAsia" w:ascii="宋体" w:hAnsi="宋体"/>
          <w:b/>
          <w:sz w:val="72"/>
          <w:szCs w:val="72"/>
        </w:rPr>
      </w:pPr>
    </w:p>
    <w:p w14:paraId="1A77BABC">
      <w:pPr>
        <w:spacing w:before="312" w:beforeLines="100" w:after="156" w:afterLines="50" w:line="600" w:lineRule="exact"/>
        <w:jc w:val="center"/>
        <w:rPr>
          <w:rFonts w:hint="eastAsia" w:ascii="宋体" w:hAnsi="宋体"/>
          <w:b/>
          <w:sz w:val="72"/>
          <w:szCs w:val="72"/>
        </w:rPr>
      </w:pPr>
    </w:p>
    <w:p w14:paraId="434AFEC0">
      <w:pPr>
        <w:spacing w:line="400" w:lineRule="exact"/>
        <w:jc w:val="center"/>
        <w:rPr>
          <w:rFonts w:hint="eastAsia" w:ascii="宋体" w:hAnsi="宋体"/>
          <w:b/>
          <w:sz w:val="32"/>
          <w:szCs w:val="32"/>
        </w:rPr>
      </w:pPr>
    </w:p>
    <w:p w14:paraId="7C62A841">
      <w:pPr>
        <w:spacing w:line="360" w:lineRule="auto"/>
        <w:jc w:val="center"/>
        <w:rPr>
          <w:rFonts w:hint="eastAsia" w:ascii="宋体" w:hAnsi="宋体"/>
          <w:b/>
          <w:sz w:val="32"/>
          <w:szCs w:val="32"/>
        </w:rPr>
      </w:pPr>
    </w:p>
    <w:p w14:paraId="6D06032C">
      <w:pPr>
        <w:pStyle w:val="17"/>
        <w:keepNext w:val="0"/>
        <w:keepLines w:val="0"/>
        <w:pageBreakBefore w:val="0"/>
        <w:widowControl w:val="0"/>
        <w:kinsoku/>
        <w:wordWrap/>
        <w:overflowPunct/>
        <w:topLinePunct w:val="0"/>
        <w:autoSpaceDE/>
        <w:autoSpaceDN/>
        <w:bidi w:val="0"/>
        <w:adjustRightInd/>
        <w:snapToGrid w:val="0"/>
        <w:spacing w:before="50" w:after="120" w:line="360" w:lineRule="auto"/>
        <w:ind w:firstLine="1285" w:firstLineChars="400"/>
        <w:textAlignment w:val="auto"/>
        <w:rPr>
          <w:rFonts w:hint="eastAsia" w:ascii="Times New Roman" w:hAnsi="宋体" w:eastAsia="宋体" w:cs="Times New Roman"/>
          <w:b/>
          <w:kern w:val="2"/>
          <w:sz w:val="32"/>
          <w:szCs w:val="32"/>
          <w:lang w:val="en-US" w:eastAsia="zh-CN" w:bidi="ar-SA"/>
        </w:rPr>
      </w:pPr>
      <w:r>
        <w:rPr>
          <w:rFonts w:hint="eastAsia" w:ascii="宋体" w:hAnsi="宋体" w:eastAsia="宋体"/>
          <w:b/>
          <w:sz w:val="32"/>
          <w:szCs w:val="32"/>
          <w:lang w:eastAsia="zh-CN"/>
        </w:rPr>
        <w:t>项目名称：</w:t>
      </w:r>
      <w:r>
        <w:rPr>
          <w:rFonts w:hint="eastAsia" w:ascii="宋体" w:hAnsi="宋体" w:eastAsia="宋体"/>
          <w:b/>
          <w:sz w:val="32"/>
          <w:szCs w:val="32"/>
          <w:lang w:val="en-US" w:eastAsia="zh-CN"/>
        </w:rPr>
        <w:t>检验科标准菌株采购项目</w:t>
      </w:r>
    </w:p>
    <w:p w14:paraId="0FE7D269">
      <w:pPr>
        <w:pStyle w:val="17"/>
        <w:keepNext w:val="0"/>
        <w:keepLines w:val="0"/>
        <w:pageBreakBefore w:val="0"/>
        <w:widowControl w:val="0"/>
        <w:kinsoku/>
        <w:wordWrap/>
        <w:overflowPunct/>
        <w:topLinePunct w:val="0"/>
        <w:autoSpaceDE/>
        <w:autoSpaceDN/>
        <w:bidi w:val="0"/>
        <w:adjustRightInd/>
        <w:snapToGrid w:val="0"/>
        <w:spacing w:before="50" w:after="120" w:line="360" w:lineRule="auto"/>
        <w:ind w:firstLine="1285" w:firstLineChars="400"/>
        <w:textAlignment w:val="auto"/>
        <w:rPr>
          <w:rFonts w:hint="eastAsia" w:ascii="宋体" w:hAnsi="宋体"/>
          <w:b/>
          <w:color w:val="FF0000"/>
          <w:sz w:val="32"/>
          <w:szCs w:val="32"/>
          <w:lang w:eastAsia="zh-CN"/>
        </w:rPr>
      </w:pPr>
      <w:r>
        <w:rPr>
          <w:rFonts w:hint="eastAsia" w:ascii="宋体" w:hAnsi="宋体"/>
          <w:b/>
          <w:sz w:val="32"/>
          <w:szCs w:val="32"/>
          <w:lang w:eastAsia="zh-CN"/>
        </w:rPr>
        <w:t>项目编号：GXSZ2026-0</w:t>
      </w:r>
      <w:r>
        <w:rPr>
          <w:rFonts w:hint="eastAsia" w:hAnsi="宋体"/>
          <w:b/>
          <w:sz w:val="32"/>
          <w:szCs w:val="32"/>
          <w:lang w:val="en-US" w:eastAsia="zh-CN"/>
        </w:rPr>
        <w:t>14</w:t>
      </w:r>
      <w:r>
        <w:rPr>
          <w:rFonts w:hint="eastAsia" w:ascii="宋体" w:hAnsi="宋体"/>
          <w:b/>
          <w:sz w:val="32"/>
          <w:szCs w:val="32"/>
          <w:lang w:eastAsia="zh-CN"/>
        </w:rPr>
        <w:t>-JYB</w:t>
      </w:r>
    </w:p>
    <w:p w14:paraId="28764F66">
      <w:pPr>
        <w:keepNext w:val="0"/>
        <w:keepLines w:val="0"/>
        <w:pageBreakBefore w:val="0"/>
        <w:widowControl w:val="0"/>
        <w:kinsoku/>
        <w:wordWrap/>
        <w:overflowPunct/>
        <w:topLinePunct w:val="0"/>
        <w:autoSpaceDE/>
        <w:autoSpaceDN/>
        <w:bidi w:val="0"/>
        <w:adjustRightInd/>
        <w:spacing w:line="360" w:lineRule="auto"/>
        <w:ind w:firstLine="1285" w:firstLineChars="400"/>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31D4DE08">
      <w:pPr>
        <w:spacing w:line="400" w:lineRule="exact"/>
        <w:jc w:val="center"/>
        <w:rPr>
          <w:rFonts w:hint="eastAsia" w:ascii="宋体" w:hAnsi="宋体"/>
          <w:b/>
          <w:sz w:val="32"/>
          <w:szCs w:val="32"/>
        </w:rPr>
      </w:pPr>
    </w:p>
    <w:p w14:paraId="24F97C84">
      <w:pPr>
        <w:spacing w:line="400" w:lineRule="exact"/>
        <w:jc w:val="both"/>
        <w:rPr>
          <w:rFonts w:hint="eastAsia" w:ascii="宋体" w:hAnsi="宋体"/>
          <w:b/>
          <w:sz w:val="32"/>
          <w:szCs w:val="32"/>
        </w:rPr>
      </w:pPr>
    </w:p>
    <w:p w14:paraId="732B3909">
      <w:pPr>
        <w:spacing w:line="400" w:lineRule="exact"/>
        <w:jc w:val="center"/>
        <w:rPr>
          <w:rFonts w:hint="eastAsia" w:ascii="宋体" w:hAnsi="宋体"/>
          <w:b/>
          <w:sz w:val="32"/>
          <w:szCs w:val="32"/>
        </w:rPr>
      </w:pPr>
    </w:p>
    <w:p w14:paraId="3DAAB2A5">
      <w:pPr>
        <w:spacing w:line="400" w:lineRule="exact"/>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9</w:t>
      </w:r>
      <w:r>
        <w:rPr>
          <w:rFonts w:hint="eastAsia" w:ascii="宋体" w:hAnsi="宋体"/>
          <w:b/>
          <w:sz w:val="32"/>
          <w:szCs w:val="32"/>
        </w:rPr>
        <w:t>月</w:t>
      </w:r>
    </w:p>
    <w:p w14:paraId="4ED003AD">
      <w:pPr>
        <w:spacing w:line="400" w:lineRule="exact"/>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400" w:lineRule="exact"/>
        <w:jc w:val="center"/>
        <w:rPr>
          <w:rFonts w:hint="eastAsia" w:ascii="宋体" w:hAnsi="宋体"/>
          <w:b/>
          <w:sz w:val="32"/>
          <w:szCs w:val="32"/>
        </w:rPr>
      </w:pPr>
      <w:r>
        <w:rPr>
          <w:rFonts w:hint="eastAsia" w:ascii="宋体" w:hAnsi="宋体"/>
          <w:b/>
          <w:sz w:val="32"/>
          <w:szCs w:val="32"/>
        </w:rPr>
        <w:t>目   录</w:t>
      </w:r>
    </w:p>
    <w:p w14:paraId="65CA51B4">
      <w:pPr>
        <w:pStyle w:val="20"/>
        <w:tabs>
          <w:tab w:val="right" w:leader="dot" w:pos="8788"/>
        </w:tabs>
        <w:rPr>
          <w:rFonts w:hint="eastAsia" w:ascii="Times New Roman" w:hAnsi="Times New Roman" w:eastAsia="宋体" w:cs="Times New Roman"/>
          <w:sz w:val="28"/>
          <w:szCs w:val="28"/>
          <w:highlight w:val="none"/>
          <w:lang w:val="en-US" w:eastAsia="zh-CN"/>
        </w:rPr>
      </w:pPr>
    </w:p>
    <w:p w14:paraId="4130A916">
      <w:pPr>
        <w:pStyle w:val="20"/>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0"/>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sz w:val="28"/>
          <w:szCs w:val="28"/>
        </w:rPr>
        <w:fldChar w:fldCharType="begin"/>
      </w:r>
      <w:r>
        <w:rPr>
          <w:sz w:val="28"/>
          <w:szCs w:val="28"/>
        </w:rPr>
        <w:instrText xml:space="preserve"> PAGEREF _Toc30074 \h </w:instrText>
      </w:r>
      <w:r>
        <w:rPr>
          <w:sz w:val="28"/>
          <w:szCs w:val="28"/>
        </w:rPr>
        <w:fldChar w:fldCharType="separate"/>
      </w:r>
      <w:r>
        <w:rPr>
          <w:sz w:val="28"/>
          <w:szCs w:val="28"/>
        </w:rPr>
        <w:t>6</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5E0DA633">
      <w:pPr>
        <w:pStyle w:val="20"/>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sz w:val="28"/>
          <w:szCs w:val="28"/>
        </w:rPr>
        <w:fldChar w:fldCharType="begin"/>
      </w:r>
      <w:r>
        <w:rPr>
          <w:sz w:val="28"/>
          <w:szCs w:val="28"/>
        </w:rPr>
        <w:instrText xml:space="preserve"> PAGEREF _Toc18067 \h </w:instrText>
      </w:r>
      <w:r>
        <w:rPr>
          <w:sz w:val="28"/>
          <w:szCs w:val="28"/>
        </w:rPr>
        <w:fldChar w:fldCharType="separate"/>
      </w:r>
      <w:r>
        <w:rPr>
          <w:sz w:val="28"/>
          <w:szCs w:val="28"/>
        </w:rPr>
        <w:t>9</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73BAD2EA">
      <w:pPr>
        <w:pStyle w:val="20"/>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sz w:val="28"/>
          <w:szCs w:val="28"/>
        </w:rPr>
        <w:fldChar w:fldCharType="begin"/>
      </w:r>
      <w:r>
        <w:rPr>
          <w:sz w:val="28"/>
          <w:szCs w:val="28"/>
        </w:rPr>
        <w:instrText xml:space="preserve"> PAGEREF _Toc22671 \h </w:instrText>
      </w:r>
      <w:r>
        <w:rPr>
          <w:sz w:val="28"/>
          <w:szCs w:val="28"/>
        </w:rPr>
        <w:fldChar w:fldCharType="separate"/>
      </w:r>
      <w:r>
        <w:rPr>
          <w:sz w:val="28"/>
          <w:szCs w:val="28"/>
        </w:rPr>
        <w:t>12</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29AD163D">
      <w:pPr>
        <w:pStyle w:val="20"/>
        <w:tabs>
          <w:tab w:val="right" w:leader="dot" w:pos="8788"/>
        </w:tabs>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9294"/>
      <w:bookmarkStart w:id="1" w:name="_Toc499576933"/>
    </w:p>
    <w:p w14:paraId="50AF129E">
      <w:pPr>
        <w:rPr>
          <w:rFonts w:hint="eastAsia" w:ascii="宋体" w:hAnsi="宋体" w:eastAsia="宋体" w:cs="宋体"/>
          <w:sz w:val="30"/>
          <w:szCs w:val="30"/>
        </w:rPr>
      </w:pPr>
      <w:r>
        <w:rPr>
          <w:rFonts w:hint="eastAsia" w:ascii="宋体" w:hAnsi="宋体" w:eastAsia="宋体" w:cs="宋体"/>
          <w:sz w:val="30"/>
          <w:szCs w:val="30"/>
        </w:rPr>
        <w:br w:type="page"/>
      </w:r>
    </w:p>
    <w:p w14:paraId="615365A3">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宋体" w:hAnsi="宋体" w:eastAsia="宋体" w:cs="Times New Roman"/>
          <w:szCs w:val="21"/>
          <w:lang w:val="en-US" w:eastAsia="zh-CN"/>
        </w:rPr>
      </w:pPr>
      <w:bookmarkStart w:id="2" w:name="_Toc17140"/>
      <w:r>
        <w:rPr>
          <w:rFonts w:hint="eastAsia"/>
          <w:sz w:val="36"/>
          <w:szCs w:val="36"/>
          <w:lang w:val="en-US" w:eastAsia="zh-CN"/>
        </w:rPr>
        <w:t>第一章</w:t>
      </w:r>
      <w:r>
        <w:rPr>
          <w:rFonts w:hint="eastAsia" w:eastAsia="宋体"/>
          <w:sz w:val="36"/>
          <w:szCs w:val="36"/>
          <w:lang w:val="en-US" w:eastAsia="zh-CN"/>
        </w:rPr>
        <w:t xml:space="preserve"> 采购公告</w:t>
      </w:r>
      <w:bookmarkEnd w:id="0"/>
      <w:bookmarkEnd w:id="1"/>
      <w:bookmarkEnd w:id="2"/>
    </w:p>
    <w:p w14:paraId="5650C92D">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根据医院工作需要，现对检验科标准菌株采购项目进行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33994151">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7F2AE70D">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1.项目名称：检验科标准菌株采购项目</w:t>
      </w:r>
    </w:p>
    <w:p w14:paraId="21F5BAD0">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2.项目编号：GXSZ2026-014-JYB</w:t>
      </w:r>
    </w:p>
    <w:p w14:paraId="7C907703">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3.采购方式：</w:t>
      </w:r>
      <w:r>
        <w:rPr>
          <w:rFonts w:hint="eastAsia" w:ascii="宋体" w:hAnsi="宋体" w:cs="Times New Roman"/>
          <w:szCs w:val="21"/>
          <w:lang w:val="en-US" w:eastAsia="zh-CN"/>
        </w:rPr>
        <w:t>院内询价</w:t>
      </w:r>
    </w:p>
    <w:p w14:paraId="09318853">
      <w:pPr>
        <w:spacing w:line="400" w:lineRule="exact"/>
        <w:ind w:firstLine="420" w:firstLineChars="200"/>
        <w:rPr>
          <w:rFonts w:hint="eastAsia" w:ascii="宋体" w:hAnsi="宋体"/>
          <w:szCs w:val="21"/>
        </w:rPr>
      </w:pPr>
      <w:r>
        <w:rPr>
          <w:rFonts w:hint="eastAsia" w:ascii="宋体" w:hAnsi="宋体" w:eastAsia="宋体" w:cs="Times New Roman"/>
          <w:szCs w:val="21"/>
          <w:lang w:val="en-US" w:eastAsia="zh-CN"/>
        </w:rPr>
        <w:t xml:space="preserve">4.预算金额：人民币（大写）壹万贰仟元整 </w:t>
      </w:r>
      <w:r>
        <w:rPr>
          <w:rFonts w:hint="eastAsia" w:ascii="宋体" w:hAnsi="宋体"/>
          <w:szCs w:val="21"/>
        </w:rPr>
        <w:t xml:space="preserve"> </w:t>
      </w:r>
      <w:r>
        <w:rPr>
          <w:rFonts w:hint="eastAsia" w:ascii="宋体" w:hAnsi="宋体" w:eastAsia="宋体" w:cs="宋体"/>
          <w:sz w:val="21"/>
          <w:szCs w:val="21"/>
          <w:lang w:val="en-US" w:eastAsia="zh-CN"/>
        </w:rPr>
        <w:t>(¥12</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000.00)</w:t>
      </w:r>
    </w:p>
    <w:p w14:paraId="324FA741">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5.采购内容：详见</w:t>
      </w:r>
      <w:r>
        <w:rPr>
          <w:rFonts w:hint="eastAsia" w:ascii="宋体" w:hAnsi="宋体" w:cs="Times New Roman"/>
          <w:szCs w:val="21"/>
          <w:lang w:val="en-US" w:eastAsia="zh-CN"/>
        </w:rPr>
        <w:t>《采购项目需求》第二章内容。</w:t>
      </w:r>
    </w:p>
    <w:p w14:paraId="7DA9C303">
      <w:pPr>
        <w:numPr>
          <w:ilvl w:val="0"/>
          <w:numId w:val="0"/>
        </w:numPr>
        <w:spacing w:line="400" w:lineRule="exact"/>
        <w:ind w:firstLine="422" w:firstLineChars="200"/>
        <w:rPr>
          <w:rFonts w:hint="eastAsia" w:ascii="宋体" w:hAnsi="宋体" w:cs="宋体"/>
          <w:b/>
          <w:bCs/>
          <w:highlight w:val="none"/>
        </w:rPr>
      </w:pPr>
      <w:r>
        <w:rPr>
          <w:rFonts w:hint="eastAsia" w:ascii="宋体" w:hAnsi="宋体" w:cs="宋体"/>
          <w:b/>
          <w:bCs/>
          <w:highlight w:val="none"/>
        </w:rPr>
        <w:t>二、供应商的资格要求</w:t>
      </w:r>
    </w:p>
    <w:p w14:paraId="3BFB70C4">
      <w:pPr>
        <w:spacing w:line="40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1.满足《中华人民共和国政府采购法》第二十二条规定</w:t>
      </w:r>
      <w:r>
        <w:rPr>
          <w:rFonts w:hint="eastAsia" w:ascii="宋体" w:hAnsi="宋体"/>
          <w:szCs w:val="21"/>
          <w:highlight w:val="none"/>
          <w:lang w:eastAsia="zh-CN"/>
        </w:rPr>
        <w:t>：</w:t>
      </w:r>
    </w:p>
    <w:p w14:paraId="348C1D4C">
      <w:pPr>
        <w:spacing w:line="400" w:lineRule="exact"/>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243C48A0">
      <w:pPr>
        <w:spacing w:line="400" w:lineRule="exact"/>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1DCB4FAE">
      <w:pPr>
        <w:spacing w:line="400" w:lineRule="exact"/>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707F2453">
      <w:pPr>
        <w:spacing w:line="400" w:lineRule="exact"/>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495AE131">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24155F74">
      <w:pPr>
        <w:spacing w:line="400" w:lineRule="exact"/>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7D7D654E">
      <w:pPr>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2.国内注册（指按工商管理有关规定要求核准登记的）依法取得营业执照，经营范围达到本次采购需求的供应商。</w:t>
      </w:r>
    </w:p>
    <w:p w14:paraId="31CE0FAB">
      <w:p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3.本项目的特定资格要求：无。</w:t>
      </w:r>
    </w:p>
    <w:p w14:paraId="12DB9DC4">
      <w:pPr>
        <w:spacing w:line="400" w:lineRule="exact"/>
        <w:ind w:firstLine="420" w:firstLineChars="200"/>
        <w:rPr>
          <w:rFonts w:hint="default" w:ascii="宋体" w:hAnsi="宋体" w:eastAsia="宋体" w:cs="Arial"/>
          <w:szCs w:val="21"/>
          <w:highlight w:val="none"/>
          <w:lang w:val="en-US" w:eastAsia="zh-CN"/>
        </w:rPr>
      </w:pPr>
      <w:r>
        <w:rPr>
          <w:rFonts w:hint="eastAsia" w:ascii="宋体" w:hAnsi="宋体" w:eastAsia="宋体" w:cs="Arial"/>
          <w:szCs w:val="21"/>
          <w:highlight w:val="none"/>
          <w:lang w:val="en-US" w:eastAsia="zh-CN"/>
        </w:rPr>
        <w:t>4.本项目不允许外包、分包、转包，不接受联合体供应商参与本项目采购活动。</w:t>
      </w:r>
    </w:p>
    <w:p w14:paraId="14296CF5">
      <w:pPr>
        <w:numPr>
          <w:ilvl w:val="0"/>
          <w:numId w:val="0"/>
        </w:numPr>
        <w:spacing w:line="40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4FAEC39D">
      <w:pPr>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4EBF62FE">
      <w:pPr>
        <w:spacing w:line="400" w:lineRule="exact"/>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2.报名表：详见《采购项目需求》的第一章《采购项目报名表》，</w:t>
      </w:r>
      <w:r>
        <w:rPr>
          <w:rFonts w:hint="eastAsia" w:ascii="宋体" w:hAnsi="宋体" w:cs="Arial"/>
          <w:szCs w:val="21"/>
          <w:highlight w:val="none"/>
        </w:rPr>
        <w:t>本表不需要密封，签字盖章后</w:t>
      </w:r>
      <w:r>
        <w:rPr>
          <w:rFonts w:hint="eastAsia" w:ascii="宋体" w:hAnsi="宋体" w:cs="Arial"/>
          <w:szCs w:val="21"/>
          <w:highlight w:val="none"/>
          <w:lang w:val="en-US" w:eastAsia="zh-CN"/>
        </w:rPr>
        <w:t>生效</w:t>
      </w:r>
      <w:r>
        <w:rPr>
          <w:rFonts w:hint="eastAsia" w:ascii="宋体" w:hAnsi="宋体" w:cs="Arial"/>
          <w:szCs w:val="21"/>
          <w:highlight w:val="none"/>
        </w:rPr>
        <w:t>。</w:t>
      </w:r>
    </w:p>
    <w:p w14:paraId="2157028E">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四</w:t>
      </w:r>
      <w:r>
        <w:rPr>
          <w:rFonts w:hint="eastAsia" w:ascii="宋体" w:hAnsi="宋体"/>
          <w:b/>
          <w:szCs w:val="21"/>
          <w:highlight w:val="none"/>
        </w:rPr>
        <w:t>、响应文件递交截止时间和地点</w:t>
      </w:r>
    </w:p>
    <w:p w14:paraId="7E6F8A4A">
      <w:pPr>
        <w:snapToGrid w:val="0"/>
        <w:spacing w:line="400" w:lineRule="exact"/>
        <w:ind w:firstLine="420" w:firstLineChars="200"/>
        <w:rPr>
          <w:rFonts w:ascii="宋体" w:hAnsi="宋体"/>
          <w:szCs w:val="21"/>
          <w:highlight w:val="none"/>
        </w:rPr>
      </w:pPr>
      <w:r>
        <w:rPr>
          <w:rFonts w:hint="eastAsia" w:ascii="宋体" w:hAnsi="宋体"/>
          <w:szCs w:val="21"/>
          <w:highlight w:val="none"/>
        </w:rPr>
        <w:t>1.</w:t>
      </w:r>
      <w:r>
        <w:rPr>
          <w:rFonts w:hint="eastAsia" w:ascii="宋体" w:hAnsi="宋体"/>
          <w:szCs w:val="21"/>
          <w:highlight w:val="none"/>
          <w:lang w:val="en-US" w:eastAsia="zh-CN"/>
        </w:rPr>
        <w:t>递交时间：2026年</w:t>
      </w:r>
      <w:r>
        <w:rPr>
          <w:rFonts w:hint="eastAsia" w:ascii="宋体" w:hAnsi="宋体"/>
          <w:szCs w:val="21"/>
          <w:highlight w:val="none"/>
          <w:lang w:val="en-US" w:eastAsia="zh-CN"/>
        </w:rPr>
        <w:t>9月30 日至2026年</w:t>
      </w:r>
      <w:r>
        <w:rPr>
          <w:rFonts w:hint="eastAsia" w:ascii="宋体" w:hAnsi="宋体"/>
          <w:szCs w:val="21"/>
          <w:highlight w:val="none"/>
          <w:lang w:val="en-US" w:eastAsia="zh-CN"/>
        </w:rPr>
        <w:t xml:space="preserve"> 10月13 日</w:t>
      </w:r>
      <w:r>
        <w:rPr>
          <w:rFonts w:hint="eastAsia" w:ascii="宋体" w:hAnsi="宋体"/>
          <w:szCs w:val="21"/>
          <w:highlight w:val="none"/>
        </w:rPr>
        <w:t>（北京时间，正常上班时间：上午8:00-12:00，下午13:30-16:30，双休日和法定节假日不办理业务）</w:t>
      </w:r>
    </w:p>
    <w:p w14:paraId="5D8FA86E">
      <w:pPr>
        <w:snapToGrid w:val="0"/>
        <w:spacing w:line="400" w:lineRule="exact"/>
        <w:ind w:firstLine="420" w:firstLineChars="200"/>
        <w:rPr>
          <w:rFonts w:hint="eastAsia" w:ascii="宋体" w:hAnsi="宋体" w:cs="Arial"/>
          <w:szCs w:val="21"/>
          <w:highlight w:val="none"/>
        </w:rPr>
      </w:pPr>
      <w:r>
        <w:rPr>
          <w:rFonts w:hint="eastAsia" w:ascii="宋体" w:hAnsi="宋体"/>
          <w:szCs w:val="21"/>
          <w:highlight w:val="none"/>
        </w:rPr>
        <w:t>2.递交地点：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606B47EA">
      <w:pPr>
        <w:spacing w:line="400" w:lineRule="exact"/>
        <w:ind w:firstLine="422" w:firstLineChars="200"/>
        <w:rPr>
          <w:rFonts w:hint="default" w:ascii="宋体" w:hAnsi="宋体" w:eastAsia="宋体"/>
          <w:b/>
          <w:bCs/>
          <w:szCs w:val="21"/>
          <w:highlight w:val="none"/>
          <w:lang w:val="en-US" w:eastAsia="zh-CN"/>
        </w:rPr>
      </w:pPr>
      <w:r>
        <w:rPr>
          <w:rFonts w:hint="eastAsia" w:ascii="宋体" w:hAnsi="宋体"/>
          <w:b/>
          <w:szCs w:val="21"/>
          <w:highlight w:val="none"/>
        </w:rPr>
        <w:t>※3</w:t>
      </w:r>
      <w:r>
        <w:rPr>
          <w:rFonts w:ascii="宋体" w:hAnsi="宋体"/>
          <w:b/>
          <w:szCs w:val="21"/>
          <w:highlight w:val="none"/>
        </w:rPr>
        <w:t>.</w:t>
      </w:r>
      <w:r>
        <w:rPr>
          <w:rFonts w:hint="eastAsia" w:ascii="宋体" w:hAnsi="宋体" w:eastAsia="宋体" w:cs="Times New Roman"/>
          <w:b/>
          <w:szCs w:val="21"/>
          <w:highlight w:val="none"/>
        </w:rPr>
        <w:t>特别说明：（1）供应商所提交的材料须加盖单位公章方为有效；（2）《采购项目报名表》不需要密封，随同响应文件统一递交；（</w:t>
      </w:r>
      <w:r>
        <w:rPr>
          <w:rFonts w:hint="eastAsia" w:ascii="宋体" w:hAnsi="宋体" w:cs="Times New Roman"/>
          <w:b/>
          <w:szCs w:val="21"/>
          <w:highlight w:val="none"/>
          <w:lang w:val="en-US" w:eastAsia="zh-CN"/>
        </w:rPr>
        <w:t>3</w:t>
      </w:r>
      <w:r>
        <w:rPr>
          <w:rFonts w:hint="eastAsia" w:ascii="宋体" w:hAnsi="宋体" w:eastAsia="宋体" w:cs="Times New Roman"/>
          <w:b/>
          <w:szCs w:val="21"/>
          <w:highlight w:val="none"/>
        </w:rPr>
        <w:t>）响应文件密封有效，采用现场递交方式送达，未按要求密封、逾时送达的，采购人将予以拒收；（</w:t>
      </w:r>
      <w:r>
        <w:rPr>
          <w:rFonts w:hint="eastAsia" w:ascii="宋体" w:hAnsi="宋体" w:cs="Times New Roman"/>
          <w:b/>
          <w:szCs w:val="21"/>
          <w:highlight w:val="none"/>
          <w:lang w:val="en-US" w:eastAsia="zh-CN"/>
        </w:rPr>
        <w:t>4</w:t>
      </w:r>
      <w:r>
        <w:rPr>
          <w:rFonts w:hint="eastAsia" w:ascii="宋体" w:hAnsi="宋体" w:eastAsia="宋体" w:cs="Times New Roman"/>
          <w:b/>
          <w:szCs w:val="21"/>
          <w:highlight w:val="none"/>
        </w:rPr>
        <w:t>）询价时间由采购人另行电话通知。</w:t>
      </w:r>
    </w:p>
    <w:p w14:paraId="5FA6C7C3">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643CC4F9">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1.采购人：广西壮族自治区生殖医院</w:t>
      </w:r>
    </w:p>
    <w:p w14:paraId="7B793649">
      <w:pPr>
        <w:snapToGrid w:val="0"/>
        <w:spacing w:line="400" w:lineRule="exact"/>
        <w:ind w:firstLine="420" w:firstLineChars="200"/>
        <w:rPr>
          <w:rFonts w:hint="eastAsia" w:ascii="宋体" w:hAnsi="宋体"/>
          <w:color w:val="000000"/>
          <w:szCs w:val="21"/>
          <w:highlight w:val="none"/>
        </w:rPr>
      </w:pPr>
      <w:r>
        <w:rPr>
          <w:rFonts w:hint="eastAsia" w:ascii="宋体" w:hAnsi="宋体" w:cs="Arial"/>
          <w:szCs w:val="21"/>
          <w:highlight w:val="none"/>
        </w:rPr>
        <w:t>2.联系人：</w:t>
      </w:r>
      <w:r>
        <w:rPr>
          <w:rFonts w:hint="eastAsia" w:ascii="宋体" w:hAnsi="宋体" w:cs="Arial"/>
          <w:szCs w:val="21"/>
          <w:highlight w:val="none"/>
          <w:lang w:val="en-US" w:eastAsia="zh-CN"/>
        </w:rPr>
        <w:t>尹</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33EBE036">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3.联系电话：0771-2239975（招标采购办公室）、2239681（监察室）</w:t>
      </w:r>
    </w:p>
    <w:p w14:paraId="1AEC5C53">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六</w:t>
      </w:r>
      <w:r>
        <w:rPr>
          <w:rFonts w:hint="eastAsia" w:ascii="宋体" w:hAnsi="宋体"/>
          <w:b/>
          <w:szCs w:val="21"/>
          <w:highlight w:val="none"/>
        </w:rPr>
        <w:t>、网上公告媒体查询</w:t>
      </w:r>
    </w:p>
    <w:p w14:paraId="6FC3DA40">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fldChar w:fldCharType="begin"/>
      </w:r>
      <w:r>
        <w:rPr>
          <w:rFonts w:hint="eastAsia" w:ascii="宋体" w:hAnsi="宋体" w:cs="Arial"/>
          <w:szCs w:val="21"/>
          <w:highlight w:val="none"/>
        </w:rPr>
        <w:instrText xml:space="preserve"> HYPERLINK "http://www.gxszjk.com/index.html" </w:instrText>
      </w:r>
      <w:r>
        <w:rPr>
          <w:rFonts w:hint="eastAsia" w:ascii="宋体" w:hAnsi="宋体" w:cs="Arial"/>
          <w:szCs w:val="21"/>
          <w:highlight w:val="none"/>
        </w:rPr>
        <w:fldChar w:fldCharType="separate"/>
      </w:r>
      <w:r>
        <w:rPr>
          <w:rFonts w:hint="eastAsia" w:ascii="宋体" w:hAnsi="宋体" w:cs="Arial"/>
          <w:szCs w:val="21"/>
          <w:highlight w:val="none"/>
        </w:rPr>
        <w:t>www.gxszyy.cn</w:t>
      </w:r>
      <w:r>
        <w:rPr>
          <w:rFonts w:hint="eastAsia" w:ascii="宋体" w:hAnsi="宋体" w:cs="Arial"/>
          <w:szCs w:val="21"/>
          <w:highlight w:val="none"/>
        </w:rPr>
        <w:fldChar w:fldCharType="end"/>
      </w:r>
      <w:r>
        <w:rPr>
          <w:rFonts w:hint="eastAsia" w:ascii="宋体" w:hAnsi="宋体" w:cs="Arial"/>
          <w:szCs w:val="21"/>
          <w:highlight w:val="none"/>
        </w:rPr>
        <w:t>（广西壮族自治区生殖医院）</w:t>
      </w:r>
    </w:p>
    <w:p w14:paraId="720805E0">
      <w:pPr>
        <w:pStyle w:val="18"/>
        <w:spacing w:line="400" w:lineRule="exact"/>
        <w:rPr>
          <w:rFonts w:hint="eastAsia" w:ascii="宋体" w:hAnsi="宋体" w:cs="Arial"/>
          <w:szCs w:val="21"/>
          <w:highlight w:val="none"/>
        </w:rPr>
      </w:pPr>
    </w:p>
    <w:p w14:paraId="5323CDE0">
      <w:pPr>
        <w:widowControl/>
        <w:adjustRightInd w:val="0"/>
        <w:snapToGrid w:val="0"/>
        <w:spacing w:line="400" w:lineRule="exact"/>
        <w:ind w:firstLine="6300" w:firstLineChars="3000"/>
        <w:jc w:val="right"/>
        <w:rPr>
          <w:rFonts w:ascii="宋体" w:hAnsi="宋体"/>
          <w:szCs w:val="21"/>
          <w:highlight w:val="none"/>
        </w:rPr>
      </w:pPr>
      <w:r>
        <w:rPr>
          <w:rFonts w:hint="eastAsia" w:ascii="宋体" w:hAnsi="宋体"/>
          <w:szCs w:val="21"/>
          <w:highlight w:val="none"/>
        </w:rPr>
        <w:t>广西壮族自治区生殖医院</w:t>
      </w:r>
    </w:p>
    <w:p w14:paraId="27F40787">
      <w:pPr>
        <w:widowControl/>
        <w:adjustRightInd w:val="0"/>
        <w:snapToGrid w:val="0"/>
        <w:spacing w:line="400" w:lineRule="exact"/>
        <w:ind w:firstLine="6300" w:firstLineChars="3000"/>
        <w:jc w:val="center"/>
        <w:rPr>
          <w:rFonts w:hint="eastAsia" w:ascii="宋体" w:hAnsi="宋体"/>
          <w:szCs w:val="21"/>
          <w:highlight w:val="none"/>
        </w:rPr>
      </w:pPr>
      <w:r>
        <w:rPr>
          <w:rFonts w:hint="eastAsia" w:ascii="宋体" w:hAnsi="宋体"/>
          <w:szCs w:val="21"/>
          <w:highlight w:val="none"/>
        </w:rPr>
        <w:t xml:space="preserve">   2026年</w:t>
      </w:r>
      <w:r>
        <w:rPr>
          <w:rFonts w:hint="eastAsia" w:ascii="宋体" w:hAnsi="宋体"/>
          <w:szCs w:val="21"/>
          <w:highlight w:val="none"/>
          <w:lang w:val="en-US" w:eastAsia="zh-CN"/>
        </w:rPr>
        <w:t xml:space="preserve">9 </w:t>
      </w:r>
      <w:r>
        <w:rPr>
          <w:rFonts w:hint="eastAsia" w:ascii="宋体" w:hAnsi="宋体"/>
          <w:szCs w:val="21"/>
          <w:highlight w:val="none"/>
        </w:rPr>
        <w:t>月</w:t>
      </w:r>
      <w:r>
        <w:rPr>
          <w:rFonts w:hint="eastAsia" w:ascii="宋体" w:hAnsi="宋体"/>
          <w:szCs w:val="21"/>
          <w:highlight w:val="none"/>
          <w:lang w:val="en-US" w:eastAsia="zh-CN"/>
        </w:rPr>
        <w:t xml:space="preserve">30 </w:t>
      </w:r>
      <w:r>
        <w:rPr>
          <w:rFonts w:hint="eastAsia" w:ascii="宋体" w:hAnsi="宋体"/>
          <w:szCs w:val="21"/>
          <w:highlight w:val="none"/>
        </w:rPr>
        <w:t>日</w:t>
      </w:r>
    </w:p>
    <w:p w14:paraId="7E2E5FBD">
      <w:pPr>
        <w:widowControl/>
        <w:adjustRightInd w:val="0"/>
        <w:snapToGrid w:val="0"/>
        <w:spacing w:line="400" w:lineRule="exact"/>
        <w:ind w:firstLine="6300" w:firstLineChars="3000"/>
        <w:jc w:val="center"/>
        <w:rPr>
          <w:rFonts w:hint="eastAsia" w:ascii="宋体" w:hAnsi="宋体"/>
          <w:szCs w:val="21"/>
          <w:highlight w:val="none"/>
        </w:rPr>
      </w:pPr>
      <w:bookmarkStart w:id="9" w:name="_GoBack"/>
      <w:bookmarkEnd w:id="9"/>
      <w:r>
        <w:rPr>
          <w:rFonts w:hint="eastAsia" w:ascii="宋体" w:hAnsi="宋体"/>
          <w:szCs w:val="21"/>
          <w:highlight w:val="none"/>
        </w:rPr>
        <w:br w:type="page"/>
      </w:r>
    </w:p>
    <w:p w14:paraId="53354CF8">
      <w:pPr>
        <w:tabs>
          <w:tab w:val="left" w:pos="2520"/>
        </w:tabs>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29"/>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5000" w:type="pct"/>
            <w:vAlign w:val="center"/>
          </w:tcPr>
          <w:p w14:paraId="6AD37A66">
            <w:pPr>
              <w:pStyle w:val="5"/>
              <w:widowControl/>
              <w:spacing w:beforeAutospacing="0" w:afterAutospacing="0" w:line="480" w:lineRule="auto"/>
              <w:textAlignment w:val="baseline"/>
              <w:rPr>
                <w:rFonts w:hint="eastAsia" w:ascii="仿宋" w:hAnsi="仿宋" w:eastAsia="仿宋" w:cs="仿宋"/>
                <w:b w:val="0"/>
                <w:bCs w:val="0"/>
                <w:kern w:val="2"/>
                <w:sz w:val="28"/>
                <w:szCs w:val="28"/>
                <w:lang w:val="en-US" w:eastAsia="zh-CN" w:bidi="ar-SA"/>
              </w:rPr>
            </w:pPr>
            <w:bookmarkStart w:id="3"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w:t>
            </w:r>
            <w:bookmarkEnd w:id="3"/>
            <w:r>
              <w:rPr>
                <w:rFonts w:hint="eastAsia" w:ascii="仿宋" w:hAnsi="仿宋" w:eastAsia="仿宋" w:cs="仿宋"/>
                <w:b w:val="0"/>
                <w:bCs w:val="0"/>
                <w:kern w:val="2"/>
                <w:sz w:val="28"/>
                <w:szCs w:val="28"/>
                <w:lang w:val="en-US" w:eastAsia="zh-CN" w:bidi="ar-SA"/>
              </w:rPr>
              <w:t>检验科标准菌株采购项目</w:t>
            </w:r>
          </w:p>
          <w:p w14:paraId="3C5289AE">
            <w:pPr>
              <w:adjustRightInd w:val="0"/>
              <w:snapToGrid w:val="0"/>
              <w:spacing w:line="480" w:lineRule="auto"/>
              <w:jc w:val="left"/>
              <w:rPr>
                <w:rFonts w:hint="default"/>
                <w:sz w:val="28"/>
                <w:szCs w:val="28"/>
              </w:rPr>
            </w:pPr>
            <w:r>
              <w:rPr>
                <w:rFonts w:hint="eastAsia" w:ascii="仿宋" w:hAnsi="仿宋" w:eastAsia="仿宋" w:cs="仿宋"/>
                <w:sz w:val="28"/>
                <w:szCs w:val="28"/>
                <w:lang w:val="en-US" w:eastAsia="zh-CN"/>
              </w:rPr>
              <w:t>项目编号：GXSZ2026-014-JYB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48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bCs/>
                <w:kern w:val="2"/>
                <w:sz w:val="28"/>
                <w:szCs w:val="28"/>
                <w:u w:val="single"/>
                <w:lang w:val="en-US" w:eastAsia="zh-CN" w:bidi="ar-SA"/>
              </w:rPr>
              <w:t>检验科标准菌株采购项目</w:t>
            </w:r>
            <w:r>
              <w:rPr>
                <w:rFonts w:hint="eastAsia" w:ascii="仿宋" w:hAnsi="仿宋" w:eastAsia="仿宋" w:cs="仿宋"/>
                <w:b w:val="0"/>
                <w:bCs w:val="0"/>
                <w:kern w:val="2"/>
                <w:sz w:val="28"/>
                <w:szCs w:val="28"/>
                <w:lang w:val="en-US" w:eastAsia="zh-CN" w:bidi="ar-SA"/>
              </w:rPr>
              <w:t>院内询价采购活动。</w:t>
            </w:r>
          </w:p>
          <w:p w14:paraId="7392FAA8">
            <w:pPr>
              <w:spacing w:line="48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480" w:lineRule="auto"/>
              <w:rPr>
                <w:rFonts w:hint="eastAsia" w:ascii="仿宋" w:hAnsi="仿宋" w:eastAsia="仿宋" w:cs="仿宋"/>
                <w:b w:val="0"/>
                <w:bCs w:val="0"/>
                <w:kern w:val="2"/>
                <w:sz w:val="28"/>
                <w:szCs w:val="28"/>
                <w:lang w:val="en-US" w:eastAsia="zh-CN" w:bidi="ar-SA"/>
              </w:rPr>
            </w:pPr>
          </w:p>
          <w:p w14:paraId="6AC17DEA">
            <w:pPr>
              <w:spacing w:line="48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48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480" w:lineRule="auto"/>
              <w:rPr>
                <w:rFonts w:hint="eastAsia" w:ascii="仿宋" w:hAnsi="仿宋" w:eastAsia="仿宋" w:cs="仿宋"/>
                <w:b w:val="0"/>
                <w:bCs w:val="0"/>
                <w:kern w:val="2"/>
                <w:sz w:val="28"/>
                <w:szCs w:val="28"/>
                <w:lang w:val="en-US" w:eastAsia="zh-CN" w:bidi="ar-SA"/>
              </w:rPr>
            </w:pPr>
          </w:p>
          <w:p w14:paraId="039BBDA5">
            <w:pPr>
              <w:spacing w:line="48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48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48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480" w:lineRule="auto"/>
              <w:rPr>
                <w:rFonts w:hint="eastAsia" w:ascii="仿宋" w:hAnsi="仿宋" w:eastAsia="仿宋" w:cs="仿宋"/>
                <w:sz w:val="28"/>
                <w:szCs w:val="28"/>
                <w:lang w:val="en-US" w:eastAsia="zh-CN"/>
              </w:rPr>
            </w:pPr>
          </w:p>
          <w:p w14:paraId="19068098">
            <w:pPr>
              <w:spacing w:line="48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3E47B887">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eastAsia="宋体"/>
          <w:sz w:val="36"/>
          <w:szCs w:val="36"/>
          <w:lang w:val="en-US" w:eastAsia="zh-CN"/>
        </w:rPr>
      </w:pPr>
      <w:bookmarkStart w:id="4" w:name="_Toc30074"/>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4"/>
    </w:p>
    <w:p w14:paraId="030785B8">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一、项目基本情况</w:t>
      </w:r>
    </w:p>
    <w:p w14:paraId="221115C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1.项目名称：</w:t>
      </w:r>
      <w:r>
        <w:rPr>
          <w:rFonts w:hint="eastAsia" w:ascii="宋体" w:hAnsi="宋体" w:eastAsia="宋体" w:cs="Times New Roman"/>
          <w:szCs w:val="21"/>
          <w:lang w:val="en-US" w:eastAsia="zh-CN"/>
        </w:rPr>
        <w:t>检验科标准菌株采购项目</w:t>
      </w:r>
    </w:p>
    <w:p w14:paraId="303FD51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2.项目编号：GXSZ2026-0</w:t>
      </w:r>
      <w:r>
        <w:rPr>
          <w:rFonts w:hint="eastAsia" w:ascii="宋体" w:hAnsi="宋体" w:cs="宋体"/>
          <w:sz w:val="21"/>
          <w:szCs w:val="21"/>
          <w:lang w:val="en-US" w:eastAsia="zh-CN"/>
        </w:rPr>
        <w:t>14</w:t>
      </w:r>
      <w:r>
        <w:rPr>
          <w:rFonts w:hint="eastAsia" w:ascii="宋体" w:hAnsi="宋体" w:eastAsia="宋体" w:cs="宋体"/>
          <w:sz w:val="21"/>
          <w:szCs w:val="21"/>
          <w:lang w:val="en-US" w:eastAsia="zh-CN"/>
        </w:rPr>
        <w:t>-JYB</w:t>
      </w:r>
    </w:p>
    <w:p w14:paraId="3B74B6B5">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3.采购方式：院内询价</w:t>
      </w:r>
    </w:p>
    <w:p w14:paraId="637B407C">
      <w:pPr>
        <w:pageBreakBefore w:val="0"/>
        <w:kinsoku/>
        <w:wordWrap/>
        <w:overflowPunct/>
        <w:topLinePunct w:val="0"/>
        <w:autoSpaceDE/>
        <w:autoSpaceDN/>
        <w:bidi w:val="0"/>
        <w:adjustRightInd/>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4.预算金额：人民币（大写）壹万贰仟元整  (¥12</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000.00)</w:t>
      </w:r>
    </w:p>
    <w:p w14:paraId="5237A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二、项目需求</w:t>
      </w:r>
    </w:p>
    <w:tbl>
      <w:tblPr>
        <w:tblStyle w:val="2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2018"/>
        <w:gridCol w:w="756"/>
        <w:gridCol w:w="932"/>
        <w:gridCol w:w="824"/>
        <w:gridCol w:w="1476"/>
        <w:gridCol w:w="2354"/>
      </w:tblGrid>
      <w:tr w14:paraId="6AC3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55" w:type="pct"/>
            <w:noWrap w:val="0"/>
            <w:vAlign w:val="center"/>
          </w:tcPr>
          <w:p w14:paraId="2579AC2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序号</w:t>
            </w:r>
          </w:p>
        </w:tc>
        <w:tc>
          <w:tcPr>
            <w:tcW w:w="1121" w:type="pct"/>
            <w:noWrap w:val="0"/>
            <w:vAlign w:val="center"/>
          </w:tcPr>
          <w:p w14:paraId="4A8B04DE">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名称</w:t>
            </w:r>
          </w:p>
        </w:tc>
        <w:tc>
          <w:tcPr>
            <w:tcW w:w="420" w:type="pct"/>
            <w:noWrap w:val="0"/>
            <w:vAlign w:val="center"/>
          </w:tcPr>
          <w:p w14:paraId="3F27A157">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b/>
                <w:sz w:val="21"/>
                <w:szCs w:val="21"/>
                <w:highlight w:val="none"/>
                <w:lang w:val="en-US" w:eastAsia="zh-CN"/>
              </w:rPr>
            </w:pPr>
            <w:r>
              <w:rPr>
                <w:rFonts w:hint="eastAsia" w:ascii="宋体" w:hAnsi="宋体" w:cs="宋体"/>
                <w:b/>
                <w:sz w:val="21"/>
                <w:szCs w:val="21"/>
                <w:highlight w:val="none"/>
                <w:lang w:val="en-US" w:eastAsia="zh-CN"/>
              </w:rPr>
              <w:t>规格型号</w:t>
            </w:r>
          </w:p>
        </w:tc>
        <w:tc>
          <w:tcPr>
            <w:tcW w:w="518" w:type="pct"/>
            <w:noWrap w:val="0"/>
            <w:vAlign w:val="center"/>
          </w:tcPr>
          <w:p w14:paraId="79A9BEBA">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bCs/>
                <w:i w:val="0"/>
                <w:iCs w:val="0"/>
                <w:color w:val="000000"/>
                <w:kern w:val="2"/>
                <w:sz w:val="21"/>
                <w:szCs w:val="21"/>
                <w:u w:val="none"/>
                <w:lang w:val="en-US" w:eastAsia="zh-CN" w:bidi="ar-SA"/>
              </w:rPr>
              <w:t>数量</w:t>
            </w:r>
          </w:p>
        </w:tc>
        <w:tc>
          <w:tcPr>
            <w:tcW w:w="458" w:type="pct"/>
            <w:shd w:val="clear" w:color="auto" w:fill="FFFFFF"/>
            <w:noWrap w:val="0"/>
            <w:vAlign w:val="center"/>
          </w:tcPr>
          <w:p w14:paraId="787C4A86">
            <w:pPr>
              <w:keepNext w:val="0"/>
              <w:keepLines w:val="0"/>
              <w:widowControl/>
              <w:suppressLineNumbers w:val="0"/>
              <w:jc w:val="center"/>
              <w:textAlignment w:val="center"/>
              <w:rPr>
                <w:rFonts w:hint="default"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单位</w:t>
            </w:r>
          </w:p>
        </w:tc>
        <w:tc>
          <w:tcPr>
            <w:tcW w:w="820" w:type="pct"/>
            <w:noWrap w:val="0"/>
            <w:vAlign w:val="center"/>
          </w:tcPr>
          <w:p w14:paraId="5AC66D55">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采购预算单价（元）</w:t>
            </w:r>
          </w:p>
        </w:tc>
        <w:tc>
          <w:tcPr>
            <w:tcW w:w="1306" w:type="pct"/>
            <w:noWrap w:val="0"/>
            <w:vAlign w:val="center"/>
          </w:tcPr>
          <w:p w14:paraId="70C51435">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采购总预算（元）</w:t>
            </w:r>
          </w:p>
        </w:tc>
      </w:tr>
      <w:tr w14:paraId="7C7E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noWrap w:val="0"/>
            <w:vAlign w:val="center"/>
          </w:tcPr>
          <w:p w14:paraId="7A939D2D">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1121" w:type="pct"/>
            <w:noWrap w:val="0"/>
            <w:vAlign w:val="center"/>
          </w:tcPr>
          <w:p w14:paraId="6644EDE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大肠杆菌 ATCC25922</w:t>
            </w:r>
          </w:p>
        </w:tc>
        <w:tc>
          <w:tcPr>
            <w:tcW w:w="420" w:type="pct"/>
            <w:noWrap w:val="0"/>
            <w:vAlign w:val="center"/>
          </w:tcPr>
          <w:p w14:paraId="1A91E3D9">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2支/盒</w:t>
            </w:r>
          </w:p>
        </w:tc>
        <w:tc>
          <w:tcPr>
            <w:tcW w:w="518" w:type="pct"/>
            <w:noWrap w:val="0"/>
            <w:vAlign w:val="center"/>
          </w:tcPr>
          <w:p w14:paraId="6CF1FF67">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458" w:type="pct"/>
            <w:noWrap w:val="0"/>
            <w:vAlign w:val="center"/>
          </w:tcPr>
          <w:p w14:paraId="5F6CD69C">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盒</w:t>
            </w:r>
          </w:p>
        </w:tc>
        <w:tc>
          <w:tcPr>
            <w:tcW w:w="820" w:type="pct"/>
            <w:noWrap w:val="0"/>
            <w:vAlign w:val="center"/>
          </w:tcPr>
          <w:p w14:paraId="5A396ABC">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c>
          <w:tcPr>
            <w:tcW w:w="1306" w:type="pct"/>
            <w:noWrap w:val="0"/>
            <w:vAlign w:val="center"/>
          </w:tcPr>
          <w:p w14:paraId="5E6ECB22">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r>
      <w:tr w14:paraId="618FC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5" w:type="pct"/>
            <w:noWrap w:val="0"/>
            <w:vAlign w:val="center"/>
          </w:tcPr>
          <w:p w14:paraId="5C9C1EFC">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1121" w:type="pct"/>
            <w:noWrap w:val="0"/>
            <w:vAlign w:val="center"/>
          </w:tcPr>
          <w:p w14:paraId="0F0B21E4">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铜绿假单胞菌 ATCC27853</w:t>
            </w:r>
          </w:p>
        </w:tc>
        <w:tc>
          <w:tcPr>
            <w:tcW w:w="420" w:type="pct"/>
            <w:noWrap w:val="0"/>
            <w:vAlign w:val="center"/>
          </w:tcPr>
          <w:p w14:paraId="0BDE2B06">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2支/盒</w:t>
            </w:r>
          </w:p>
        </w:tc>
        <w:tc>
          <w:tcPr>
            <w:tcW w:w="518" w:type="pct"/>
            <w:noWrap w:val="0"/>
            <w:vAlign w:val="center"/>
          </w:tcPr>
          <w:p w14:paraId="4671F5E4">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458" w:type="pct"/>
            <w:noWrap w:val="0"/>
            <w:vAlign w:val="center"/>
          </w:tcPr>
          <w:p w14:paraId="700848E7">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盒</w:t>
            </w:r>
          </w:p>
        </w:tc>
        <w:tc>
          <w:tcPr>
            <w:tcW w:w="820" w:type="pct"/>
            <w:noWrap w:val="0"/>
            <w:vAlign w:val="center"/>
          </w:tcPr>
          <w:p w14:paraId="16DCFE3B">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c>
          <w:tcPr>
            <w:tcW w:w="1306" w:type="pct"/>
            <w:noWrap w:val="0"/>
            <w:vAlign w:val="center"/>
          </w:tcPr>
          <w:p w14:paraId="0A58FFE6">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r>
      <w:tr w14:paraId="0733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5" w:type="pct"/>
            <w:noWrap w:val="0"/>
            <w:vAlign w:val="center"/>
          </w:tcPr>
          <w:p w14:paraId="01EF00D5">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3</w:t>
            </w:r>
          </w:p>
        </w:tc>
        <w:tc>
          <w:tcPr>
            <w:tcW w:w="1121" w:type="pct"/>
            <w:noWrap w:val="0"/>
            <w:vAlign w:val="center"/>
          </w:tcPr>
          <w:p w14:paraId="44CAB126">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金黄色葡萄球菌ATCC29213</w:t>
            </w:r>
          </w:p>
        </w:tc>
        <w:tc>
          <w:tcPr>
            <w:tcW w:w="420" w:type="pct"/>
            <w:noWrap w:val="0"/>
            <w:vAlign w:val="center"/>
          </w:tcPr>
          <w:p w14:paraId="66BE97C4">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2支/盒</w:t>
            </w:r>
          </w:p>
        </w:tc>
        <w:tc>
          <w:tcPr>
            <w:tcW w:w="518" w:type="pct"/>
            <w:noWrap w:val="0"/>
            <w:vAlign w:val="center"/>
          </w:tcPr>
          <w:p w14:paraId="2028FE02">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458" w:type="pct"/>
            <w:noWrap w:val="0"/>
            <w:vAlign w:val="center"/>
          </w:tcPr>
          <w:p w14:paraId="1C20A630">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盒</w:t>
            </w:r>
          </w:p>
        </w:tc>
        <w:tc>
          <w:tcPr>
            <w:tcW w:w="820" w:type="pct"/>
            <w:noWrap w:val="0"/>
            <w:vAlign w:val="center"/>
          </w:tcPr>
          <w:p w14:paraId="4384E3E5">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c>
          <w:tcPr>
            <w:tcW w:w="1306" w:type="pct"/>
            <w:noWrap w:val="0"/>
            <w:vAlign w:val="center"/>
          </w:tcPr>
          <w:p w14:paraId="3FE0EFED">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r>
      <w:tr w14:paraId="12D8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5" w:type="pct"/>
            <w:noWrap w:val="0"/>
            <w:vAlign w:val="center"/>
          </w:tcPr>
          <w:p w14:paraId="5197EA7F">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4</w:t>
            </w:r>
          </w:p>
        </w:tc>
        <w:tc>
          <w:tcPr>
            <w:tcW w:w="1121" w:type="pct"/>
            <w:noWrap w:val="0"/>
            <w:vAlign w:val="center"/>
          </w:tcPr>
          <w:p w14:paraId="490AF0C8">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金黄色葡萄球菌ATCC25923</w:t>
            </w:r>
          </w:p>
        </w:tc>
        <w:tc>
          <w:tcPr>
            <w:tcW w:w="420" w:type="pct"/>
            <w:noWrap w:val="0"/>
            <w:vAlign w:val="center"/>
          </w:tcPr>
          <w:p w14:paraId="54D160E6">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2支/盒</w:t>
            </w:r>
          </w:p>
        </w:tc>
        <w:tc>
          <w:tcPr>
            <w:tcW w:w="518" w:type="pct"/>
            <w:noWrap w:val="0"/>
            <w:vAlign w:val="center"/>
          </w:tcPr>
          <w:p w14:paraId="60372ED2">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458" w:type="pct"/>
            <w:noWrap w:val="0"/>
            <w:vAlign w:val="center"/>
          </w:tcPr>
          <w:p w14:paraId="72DFA2B8">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盒</w:t>
            </w:r>
          </w:p>
        </w:tc>
        <w:tc>
          <w:tcPr>
            <w:tcW w:w="820" w:type="pct"/>
            <w:noWrap w:val="0"/>
            <w:vAlign w:val="center"/>
          </w:tcPr>
          <w:p w14:paraId="799B450D">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c>
          <w:tcPr>
            <w:tcW w:w="1306" w:type="pct"/>
            <w:noWrap w:val="0"/>
            <w:vAlign w:val="center"/>
          </w:tcPr>
          <w:p w14:paraId="1BEA5F9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r>
      <w:tr w14:paraId="1D32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5" w:type="pct"/>
            <w:noWrap w:val="0"/>
            <w:vAlign w:val="center"/>
          </w:tcPr>
          <w:p w14:paraId="1A6C86D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5</w:t>
            </w:r>
          </w:p>
        </w:tc>
        <w:tc>
          <w:tcPr>
            <w:tcW w:w="1121" w:type="pct"/>
            <w:noWrap w:val="0"/>
            <w:vAlign w:val="center"/>
          </w:tcPr>
          <w:p w14:paraId="6595EC0F">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粪肠球菌ATCC29212</w:t>
            </w:r>
          </w:p>
        </w:tc>
        <w:tc>
          <w:tcPr>
            <w:tcW w:w="420" w:type="pct"/>
            <w:noWrap w:val="0"/>
            <w:vAlign w:val="center"/>
          </w:tcPr>
          <w:p w14:paraId="2003AB3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2支/盒</w:t>
            </w:r>
          </w:p>
        </w:tc>
        <w:tc>
          <w:tcPr>
            <w:tcW w:w="518" w:type="pct"/>
            <w:noWrap w:val="0"/>
            <w:vAlign w:val="center"/>
          </w:tcPr>
          <w:p w14:paraId="1B4805FA">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458" w:type="pct"/>
            <w:noWrap w:val="0"/>
            <w:vAlign w:val="center"/>
          </w:tcPr>
          <w:p w14:paraId="11C0C330">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盒</w:t>
            </w:r>
          </w:p>
        </w:tc>
        <w:tc>
          <w:tcPr>
            <w:tcW w:w="820" w:type="pct"/>
            <w:noWrap w:val="0"/>
            <w:vAlign w:val="center"/>
          </w:tcPr>
          <w:p w14:paraId="4C955648">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c>
          <w:tcPr>
            <w:tcW w:w="1306" w:type="pct"/>
            <w:noWrap w:val="0"/>
            <w:vAlign w:val="center"/>
          </w:tcPr>
          <w:p w14:paraId="4CE85939">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r>
      <w:tr w14:paraId="3B61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5" w:type="pct"/>
            <w:noWrap w:val="0"/>
            <w:vAlign w:val="center"/>
          </w:tcPr>
          <w:p w14:paraId="06B82BF8">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6</w:t>
            </w:r>
          </w:p>
        </w:tc>
        <w:tc>
          <w:tcPr>
            <w:tcW w:w="1121" w:type="pct"/>
            <w:noWrap w:val="0"/>
            <w:vAlign w:val="center"/>
          </w:tcPr>
          <w:p w14:paraId="3EF85C8F">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肺炎链球菌ATCC49619</w:t>
            </w:r>
          </w:p>
        </w:tc>
        <w:tc>
          <w:tcPr>
            <w:tcW w:w="420" w:type="pct"/>
            <w:noWrap w:val="0"/>
            <w:vAlign w:val="center"/>
          </w:tcPr>
          <w:p w14:paraId="1F1A864F">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2支/盒</w:t>
            </w:r>
          </w:p>
        </w:tc>
        <w:tc>
          <w:tcPr>
            <w:tcW w:w="518" w:type="pct"/>
            <w:noWrap w:val="0"/>
            <w:vAlign w:val="center"/>
          </w:tcPr>
          <w:p w14:paraId="680E0DA1">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458" w:type="pct"/>
            <w:noWrap w:val="0"/>
            <w:vAlign w:val="center"/>
          </w:tcPr>
          <w:p w14:paraId="003466F7">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盒</w:t>
            </w:r>
          </w:p>
        </w:tc>
        <w:tc>
          <w:tcPr>
            <w:tcW w:w="820" w:type="pct"/>
            <w:noWrap w:val="0"/>
            <w:vAlign w:val="center"/>
          </w:tcPr>
          <w:p w14:paraId="49534BC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c>
          <w:tcPr>
            <w:tcW w:w="1306" w:type="pct"/>
            <w:noWrap w:val="0"/>
            <w:vAlign w:val="center"/>
          </w:tcPr>
          <w:p w14:paraId="7D39EF9E">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r>
      <w:tr w14:paraId="23DF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7"/>
            <w:noWrap w:val="0"/>
            <w:vAlign w:val="center"/>
          </w:tcPr>
          <w:p w14:paraId="6276009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总金额：12000元</w:t>
            </w:r>
          </w:p>
        </w:tc>
      </w:tr>
    </w:tbl>
    <w:p w14:paraId="2D194414">
      <w:pPr>
        <w:pageBreakBefore w:val="0"/>
        <w:kinsoku/>
        <w:wordWrap/>
        <w:overflowPunct/>
        <w:topLinePunct w:val="0"/>
        <w:autoSpaceDE/>
        <w:autoSpaceDN/>
        <w:bidi w:val="0"/>
        <w:adjustRightInd/>
        <w:spacing w:line="400" w:lineRule="exact"/>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备注：报价包含税费、配送费等所有费用。</w:t>
      </w:r>
    </w:p>
    <w:p w14:paraId="773F1D88">
      <w:pPr>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技术商务需求</w:t>
      </w:r>
    </w:p>
    <w:tbl>
      <w:tblPr>
        <w:tblStyle w:val="29"/>
        <w:tblpPr w:leftFromText="180" w:rightFromText="180" w:vertAnchor="text" w:horzAnchor="page" w:tblpX="1757" w:tblpY="585"/>
        <w:tblOverlap w:val="never"/>
        <w:tblW w:w="887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40"/>
        <w:gridCol w:w="6733"/>
      </w:tblGrid>
      <w:tr w14:paraId="3FBB79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73" w:type="dxa"/>
            <w:gridSpan w:val="2"/>
            <w:tcBorders>
              <w:top w:val="single" w:color="auto" w:sz="4" w:space="0"/>
              <w:left w:val="single" w:color="auto" w:sz="4" w:space="0"/>
              <w:bottom w:val="single" w:color="auto" w:sz="4" w:space="0"/>
              <w:right w:val="single" w:color="auto" w:sz="4" w:space="0"/>
            </w:tcBorders>
          </w:tcPr>
          <w:p w14:paraId="59439C08">
            <w:pPr>
              <w:keepNext w:val="0"/>
              <w:keepLines w:val="0"/>
              <w:suppressLineNumbers w:val="0"/>
              <w:snapToGrid w:val="0"/>
              <w:spacing w:before="0" w:beforeAutospacing="0" w:after="0" w:afterAutospacing="0" w:line="360" w:lineRule="exact"/>
              <w:ind w:left="0" w:right="0"/>
              <w:jc w:val="both"/>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lang w:val="en-US" w:eastAsia="zh-CN"/>
              </w:rPr>
              <w:t>一、</w:t>
            </w:r>
            <w:r>
              <w:rPr>
                <w:rFonts w:hint="eastAsia" w:asciiTheme="minorEastAsia" w:hAnsiTheme="minorEastAsia" w:eastAsiaTheme="minorEastAsia" w:cstheme="minorEastAsia"/>
                <w:b/>
                <w:sz w:val="21"/>
                <w:szCs w:val="21"/>
                <w:highlight w:val="none"/>
              </w:rPr>
              <w:t>技术需求</w:t>
            </w:r>
          </w:p>
        </w:tc>
      </w:tr>
      <w:tr w14:paraId="576C11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140" w:type="dxa"/>
            <w:tcBorders>
              <w:top w:val="single" w:color="auto" w:sz="4" w:space="0"/>
              <w:left w:val="single" w:color="auto" w:sz="4" w:space="0"/>
              <w:bottom w:val="single" w:color="auto" w:sz="4" w:space="0"/>
              <w:right w:val="single" w:color="auto" w:sz="4" w:space="0"/>
            </w:tcBorders>
            <w:vAlign w:val="center"/>
          </w:tcPr>
          <w:p w14:paraId="437E3DF8">
            <w:pPr>
              <w:keepNext w:val="0"/>
              <w:keepLines w:val="0"/>
              <w:suppressLineNumbers w:val="0"/>
              <w:snapToGrid w:val="0"/>
              <w:spacing w:before="0" w:beforeAutospacing="0" w:after="0" w:afterAutospacing="0" w:line="360" w:lineRule="exact"/>
              <w:ind w:left="0" w:right="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采购内容</w:t>
            </w:r>
          </w:p>
        </w:tc>
        <w:tc>
          <w:tcPr>
            <w:tcW w:w="6733" w:type="dxa"/>
            <w:tcBorders>
              <w:top w:val="single" w:color="auto" w:sz="4" w:space="0"/>
              <w:left w:val="single" w:color="auto" w:sz="4" w:space="0"/>
              <w:bottom w:val="single" w:color="auto" w:sz="4" w:space="0"/>
              <w:right w:val="single" w:color="auto" w:sz="4" w:space="0"/>
            </w:tcBorders>
            <w:vAlign w:val="center"/>
          </w:tcPr>
          <w:p w14:paraId="2657BB0A">
            <w:pPr>
              <w:keepNext w:val="0"/>
              <w:keepLines w:val="0"/>
              <w:suppressLineNumbers w:val="0"/>
              <w:snapToGrid w:val="0"/>
              <w:spacing w:before="0" w:beforeAutospacing="0" w:after="0" w:afterAutospacing="0" w:line="360" w:lineRule="exact"/>
              <w:ind w:left="0" w:right="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技术需求</w:t>
            </w:r>
          </w:p>
        </w:tc>
      </w:tr>
      <w:tr w14:paraId="2FA4A2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40" w:type="dxa"/>
            <w:tcBorders>
              <w:left w:val="single" w:color="auto" w:sz="4" w:space="0"/>
              <w:bottom w:val="single" w:color="auto" w:sz="4" w:space="0"/>
              <w:right w:val="single" w:color="auto" w:sz="4" w:space="0"/>
            </w:tcBorders>
            <w:shd w:val="clear" w:color="auto" w:fill="auto"/>
            <w:vAlign w:val="center"/>
          </w:tcPr>
          <w:p w14:paraId="168443BA">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FF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大肠杆菌 ATCC25922</w:t>
            </w:r>
          </w:p>
        </w:tc>
        <w:tc>
          <w:tcPr>
            <w:tcW w:w="6733" w:type="dxa"/>
            <w:tcBorders>
              <w:top w:val="single" w:color="auto" w:sz="4" w:space="0"/>
              <w:left w:val="single" w:color="auto" w:sz="4" w:space="0"/>
              <w:bottom w:val="single" w:color="auto" w:sz="4" w:space="0"/>
              <w:right w:val="single" w:color="auto" w:sz="4" w:space="0"/>
            </w:tcBorders>
            <w:shd w:val="clear" w:color="auto" w:fill="auto"/>
            <w:vAlign w:val="center"/>
          </w:tcPr>
          <w:p w14:paraId="2ABB043E">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从ATCC（美国典型菌株保藏中心）获得，供应商能提供合格证和说明书，必须包含菌株溯源信息和自身的传代次数。</w:t>
            </w:r>
          </w:p>
        </w:tc>
      </w:tr>
      <w:tr w14:paraId="22DE9D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40" w:type="dxa"/>
            <w:tcBorders>
              <w:left w:val="single" w:color="auto" w:sz="4" w:space="0"/>
              <w:bottom w:val="single" w:color="auto" w:sz="4" w:space="0"/>
              <w:right w:val="single" w:color="auto" w:sz="4" w:space="0"/>
            </w:tcBorders>
            <w:shd w:val="clear" w:color="auto" w:fill="auto"/>
            <w:vAlign w:val="center"/>
          </w:tcPr>
          <w:p w14:paraId="78447D98">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FF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铜绿假单胞菌 ATCC27853</w:t>
            </w:r>
          </w:p>
        </w:tc>
        <w:tc>
          <w:tcPr>
            <w:tcW w:w="6733" w:type="dxa"/>
            <w:tcBorders>
              <w:top w:val="single" w:color="auto" w:sz="4" w:space="0"/>
              <w:left w:val="single" w:color="auto" w:sz="4" w:space="0"/>
              <w:bottom w:val="single" w:color="auto" w:sz="4" w:space="0"/>
              <w:right w:val="single" w:color="auto" w:sz="4" w:space="0"/>
            </w:tcBorders>
            <w:shd w:val="clear" w:color="auto" w:fill="auto"/>
            <w:vAlign w:val="center"/>
          </w:tcPr>
          <w:p w14:paraId="7A3FCB00">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从ATCC（美国典型菌株保藏中心）获得，供应商能提供合格证和说明书，必须包含菌株溯源信息和自身的传代次数。</w:t>
            </w:r>
          </w:p>
        </w:tc>
      </w:tr>
      <w:tr w14:paraId="5821BE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40" w:type="dxa"/>
            <w:tcBorders>
              <w:left w:val="single" w:color="auto" w:sz="4" w:space="0"/>
              <w:bottom w:val="single" w:color="auto" w:sz="4" w:space="0"/>
              <w:right w:val="single" w:color="auto" w:sz="4" w:space="0"/>
            </w:tcBorders>
            <w:shd w:val="clear" w:color="auto" w:fill="auto"/>
            <w:vAlign w:val="center"/>
          </w:tcPr>
          <w:p w14:paraId="1CFAC897">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FF0000"/>
                <w:kern w:val="2"/>
                <w:sz w:val="18"/>
                <w:szCs w:val="18"/>
                <w:u w:val="none"/>
                <w:lang w:val="en-US" w:eastAsia="zh-CN" w:bidi="ar-SA"/>
              </w:rPr>
            </w:pPr>
            <w:r>
              <w:rPr>
                <w:rFonts w:hint="eastAsia" w:asciiTheme="minorEastAsia" w:hAnsiTheme="minorEastAsia" w:eastAsiaTheme="minorEastAsia" w:cstheme="minorEastAsia"/>
                <w:sz w:val="21"/>
                <w:szCs w:val="21"/>
                <w:highlight w:val="none"/>
              </w:rPr>
              <w:t>金黄色葡萄球菌ATCC29213</w:t>
            </w:r>
          </w:p>
        </w:tc>
        <w:tc>
          <w:tcPr>
            <w:tcW w:w="6733" w:type="dxa"/>
            <w:tcBorders>
              <w:top w:val="single" w:color="auto" w:sz="4" w:space="0"/>
              <w:left w:val="single" w:color="auto" w:sz="4" w:space="0"/>
              <w:bottom w:val="single" w:color="auto" w:sz="4" w:space="0"/>
              <w:right w:val="single" w:color="auto" w:sz="4" w:space="0"/>
            </w:tcBorders>
            <w:shd w:val="clear" w:color="auto" w:fill="auto"/>
            <w:vAlign w:val="center"/>
          </w:tcPr>
          <w:p w14:paraId="74D7650F">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从ATCC（美国典型菌株保藏中心）获得，供应商能提供合格证和说明书，必须包含菌株溯源信息和自身的传代次数。</w:t>
            </w:r>
          </w:p>
        </w:tc>
      </w:tr>
      <w:tr w14:paraId="7BC60C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40" w:type="dxa"/>
            <w:tcBorders>
              <w:left w:val="single" w:color="auto" w:sz="4" w:space="0"/>
              <w:bottom w:val="single" w:color="auto" w:sz="4" w:space="0"/>
              <w:right w:val="single" w:color="auto" w:sz="4" w:space="0"/>
            </w:tcBorders>
            <w:shd w:val="clear" w:color="auto" w:fill="auto"/>
            <w:vAlign w:val="center"/>
          </w:tcPr>
          <w:p w14:paraId="1777239F">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FF0000"/>
                <w:kern w:val="2"/>
                <w:sz w:val="18"/>
                <w:szCs w:val="18"/>
                <w:u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金黄色葡萄球菌ATCC25923</w:t>
            </w:r>
          </w:p>
        </w:tc>
        <w:tc>
          <w:tcPr>
            <w:tcW w:w="6733" w:type="dxa"/>
            <w:tcBorders>
              <w:top w:val="single" w:color="auto" w:sz="4" w:space="0"/>
              <w:left w:val="single" w:color="auto" w:sz="4" w:space="0"/>
              <w:bottom w:val="single" w:color="auto" w:sz="4" w:space="0"/>
              <w:right w:val="single" w:color="auto" w:sz="4" w:space="0"/>
            </w:tcBorders>
            <w:shd w:val="clear" w:color="auto" w:fill="auto"/>
            <w:vAlign w:val="center"/>
          </w:tcPr>
          <w:p w14:paraId="15D22236">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从ATCC（美国典型菌株保藏中心）获得，供应商能提供合格证和说明书，必须包含菌株溯源信息和自身的传代次数。</w:t>
            </w:r>
          </w:p>
        </w:tc>
      </w:tr>
      <w:tr w14:paraId="219539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40" w:type="dxa"/>
            <w:tcBorders>
              <w:left w:val="single" w:color="auto" w:sz="4" w:space="0"/>
              <w:bottom w:val="single" w:color="auto" w:sz="4" w:space="0"/>
              <w:right w:val="single" w:color="auto" w:sz="4" w:space="0"/>
            </w:tcBorders>
            <w:shd w:val="clear" w:color="auto" w:fill="auto"/>
            <w:vAlign w:val="center"/>
          </w:tcPr>
          <w:p w14:paraId="4252CE73">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FF0000"/>
                <w:kern w:val="2"/>
                <w:sz w:val="18"/>
                <w:szCs w:val="18"/>
                <w:u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粪肠球菌ATCC29212</w:t>
            </w:r>
          </w:p>
        </w:tc>
        <w:tc>
          <w:tcPr>
            <w:tcW w:w="6733" w:type="dxa"/>
            <w:tcBorders>
              <w:top w:val="single" w:color="auto" w:sz="4" w:space="0"/>
              <w:left w:val="single" w:color="auto" w:sz="4" w:space="0"/>
              <w:bottom w:val="single" w:color="auto" w:sz="4" w:space="0"/>
              <w:right w:val="single" w:color="auto" w:sz="4" w:space="0"/>
            </w:tcBorders>
            <w:shd w:val="clear" w:color="auto" w:fill="auto"/>
            <w:vAlign w:val="center"/>
          </w:tcPr>
          <w:p w14:paraId="172AB764">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从ATCC（美国典型菌株保藏中心）获得，供应商能提供合格证和说明书，必须包含菌株溯源信息和自身的传代次数。</w:t>
            </w:r>
          </w:p>
        </w:tc>
      </w:tr>
      <w:tr w14:paraId="547408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2140" w:type="dxa"/>
            <w:tcBorders>
              <w:left w:val="single" w:color="auto" w:sz="4" w:space="0"/>
              <w:bottom w:val="single" w:color="auto" w:sz="4" w:space="0"/>
              <w:right w:val="single" w:color="auto" w:sz="4" w:space="0"/>
            </w:tcBorders>
            <w:shd w:val="clear" w:color="auto" w:fill="auto"/>
            <w:vAlign w:val="center"/>
          </w:tcPr>
          <w:p w14:paraId="2B7C6253">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FF0000"/>
                <w:kern w:val="2"/>
                <w:sz w:val="18"/>
                <w:szCs w:val="18"/>
                <w:u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肺炎链球菌ATCC49619</w:t>
            </w:r>
          </w:p>
        </w:tc>
        <w:tc>
          <w:tcPr>
            <w:tcW w:w="6733" w:type="dxa"/>
            <w:tcBorders>
              <w:top w:val="single" w:color="auto" w:sz="4" w:space="0"/>
              <w:left w:val="single" w:color="auto" w:sz="4" w:space="0"/>
              <w:bottom w:val="single" w:color="auto" w:sz="4" w:space="0"/>
              <w:right w:val="single" w:color="auto" w:sz="4" w:space="0"/>
            </w:tcBorders>
            <w:shd w:val="clear" w:color="auto" w:fill="auto"/>
            <w:vAlign w:val="center"/>
          </w:tcPr>
          <w:p w14:paraId="1D320AFC">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从ATCC（美国典型菌株保藏中心）获得，供应商能提供合格证和说明书，必须包含菌株溯源信息和自身的传代次数。</w:t>
            </w:r>
          </w:p>
        </w:tc>
      </w:tr>
      <w:tr w14:paraId="1F55EE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8873" w:type="dxa"/>
            <w:gridSpan w:val="2"/>
            <w:tcBorders>
              <w:top w:val="single" w:color="auto" w:sz="4" w:space="0"/>
              <w:left w:val="single" w:color="auto" w:sz="4" w:space="0"/>
              <w:bottom w:val="single" w:color="auto" w:sz="4" w:space="0"/>
              <w:right w:val="single" w:color="auto" w:sz="4" w:space="0"/>
            </w:tcBorders>
            <w:vAlign w:val="center"/>
          </w:tcPr>
          <w:p w14:paraId="1569274C">
            <w:pPr>
              <w:keepNext w:val="0"/>
              <w:keepLines w:val="0"/>
              <w:suppressLineNumbers w:val="0"/>
              <w:snapToGrid w:val="0"/>
              <w:spacing w:before="0" w:beforeAutospacing="0" w:after="0" w:afterAutospacing="0" w:line="360" w:lineRule="exact"/>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二、商务要求表</w:t>
            </w:r>
          </w:p>
        </w:tc>
      </w:tr>
      <w:tr w14:paraId="62B2C7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40" w:type="dxa"/>
            <w:tcBorders>
              <w:top w:val="single" w:color="auto" w:sz="4" w:space="0"/>
              <w:left w:val="single" w:color="auto" w:sz="4" w:space="0"/>
              <w:bottom w:val="single" w:color="auto" w:sz="4" w:space="0"/>
              <w:right w:val="single" w:color="auto" w:sz="4" w:space="0"/>
            </w:tcBorders>
            <w:vAlign w:val="center"/>
          </w:tcPr>
          <w:p w14:paraId="25DCA241">
            <w:pPr>
              <w:keepNext w:val="0"/>
              <w:keepLines w:val="0"/>
              <w:suppressLineNumbers w:val="0"/>
              <w:spacing w:before="0" w:beforeAutospacing="0" w:after="0" w:afterAutospacing="0" w:line="360" w:lineRule="auto"/>
              <w:ind w:left="0" w:right="0" w:firstLine="210" w:firstLineChars="100"/>
              <w:jc w:val="left"/>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sz w:val="21"/>
                <w:szCs w:val="21"/>
                <w:highlight w:val="none"/>
              </w:rPr>
              <w:t>合同签订时间</w:t>
            </w:r>
          </w:p>
        </w:tc>
        <w:tc>
          <w:tcPr>
            <w:tcW w:w="6733" w:type="dxa"/>
            <w:tcBorders>
              <w:top w:val="single" w:color="auto" w:sz="4" w:space="0"/>
              <w:left w:val="single" w:color="auto" w:sz="4" w:space="0"/>
              <w:bottom w:val="single" w:color="auto" w:sz="4" w:space="0"/>
              <w:right w:val="single" w:color="auto" w:sz="4" w:space="0"/>
            </w:tcBorders>
            <w:vAlign w:val="center"/>
          </w:tcPr>
          <w:p w14:paraId="3285849C">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rPr>
              <w:t>自</w:t>
            </w:r>
            <w:r>
              <w:rPr>
                <w:rFonts w:hint="eastAsia" w:asciiTheme="minorEastAsia" w:hAnsiTheme="minorEastAsia" w:eastAsiaTheme="minorEastAsia" w:cstheme="minorEastAsia"/>
                <w:sz w:val="21"/>
                <w:szCs w:val="21"/>
                <w:highlight w:val="none"/>
                <w:lang w:val="en-US" w:eastAsia="zh-CN"/>
              </w:rPr>
              <w:t>成交</w:t>
            </w:r>
            <w:r>
              <w:rPr>
                <w:rFonts w:hint="eastAsia" w:asciiTheme="minorEastAsia" w:hAnsiTheme="minorEastAsia" w:eastAsiaTheme="minorEastAsia" w:cstheme="minorEastAsia"/>
                <w:sz w:val="21"/>
                <w:szCs w:val="21"/>
                <w:highlight w:val="none"/>
              </w:rPr>
              <w:t>通知书发出之日起 25 日内。</w:t>
            </w:r>
          </w:p>
        </w:tc>
      </w:tr>
      <w:tr w14:paraId="208FDB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2140" w:type="dxa"/>
            <w:tcBorders>
              <w:top w:val="single" w:color="auto" w:sz="4" w:space="0"/>
              <w:left w:val="single" w:color="auto" w:sz="4" w:space="0"/>
              <w:bottom w:val="single" w:color="auto" w:sz="4" w:space="0"/>
              <w:right w:val="single" w:color="auto" w:sz="4" w:space="0"/>
            </w:tcBorders>
            <w:vAlign w:val="center"/>
          </w:tcPr>
          <w:p w14:paraId="0214187D">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sz w:val="21"/>
                <w:szCs w:val="21"/>
                <w:highlight w:val="none"/>
              </w:rPr>
              <w:t>服务时间及地点</w:t>
            </w:r>
          </w:p>
        </w:tc>
        <w:tc>
          <w:tcPr>
            <w:tcW w:w="6733" w:type="dxa"/>
            <w:tcBorders>
              <w:top w:val="single" w:color="auto" w:sz="4" w:space="0"/>
              <w:left w:val="single" w:color="auto" w:sz="4" w:space="0"/>
              <w:bottom w:val="single" w:color="auto" w:sz="4" w:space="0"/>
              <w:right w:val="single" w:color="auto" w:sz="4" w:space="0"/>
            </w:tcBorders>
            <w:vAlign w:val="top"/>
          </w:tcPr>
          <w:p w14:paraId="18562A6E">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1、服务期限：自合同签订之日起一年，以合同约定的具体时间为准。</w:t>
            </w:r>
          </w:p>
          <w:p w14:paraId="1BFE3A02">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2、配送时间：分批次交货，</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供应商收到采购人通知后，5天内按采购人要求将货送到指定地点，急需耗材的送货时间以科室届时实际要求为准；服务期限内，</w:t>
            </w:r>
            <w:r>
              <w:rPr>
                <w:rFonts w:hint="eastAsia" w:asciiTheme="minorEastAsia" w:hAnsiTheme="minorEastAsia" w:eastAsiaTheme="minorEastAsia" w:cstheme="minorEastAsia"/>
                <w:sz w:val="21"/>
                <w:szCs w:val="21"/>
                <w:highlight w:val="none"/>
                <w:lang w:val="en-US" w:eastAsia="zh-CN"/>
              </w:rPr>
              <w:t>成交</w:t>
            </w:r>
            <w:r>
              <w:rPr>
                <w:rFonts w:hint="eastAsia" w:asciiTheme="minorEastAsia" w:hAnsiTheme="minorEastAsia" w:eastAsiaTheme="minorEastAsia" w:cstheme="minorEastAsia"/>
                <w:sz w:val="21"/>
                <w:szCs w:val="21"/>
                <w:highlight w:val="none"/>
              </w:rPr>
              <w:t>供应商逾期送货累计超过2次（不含本数），采购人有权单方解除合同并按合同约定追究</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供应商的违约责任。</w:t>
            </w:r>
          </w:p>
          <w:p w14:paraId="02079867">
            <w:pPr>
              <w:keepNext w:val="0"/>
              <w:keepLines w:val="0"/>
              <w:suppressLineNumbers w:val="0"/>
              <w:spacing w:before="0" w:beforeAutospacing="0" w:after="0" w:afterAutospacing="0" w:line="360" w:lineRule="auto"/>
              <w:ind w:left="2" w:leftChars="0" w:right="0"/>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sz w:val="21"/>
                <w:szCs w:val="21"/>
                <w:highlight w:val="none"/>
              </w:rPr>
              <w:t>3、配送地点：采购人指定地点。</w:t>
            </w:r>
          </w:p>
        </w:tc>
      </w:tr>
      <w:tr w14:paraId="6CBF26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2140" w:type="dxa"/>
            <w:tcBorders>
              <w:top w:val="single" w:color="auto" w:sz="4" w:space="0"/>
              <w:left w:val="single" w:color="auto" w:sz="4" w:space="0"/>
              <w:bottom w:val="single" w:color="auto" w:sz="4" w:space="0"/>
              <w:right w:val="single" w:color="auto" w:sz="4" w:space="0"/>
            </w:tcBorders>
            <w:vAlign w:val="center"/>
          </w:tcPr>
          <w:p w14:paraId="19C8281D">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 xml:space="preserve">质保期 </w:t>
            </w:r>
          </w:p>
        </w:tc>
        <w:tc>
          <w:tcPr>
            <w:tcW w:w="6733" w:type="dxa"/>
            <w:tcBorders>
              <w:top w:val="single" w:color="auto" w:sz="4" w:space="0"/>
              <w:left w:val="single" w:color="auto" w:sz="4" w:space="0"/>
              <w:bottom w:val="single" w:color="auto" w:sz="4" w:space="0"/>
              <w:right w:val="single" w:color="auto" w:sz="4" w:space="0"/>
            </w:tcBorders>
            <w:vAlign w:val="top"/>
          </w:tcPr>
          <w:p w14:paraId="1A498B24">
            <w:pPr>
              <w:keepNext w:val="0"/>
              <w:keepLines w:val="0"/>
              <w:suppressLineNumbers w:val="0"/>
              <w:spacing w:before="0" w:beforeAutospacing="0" w:after="0" w:afterAutospacing="0" w:line="360" w:lineRule="auto"/>
              <w:ind w:left="2" w:leftChars="0" w:right="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按国家有关产品“三包”规定执行“三包”，除特别说明外，质保期为不得少于 1 年，自产品验收合格并能正常使用之日算起。</w:t>
            </w:r>
          </w:p>
        </w:tc>
      </w:tr>
      <w:tr w14:paraId="42A46E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2140" w:type="dxa"/>
            <w:tcBorders>
              <w:top w:val="single" w:color="auto" w:sz="4" w:space="0"/>
              <w:left w:val="single" w:color="auto" w:sz="4" w:space="0"/>
              <w:bottom w:val="single" w:color="auto" w:sz="4" w:space="0"/>
              <w:right w:val="single" w:color="auto" w:sz="4" w:space="0"/>
            </w:tcBorders>
            <w:vAlign w:val="center"/>
          </w:tcPr>
          <w:p w14:paraId="206DA01D">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售后服务要求</w:t>
            </w:r>
          </w:p>
        </w:tc>
        <w:tc>
          <w:tcPr>
            <w:tcW w:w="6733" w:type="dxa"/>
            <w:tcBorders>
              <w:top w:val="single" w:color="auto" w:sz="4" w:space="0"/>
              <w:left w:val="single" w:color="auto" w:sz="4" w:space="0"/>
              <w:bottom w:val="single" w:color="auto" w:sz="4" w:space="0"/>
              <w:right w:val="single" w:color="auto" w:sz="4" w:space="0"/>
            </w:tcBorders>
            <w:vAlign w:val="top"/>
          </w:tcPr>
          <w:p w14:paraId="552BF35C">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rPr>
              <w:t>1、免费送货上门</w:t>
            </w:r>
            <w:r>
              <w:rPr>
                <w:rFonts w:hint="eastAsia" w:asciiTheme="minorEastAsia" w:hAnsiTheme="minorEastAsia" w:eastAsiaTheme="minorEastAsia" w:cstheme="minorEastAsia"/>
                <w:sz w:val="21"/>
                <w:szCs w:val="21"/>
                <w:highlight w:val="none"/>
                <w:lang w:eastAsia="zh-CN"/>
              </w:rPr>
              <w:t>。</w:t>
            </w:r>
          </w:p>
          <w:p w14:paraId="11BAFC6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2、试剂在使用过程中，如有任何质量问题，在接到电话通知后，2 小时内做出响应，24 小时内到达现场。遇到突发情况，须在 1 小时内到达现场。一般问题应在 24 小时内解决，重大问题或其它无法迅速解决的问题应在五个工作日内解决，否则须在采购人允许的迅速解决的问题的期限后二个工作日内提供与原试剂参数要求相同或高于原试剂参数要求的备用产品，以保证采购人的正常工作。</w:t>
            </w:r>
          </w:p>
          <w:p w14:paraId="29511CBE">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rPr>
              <w:t>3、配送的产品必须是全新、未使用过的产品。产品包装必须是未经使用的全新的合格产品，并按照原厂标准包装规格供货，不接受散装或拆包装件。所有货物都提供使用说明书和详细装箱清单及质量合格证，如确定有质量问题，按照正常程序退货</w:t>
            </w:r>
            <w:r>
              <w:rPr>
                <w:rFonts w:hint="eastAsia" w:asciiTheme="minorEastAsia" w:hAnsiTheme="minorEastAsia" w:eastAsiaTheme="minorEastAsia" w:cstheme="minorEastAsia"/>
                <w:sz w:val="21"/>
                <w:szCs w:val="21"/>
                <w:highlight w:val="none"/>
                <w:lang w:eastAsia="zh-CN"/>
              </w:rPr>
              <w:t>。</w:t>
            </w:r>
          </w:p>
          <w:p w14:paraId="61284BF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4、开箱如有缺货、错装、损坏或质量问题，供应商承担全部责任，到货后，货物及其附属物品与合同规定的数量和质量不符，由此造成的货物退换过程的一切费用供应商承担。</w:t>
            </w:r>
          </w:p>
          <w:p w14:paraId="26E5DE7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5、响应文件中提供可行的售后服务承诺书</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rPr>
              <w:t>`</w:t>
            </w:r>
          </w:p>
          <w:p w14:paraId="74412F27">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6、成交供应商要在供货数量达到合同签订数量70%后，及时主动联系采购人告知已送货数量。</w:t>
            </w:r>
          </w:p>
          <w:p w14:paraId="3EE4053C">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7、保证货物在合同期限内有相关产品授权，不得以授权到期为由申请转配送或逾期不供货。</w:t>
            </w:r>
          </w:p>
        </w:tc>
      </w:tr>
      <w:tr w14:paraId="1DEC88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2140" w:type="dxa"/>
            <w:tcBorders>
              <w:top w:val="single" w:color="auto" w:sz="4" w:space="0"/>
              <w:left w:val="single" w:color="auto" w:sz="4" w:space="0"/>
              <w:bottom w:val="single" w:color="auto" w:sz="4" w:space="0"/>
              <w:right w:val="single" w:color="auto" w:sz="4" w:space="0"/>
            </w:tcBorders>
            <w:vAlign w:val="center"/>
          </w:tcPr>
          <w:p w14:paraId="3139DE18">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付款方式</w:t>
            </w:r>
          </w:p>
        </w:tc>
        <w:tc>
          <w:tcPr>
            <w:tcW w:w="6733" w:type="dxa"/>
            <w:tcBorders>
              <w:top w:val="single" w:color="auto" w:sz="4" w:space="0"/>
              <w:left w:val="single" w:color="auto" w:sz="4" w:space="0"/>
              <w:bottom w:val="single" w:color="auto" w:sz="4" w:space="0"/>
              <w:right w:val="single" w:color="auto" w:sz="4" w:space="0"/>
            </w:tcBorders>
            <w:vAlign w:val="top"/>
          </w:tcPr>
          <w:p w14:paraId="1C383F5F">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供应商送货验收合格后，采购人每月根据实际配送产品数量进行结算，结算时，按实际供货数量×</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供应商的</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单价结算。</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供应商据此开具发票（发票必须由</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供应商自行验证真伪随同发票一并提供），采购人于收到发票并验收合格后120日内付款。</w:t>
            </w:r>
          </w:p>
          <w:p w14:paraId="42BD77E7">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2、本合同配送的产品为单价，在合同期内需适时调整。若遇市场（包括但不限于</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供应商及其总代、厂家、政府等）价格下调，</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供应商应主动及时向采购人提交降价函，于次月执行。</w:t>
            </w:r>
          </w:p>
          <w:p w14:paraId="66932EA0">
            <w:pPr>
              <w:pStyle w:val="17"/>
              <w:keepNext w:val="0"/>
              <w:keepLines w:val="0"/>
              <w:suppressLineNumbers w:val="0"/>
              <w:snapToGrid w:val="0"/>
              <w:spacing w:before="0" w:beforeAutospacing="0" w:after="0" w:afterAutospacing="0" w:line="360" w:lineRule="auto"/>
              <w:ind w:left="0" w:right="0"/>
              <w:outlineLvl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供应商保证产品价格不高于广西地区同级别公立医疗机构实际供货的最低价格，否则采购人有权终止合同，且未供货的产品的费用从已供货产品货款进行抵扣结算。合同期内</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供应商不得擅自上调供货价格。若特殊原因需要调价，须经采购人书面同意，并按有关程序办理。</w:t>
            </w:r>
          </w:p>
        </w:tc>
      </w:tr>
      <w:tr w14:paraId="66FC7E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2140" w:type="dxa"/>
            <w:tcBorders>
              <w:top w:val="single" w:color="auto" w:sz="4" w:space="0"/>
              <w:left w:val="single" w:color="auto" w:sz="4" w:space="0"/>
              <w:bottom w:val="single" w:color="auto" w:sz="4" w:space="0"/>
              <w:right w:val="single" w:color="auto" w:sz="4" w:space="0"/>
            </w:tcBorders>
            <w:vAlign w:val="center"/>
          </w:tcPr>
          <w:p w14:paraId="4FC142F0">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sz w:val="21"/>
                <w:szCs w:val="21"/>
                <w:highlight w:val="none"/>
              </w:rPr>
              <w:t>验收标准、验收方法</w:t>
            </w:r>
          </w:p>
        </w:tc>
        <w:tc>
          <w:tcPr>
            <w:tcW w:w="6733" w:type="dxa"/>
            <w:tcBorders>
              <w:top w:val="single" w:color="auto" w:sz="4" w:space="0"/>
              <w:left w:val="single" w:color="auto" w:sz="4" w:space="0"/>
              <w:bottom w:val="single" w:color="auto" w:sz="4" w:space="0"/>
              <w:right w:val="single" w:color="auto" w:sz="4" w:space="0"/>
            </w:tcBorders>
            <w:vAlign w:val="top"/>
          </w:tcPr>
          <w:p w14:paraId="34A4C134">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供应商提供不符合公告规定的、采购文件、投标文件承诺的或本合同规定的货物，采购人有权拒绝接受。</w:t>
            </w:r>
          </w:p>
          <w:p w14:paraId="433A6311">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供应商应将所提供货物的装箱清单、用户手册、合格证明等交付给采购人，如有缺失应在采购人要求的期限内及时补齐，否则视为逾期配送。</w:t>
            </w:r>
          </w:p>
          <w:p w14:paraId="7C3D9D43">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3、产品到达现场后，</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人应在招标单位人员在场情况下当面开箱，共同清点、检查外观，作出开箱记录，双方签字确认。</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人应保证货物到达采购人所在地完好无损，如有缺漏、损坏，由</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人负责调换、补齐或赔偿。</w:t>
            </w:r>
          </w:p>
          <w:p w14:paraId="42B26BA4">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4、采购人对验收有异议的，在验收后以书面形式向</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供应商提出，</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供应商应自收到采购人书面异议后五日内及时予以解决，</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供应商不予答复或未予以实质解决的，视为认可采购人异议及处置意见。</w:t>
            </w:r>
          </w:p>
          <w:p w14:paraId="45F4C3A8">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5、若采购人委托第三方组织的验收项目，其验收时间以该项目验收方案确定的验收时间为准，验收结果以该项目验收报告结论为准。在验收过程中发现</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供应商有违约问题，可暂缓资金结算，待违约问题解决后，方可办理资金结算事宜，在此期间，采购人不承担逾期付款责任。</w:t>
            </w:r>
          </w:p>
          <w:p w14:paraId="729ADEC7">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6、其他未尽事宜应严格按照《关于印发广西壮族自治区政府采购项目履约验收管理办法的通知》[桂财采〔2015〕22 号]以及《财政部关于进一步加强政府采购需求和履约验收管理的指导意见》[财库〔2016〕205 号]规定执行。</w:t>
            </w:r>
          </w:p>
          <w:p w14:paraId="308221F8">
            <w:pPr>
              <w:pStyle w:val="17"/>
              <w:keepNext w:val="0"/>
              <w:keepLines w:val="0"/>
              <w:suppressLineNumbers w:val="0"/>
              <w:snapToGrid w:val="0"/>
              <w:spacing w:before="0" w:beforeAutospacing="0" w:after="0" w:afterAutospacing="0" w:line="360" w:lineRule="auto"/>
              <w:ind w:left="0" w:right="0"/>
              <w:outlineLvl w:val="0"/>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sz w:val="21"/>
                <w:szCs w:val="21"/>
                <w:highlight w:val="none"/>
              </w:rPr>
              <w:t>7、验收过程中所产生的一切费用均由</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人承担，包括</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人邀请第三方检测机构出具检测报告的费用、邀请第三方验收代理机构组织验收的费用以及因检测或验收不合格导致开展再次检测或验收所产生的费用等。</w:t>
            </w:r>
          </w:p>
        </w:tc>
      </w:tr>
      <w:tr w14:paraId="636928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7" w:hRule="atLeast"/>
        </w:trPr>
        <w:tc>
          <w:tcPr>
            <w:tcW w:w="2140" w:type="dxa"/>
            <w:tcBorders>
              <w:top w:val="single" w:color="auto" w:sz="4" w:space="0"/>
              <w:left w:val="single" w:color="auto" w:sz="4" w:space="0"/>
              <w:bottom w:val="single" w:color="auto" w:sz="4" w:space="0"/>
              <w:right w:val="single" w:color="auto" w:sz="4" w:space="0"/>
            </w:tcBorders>
            <w:vAlign w:val="center"/>
          </w:tcPr>
          <w:p w14:paraId="6D3C4A5F">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投标报价要求</w:t>
            </w:r>
          </w:p>
        </w:tc>
        <w:tc>
          <w:tcPr>
            <w:tcW w:w="6733" w:type="dxa"/>
            <w:tcBorders>
              <w:top w:val="single" w:color="auto" w:sz="4" w:space="0"/>
              <w:left w:val="single" w:color="auto" w:sz="4" w:space="0"/>
              <w:bottom w:val="single" w:color="auto" w:sz="4" w:space="0"/>
              <w:right w:val="single" w:color="auto" w:sz="4" w:space="0"/>
            </w:tcBorders>
            <w:vAlign w:val="top"/>
          </w:tcPr>
          <w:p w14:paraId="25200633">
            <w:pPr>
              <w:pStyle w:val="9"/>
              <w:keepNext w:val="0"/>
              <w:keepLines w:val="0"/>
              <w:suppressLineNumbers w:val="0"/>
              <w:spacing w:before="0" w:beforeAutospacing="0" w:after="0" w:afterAutospacing="0"/>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1、采购预算总价仅作为合同暂定总价，本项目实行单价合同进行采购，根据实际供货数量*</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供应商的</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单价结算，最终结算金额不得超过预算总价。最终结算金额包括但不限于：完成项目所有服务所需的费用，包含配送的试剂耗材、采购的全部费用、产品指定交货地点的各种费用、售后服务、税金、利息及其它所有成本费用的总和，合同履约期间采购人不再支付其他费用。</w:t>
            </w:r>
          </w:p>
          <w:p w14:paraId="15C9B5D0">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本项目只确定每个品种耗材的“配送单价”，配送服务费=“配送单价”×实际数量。投标人需按“开标一览表”格式完整填写每个品种耗材的“配送单价”，并填写“单价合计总价”，“单价合计总价”将做为价格分的评审依据。</w:t>
            </w:r>
          </w:p>
          <w:p w14:paraId="6DCFBE8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sz w:val="21"/>
                <w:szCs w:val="21"/>
                <w:highlight w:val="none"/>
              </w:rPr>
              <w:t>3、结算时，按实际供货数量*</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供应商的</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单价结算，如在合同期内调整过单价的，按双方确认调整后的单价进行计算。</w:t>
            </w:r>
          </w:p>
        </w:tc>
      </w:tr>
      <w:tr w14:paraId="64B413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7" w:hRule="atLeast"/>
        </w:trPr>
        <w:tc>
          <w:tcPr>
            <w:tcW w:w="2140" w:type="dxa"/>
            <w:tcBorders>
              <w:top w:val="single" w:color="auto" w:sz="4" w:space="0"/>
              <w:left w:val="single" w:color="auto" w:sz="4" w:space="0"/>
              <w:bottom w:val="single" w:color="auto" w:sz="4" w:space="0"/>
              <w:right w:val="single" w:color="auto" w:sz="4" w:space="0"/>
            </w:tcBorders>
            <w:vAlign w:val="center"/>
          </w:tcPr>
          <w:p w14:paraId="3D9182E0">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b/>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其他要求</w:t>
            </w:r>
          </w:p>
        </w:tc>
        <w:tc>
          <w:tcPr>
            <w:tcW w:w="6733" w:type="dxa"/>
            <w:tcBorders>
              <w:top w:val="single" w:color="auto" w:sz="4" w:space="0"/>
              <w:left w:val="single" w:color="auto" w:sz="4" w:space="0"/>
              <w:bottom w:val="single" w:color="auto" w:sz="4" w:space="0"/>
              <w:right w:val="single" w:color="auto" w:sz="4" w:space="0"/>
            </w:tcBorders>
            <w:vAlign w:val="top"/>
          </w:tcPr>
          <w:p w14:paraId="3F510084">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配送时必须向采购人提供原厂生产的全新合格产品，同时提供产品的全套资料，包含但不限于：“医疗器械生产企业许可证”、“医疗器械经营许可/备案证”、“中华人民共和国医疗器械注册证和注册登记表”、“一次性医疗用品质量跟踪卡”、“产品合格证”、“同批次产品检验报告”。</w:t>
            </w:r>
          </w:p>
          <w:p w14:paraId="4044504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供应商按合同附件要求的品牌型号、规格、价格提供产品，所提供的产品与医疗器械注册证和注册登记表完全相符。如与采购人计划不符或达不到合同约定的，采购人可要求</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供应商立即退货、换货、补货。未经采购人书面同意，</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供应商不得更换产品品牌、型号，否则采购人有权终止合同。</w:t>
            </w:r>
          </w:p>
          <w:p w14:paraId="57C6259C">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3、对不符合质量要求或不符合无菌转运要求的产品，采购人有权拒绝接收，</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供应商应对相应产品及时进行更换，不得影响采购人的临床应用。本规定的执行不免除</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供应商因产品质量产生的其他责任。</w:t>
            </w:r>
          </w:p>
          <w:p w14:paraId="09A1ADCA">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供应商要保证供应最新批号的产品。</w:t>
            </w:r>
          </w:p>
          <w:p w14:paraId="3E94F627">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5、供应商配送的试剂耗材进入医院后，应接受国家、省、市有关行业主管部门的抽查或检验。在抽查或检验过程中由于</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供应商产品的证照、标识、质量等问题而导致的罚没款项均由</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供应商承担相应的法律责任。</w:t>
            </w:r>
          </w:p>
          <w:p w14:paraId="273BAD58">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6、服务期限内</w:t>
            </w:r>
            <w:r>
              <w:rPr>
                <w:rFonts w:hint="eastAsia" w:asciiTheme="minorEastAsia" w:hAnsiTheme="minorEastAsia" w:eastAsiaTheme="minorEastAsia" w:cstheme="minorEastAsia"/>
                <w:sz w:val="21"/>
                <w:szCs w:val="21"/>
                <w:highlight w:val="none"/>
                <w:lang w:val="zh-CN"/>
              </w:rPr>
              <w:t>如遇国家、自治区出台新的政策文件，涉及本品种采购和使用要求则按国家、自治区政策文件要求执行包括但不限于停止采购、限价、限量，成交供应商自行承担采购政策变化带来的风险。</w:t>
            </w:r>
            <w:r>
              <w:rPr>
                <w:rFonts w:hint="eastAsia" w:asciiTheme="minorEastAsia" w:hAnsiTheme="minorEastAsia" w:eastAsiaTheme="minorEastAsia" w:cstheme="minorEastAsia"/>
                <w:sz w:val="21"/>
                <w:szCs w:val="21"/>
                <w:highlight w:val="none"/>
              </w:rPr>
              <w:t>如本合同不符合新政策规定导致不能继续履行的，采购人有权终止合同。</w:t>
            </w:r>
          </w:p>
          <w:p w14:paraId="5F466CB2">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w:t>
            </w:r>
            <w:r>
              <w:rPr>
                <w:rFonts w:hint="eastAsia" w:asciiTheme="minorEastAsia" w:hAnsiTheme="minorEastAsia" w:eastAsiaTheme="minorEastAsia" w:cstheme="minorEastAsia"/>
                <w:sz w:val="21"/>
                <w:szCs w:val="21"/>
                <w:highlight w:val="none"/>
              </w:rPr>
              <w:t>7、医疗器械注册证：以上配送清单供应商配送的产品</w:t>
            </w:r>
            <w:r>
              <w:rPr>
                <w:rFonts w:hint="eastAsia" w:asciiTheme="minorEastAsia" w:hAnsiTheme="minorEastAsia" w:eastAsiaTheme="minorEastAsia" w:cstheme="minorEastAsia"/>
                <w:b/>
                <w:bCs/>
                <w:sz w:val="21"/>
                <w:szCs w:val="21"/>
                <w:highlight w:val="none"/>
              </w:rPr>
              <w:t>如属</w:t>
            </w:r>
            <w:r>
              <w:rPr>
                <w:rFonts w:hint="eastAsia" w:asciiTheme="minorEastAsia" w:hAnsiTheme="minorEastAsia" w:eastAsiaTheme="minorEastAsia" w:cstheme="minorEastAsia"/>
                <w:sz w:val="21"/>
                <w:szCs w:val="21"/>
                <w:highlight w:val="none"/>
              </w:rPr>
              <w:t>医疗器械管理范畴的，配送产品属第二、三类医疗器械产品的，投标文件中须按《医疗器械注册与备案管理办法》 (国家市场监督管理总局令第 47 号)提供该设备有效的医疗器械注册证复印件加盖投标单位公章，否则投标无效。</w:t>
            </w:r>
          </w:p>
          <w:p w14:paraId="0A18A0D7">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8、服务期内，产品因厂家停产等情况导致无法正常供货的，供应商应提交书面说明，经采购人同意，双方就替代产品另行协商并签订补充协议。</w:t>
            </w:r>
          </w:p>
          <w:p w14:paraId="5ACB0BD0">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9、供应商必须向采购人提供合同约定产品，因供应商供应的产品证照、质量、售后服务等瑕疵而引发的医疗事故或纠纷给采购人造成的全部经济损失（包括但不限于诊疗费用、手术费用、材料费用、赔偿病人或其亲属的因人身损害赔偿的全部费用）均由供应商全部承担；采购人有权要求供应商退换已用产品，并追究供应商违约责任，同时采购人有权终止合同。</w:t>
            </w:r>
          </w:p>
          <w:p w14:paraId="45C52EE8">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w:t>
            </w:r>
            <w:r>
              <w:rPr>
                <w:rFonts w:hint="eastAsia" w:asciiTheme="minorEastAsia" w:hAnsiTheme="minorEastAsia" w:eastAsiaTheme="minorEastAsia" w:cstheme="minorEastAsia"/>
                <w:sz w:val="21"/>
                <w:szCs w:val="21"/>
                <w:highlight w:val="none"/>
              </w:rPr>
              <w:t>10、</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供应商在配送产品时必须提供所配送产品生产厂家合法授权的厂家代理商出具的授权书，原件备查。</w:t>
            </w:r>
          </w:p>
          <w:p w14:paraId="1D7AC575">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11、技术支持资料：不限于对外公开的产品彩页或说明书或检测报告或用户手册证明材料等（体现技术参数，可以是从生产厂家网页下载的 PDF 或 HTM 文件或在食品药品监督管理部门备案的技术参数或检测报告或生产厂家盖章的技术参数证明材料），以供评标时核对。当投标文件提供的参数与该货物生产商提供的性能参数不符合时，以后者为准。</w:t>
            </w:r>
          </w:p>
          <w:p w14:paraId="096F84B5">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12、投标人如有请提供与本项目需求相关的项目实施方案、管理制度方案、配送车辆、售后服务方案、信誉业绩等资料。</w:t>
            </w:r>
          </w:p>
        </w:tc>
      </w:tr>
    </w:tbl>
    <w:p w14:paraId="7C5DEF6B">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sz w:val="21"/>
          <w:szCs w:val="21"/>
          <w:highlight w:val="none"/>
          <w:lang w:val="en-US" w:eastAsia="zh-CN"/>
        </w:rPr>
      </w:pPr>
    </w:p>
    <w:p w14:paraId="2A9B128D">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5" w:name="_Toc18067"/>
      <w:r>
        <w:rPr>
          <w:rFonts w:hint="eastAsia" w:ascii="Times New Roman" w:hAnsi="Times New Roman" w:eastAsia="宋体" w:cs="Times New Roman"/>
          <w:sz w:val="36"/>
          <w:szCs w:val="36"/>
          <w:highlight w:val="none"/>
          <w:lang w:val="en-US" w:eastAsia="zh-CN"/>
        </w:rPr>
        <w:t>第三章 响应文件格式</w:t>
      </w:r>
      <w:bookmarkEnd w:id="5"/>
    </w:p>
    <w:p w14:paraId="3F236313">
      <w:pPr>
        <w:rPr>
          <w:highlight w:val="none"/>
        </w:rPr>
      </w:pPr>
    </w:p>
    <w:p w14:paraId="7EE9F07F">
      <w:pPr>
        <w:rPr>
          <w:highlight w:val="none"/>
        </w:rPr>
      </w:pPr>
    </w:p>
    <w:p w14:paraId="612A8841">
      <w:pPr>
        <w:rPr>
          <w:highlight w:val="none"/>
        </w:rPr>
      </w:pPr>
    </w:p>
    <w:p w14:paraId="2E62B9C7">
      <w:pPr>
        <w:rPr>
          <w:highlight w:val="none"/>
        </w:rPr>
      </w:pPr>
    </w:p>
    <w:p w14:paraId="7730420B">
      <w:pPr>
        <w:spacing w:line="240" w:lineRule="atLeast"/>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240" w:lineRule="atLeast"/>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7"/>
        <w:snapToGrid w:val="0"/>
        <w:spacing w:line="400" w:lineRule="exact"/>
        <w:ind w:firstLine="1320" w:firstLineChars="550"/>
        <w:rPr>
          <w:rFonts w:hint="eastAsia" w:ascii="宋体" w:hAnsi="宋体"/>
          <w:sz w:val="24"/>
          <w:szCs w:val="24"/>
          <w:highlight w:val="none"/>
          <w:lang w:val="en-US" w:eastAsia="zh-CN"/>
        </w:rPr>
      </w:pPr>
    </w:p>
    <w:p w14:paraId="7C40FB25">
      <w:pPr>
        <w:rPr>
          <w:rFonts w:hint="eastAsia" w:ascii="宋体" w:hAnsi="宋体"/>
          <w:sz w:val="24"/>
          <w:szCs w:val="24"/>
          <w:highlight w:val="none"/>
          <w:lang w:val="en-US" w:eastAsia="zh-CN"/>
        </w:rPr>
      </w:pPr>
    </w:p>
    <w:p w14:paraId="0F8A6C59">
      <w:pPr>
        <w:rPr>
          <w:rFonts w:hint="eastAsia" w:ascii="宋体" w:hAnsi="宋体"/>
          <w:sz w:val="24"/>
          <w:szCs w:val="24"/>
          <w:highlight w:val="none"/>
          <w:lang w:val="en-US" w:eastAsia="zh-CN"/>
        </w:rPr>
      </w:pPr>
    </w:p>
    <w:p w14:paraId="67DFBCDC">
      <w:pPr>
        <w:rPr>
          <w:rFonts w:hint="eastAsia" w:ascii="宋体" w:hAnsi="宋体"/>
          <w:sz w:val="24"/>
          <w:szCs w:val="24"/>
          <w:highlight w:val="none"/>
          <w:lang w:val="en-US" w:eastAsia="zh-CN"/>
        </w:rPr>
      </w:pPr>
    </w:p>
    <w:p w14:paraId="52AF9B5B">
      <w:pPr>
        <w:pStyle w:val="7"/>
        <w:snapToGrid w:val="0"/>
        <w:spacing w:line="400" w:lineRule="exact"/>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7"/>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7"/>
        <w:spacing w:line="360" w:lineRule="auto"/>
        <w:ind w:firstLine="616" w:firstLineChars="257"/>
        <w:jc w:val="right"/>
        <w:rPr>
          <w:rFonts w:hint="eastAsia"/>
          <w:sz w:val="24"/>
          <w:szCs w:val="24"/>
          <w:highlight w:val="none"/>
          <w:u w:val="single"/>
        </w:rPr>
      </w:pPr>
    </w:p>
    <w:p w14:paraId="4A83CCAB">
      <w:pPr>
        <w:pStyle w:val="17"/>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514FD710">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kern w:val="2"/>
          <w:sz w:val="21"/>
          <w:szCs w:val="21"/>
          <w:lang w:val="en-US" w:eastAsia="zh-CN" w:bidi="ar-SA"/>
        </w:rPr>
        <w:t>一、有效的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p>
    <w:p w14:paraId="69525018">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color w:val="000000"/>
          <w:sz w:val="21"/>
          <w:szCs w:val="21"/>
          <w:highlight w:val="none"/>
          <w:lang w:eastAsia="zh-CN"/>
        </w:rPr>
      </w:pPr>
    </w:p>
    <w:p w14:paraId="7851E5FF">
      <w:pPr>
        <w:keepNext w:val="0"/>
        <w:keepLines w:val="0"/>
        <w:pageBreakBefore w:val="0"/>
        <w:numPr>
          <w:ilvl w:val="0"/>
          <w:numId w:val="3"/>
        </w:numPr>
        <w:kinsoku/>
        <w:overflowPunct/>
        <w:topLinePunct w:val="0"/>
        <w:bidi w:val="0"/>
        <w:snapToGrid w:val="0"/>
        <w:spacing w:line="400" w:lineRule="exact"/>
        <w:textAlignment w:val="auto"/>
        <w:rPr>
          <w:rFonts w:hint="eastAsia"/>
          <w:lang w:eastAsia="zh-CN"/>
        </w:rPr>
      </w:pPr>
      <w:r>
        <w:rPr>
          <w:rFonts w:hint="eastAsia" w:ascii="宋体" w:hAnsi="宋体" w:eastAsia="宋体" w:cs="宋体"/>
          <w:b/>
          <w:bCs w:val="0"/>
          <w:color w:val="000000"/>
          <w:sz w:val="21"/>
          <w:szCs w:val="21"/>
          <w:highlight w:val="none"/>
          <w:lang w:eastAsia="zh-CN"/>
        </w:rPr>
        <w:t>法定代表人完整有效的身份证复印件（必须提供）</w:t>
      </w:r>
    </w:p>
    <w:p w14:paraId="087C5979">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3F390E3E">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三、</w:t>
      </w:r>
      <w:r>
        <w:rPr>
          <w:rFonts w:hint="eastAsia" w:ascii="宋体" w:hAnsi="宋体" w:eastAsia="宋体" w:cs="宋体"/>
          <w:b/>
          <w:bCs w:val="0"/>
          <w:color w:val="000000"/>
          <w:sz w:val="21"/>
          <w:szCs w:val="21"/>
          <w:highlight w:val="none"/>
          <w:lang w:eastAsia="zh-CN"/>
        </w:rPr>
        <w:t>响应文件递交截止当月前半年内投标供应商</w:t>
      </w:r>
      <w:r>
        <w:rPr>
          <w:rFonts w:hint="eastAsia" w:ascii="宋体" w:hAnsi="宋体" w:cs="宋体"/>
          <w:b/>
          <w:bCs w:val="0"/>
          <w:color w:val="000000"/>
          <w:sz w:val="21"/>
          <w:szCs w:val="21"/>
          <w:highlight w:val="none"/>
          <w:lang w:val="en-US" w:eastAsia="zh-CN"/>
        </w:rPr>
        <w:t>任一</w:t>
      </w:r>
      <w:r>
        <w:rPr>
          <w:rFonts w:hint="eastAsia" w:ascii="宋体" w:hAnsi="宋体" w:eastAsia="宋体" w:cs="宋体"/>
          <w:b/>
          <w:bCs w:val="0"/>
          <w:color w:val="000000"/>
          <w:sz w:val="21"/>
          <w:szCs w:val="21"/>
          <w:highlight w:val="none"/>
          <w:lang w:eastAsia="zh-CN"/>
        </w:rPr>
        <w:t>个月的</w:t>
      </w:r>
      <w:r>
        <w:rPr>
          <w:rFonts w:hint="eastAsia" w:ascii="宋体" w:hAnsi="宋体" w:eastAsia="宋体" w:cs="宋体"/>
          <w:b/>
          <w:bCs w:val="0"/>
          <w:color w:val="000000"/>
          <w:sz w:val="21"/>
          <w:szCs w:val="21"/>
          <w:highlight w:val="none"/>
          <w:u w:val="single"/>
          <w:lang w:eastAsia="zh-CN"/>
        </w:rPr>
        <w:t>依法缴纳税收</w:t>
      </w:r>
      <w:r>
        <w:rPr>
          <w:rFonts w:hint="eastAsia" w:ascii="宋体" w:hAnsi="宋体" w:eastAsia="宋体" w:cs="宋体"/>
          <w:b/>
          <w:bCs w:val="0"/>
          <w:color w:val="000000"/>
          <w:sz w:val="21"/>
          <w:szCs w:val="21"/>
          <w:highlight w:val="none"/>
          <w:lang w:eastAsia="zh-CN"/>
        </w:rPr>
        <w:t>的凭据复印件；依法免税（或无纳税记录或零报税）的，必须提供相应文件证明其依法免税（或无纳税记录或零报税）。从成立之日起到响应文件提交截止时间止不足要求月数的，只需提供从成立之日起的依法缴纳税收相应证明文件），复印件；（必须提供）</w:t>
      </w:r>
    </w:p>
    <w:p w14:paraId="15B7DD43">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0EA1E265">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四、</w:t>
      </w:r>
      <w:r>
        <w:rPr>
          <w:rFonts w:hint="eastAsia" w:ascii="宋体" w:hAnsi="宋体" w:eastAsia="宋体" w:cs="宋体"/>
          <w:b/>
          <w:bCs w:val="0"/>
          <w:color w:val="000000"/>
          <w:sz w:val="21"/>
          <w:szCs w:val="21"/>
          <w:highlight w:val="none"/>
          <w:lang w:eastAsia="zh-CN"/>
        </w:rPr>
        <w:t>响应文件递交截止当月前半年内投标供应商</w:t>
      </w:r>
      <w:r>
        <w:rPr>
          <w:rFonts w:hint="eastAsia" w:ascii="宋体" w:hAnsi="宋体" w:cs="宋体"/>
          <w:b/>
          <w:bCs w:val="0"/>
          <w:color w:val="000000"/>
          <w:sz w:val="21"/>
          <w:szCs w:val="21"/>
          <w:highlight w:val="none"/>
          <w:lang w:val="en-US" w:eastAsia="zh-CN"/>
        </w:rPr>
        <w:t>任一</w:t>
      </w:r>
      <w:r>
        <w:rPr>
          <w:rFonts w:hint="eastAsia" w:ascii="宋体" w:hAnsi="宋体" w:eastAsia="宋体" w:cs="宋体"/>
          <w:b/>
          <w:bCs w:val="0"/>
          <w:color w:val="000000"/>
          <w:sz w:val="21"/>
          <w:szCs w:val="21"/>
          <w:highlight w:val="none"/>
          <w:lang w:eastAsia="zh-CN"/>
        </w:rPr>
        <w:t>个月的</w:t>
      </w:r>
      <w:r>
        <w:rPr>
          <w:rFonts w:hint="eastAsia" w:ascii="宋体" w:hAnsi="宋体" w:eastAsia="宋体" w:cs="宋体"/>
          <w:b/>
          <w:bCs w:val="0"/>
          <w:color w:val="000000"/>
          <w:sz w:val="21"/>
          <w:szCs w:val="21"/>
          <w:highlight w:val="none"/>
          <w:u w:val="single"/>
          <w:lang w:eastAsia="zh-CN"/>
        </w:rPr>
        <w:t>依法缴纳社会保障资金</w:t>
      </w:r>
      <w:r>
        <w:rPr>
          <w:rFonts w:hint="eastAsia" w:ascii="宋体" w:hAnsi="宋体" w:eastAsia="宋体" w:cs="宋体"/>
          <w:b/>
          <w:bCs w:val="0"/>
          <w:color w:val="000000"/>
          <w:sz w:val="21"/>
          <w:szCs w:val="21"/>
          <w:highlight w:val="none"/>
          <w:lang w:eastAsia="zh-CN"/>
        </w:rPr>
        <w:t>的缴费凭证（专用收据或者社会保险缴纳清单或其他有效证明）复印件；依法不需要缴纳社会保障资金的，必须提供相应文件证明不需要缴纳社会保障资金证明复印件。从取得营业执照之日起到响应文件提交截止时间止不足要求月数的只需提供从取得营业执照起依法缴纳社会保障资金的相应证明文件，复印件（必须提供）</w:t>
      </w:r>
    </w:p>
    <w:p w14:paraId="51B40545">
      <w:pPr>
        <w:keepNext w:val="0"/>
        <w:keepLines w:val="0"/>
        <w:pageBreakBefore w:val="0"/>
        <w:numPr>
          <w:ilvl w:val="0"/>
          <w:numId w:val="0"/>
        </w:numPr>
        <w:kinsoku/>
        <w:overflowPunct/>
        <w:topLinePunct w:val="0"/>
        <w:autoSpaceDE/>
        <w:autoSpaceDN/>
        <w:bidi w:val="0"/>
        <w:spacing w:line="400" w:lineRule="exact"/>
        <w:ind w:leftChars="0"/>
        <w:jc w:val="left"/>
        <w:textAlignment w:val="auto"/>
        <w:rPr>
          <w:rFonts w:hint="eastAsia" w:ascii="宋体" w:hAnsi="宋体" w:eastAsia="宋体" w:cs="宋体"/>
          <w:b/>
          <w:color w:val="000000"/>
          <w:sz w:val="21"/>
          <w:szCs w:val="21"/>
          <w:highlight w:val="none"/>
          <w:lang w:eastAsia="zh-CN"/>
        </w:rPr>
      </w:pPr>
    </w:p>
    <w:p w14:paraId="039867C2">
      <w:pPr>
        <w:keepNext w:val="0"/>
        <w:keepLines w:val="0"/>
        <w:pageBreakBefore w:val="0"/>
        <w:kinsoku/>
        <w:overflowPunct/>
        <w:topLinePunct w:val="0"/>
        <w:autoSpaceDE/>
        <w:autoSpaceDN/>
        <w:bidi w:val="0"/>
        <w:spacing w:line="400" w:lineRule="exact"/>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五</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p>
    <w:p w14:paraId="1D105EF7">
      <w:pPr>
        <w:keepNext w:val="0"/>
        <w:keepLines w:val="0"/>
        <w:pageBreakBefore w:val="0"/>
        <w:kinsoku/>
        <w:overflowPunct/>
        <w:topLinePunct w:val="0"/>
        <w:bidi w:val="0"/>
        <w:snapToGrid w:val="0"/>
        <w:spacing w:before="120" w:beforeLines="50" w:after="50" w:line="400" w:lineRule="exact"/>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7"/>
        <w:keepNext w:val="0"/>
        <w:keepLines w:val="0"/>
        <w:pageBreakBefore w:val="0"/>
        <w:widowControl w:val="0"/>
        <w:kinsoku/>
        <w:wordWrap w:val="0"/>
        <w:overflowPunct/>
        <w:topLinePunct w:val="0"/>
        <w:autoSpaceDE/>
        <w:autoSpaceDN/>
        <w:bidi w:val="0"/>
        <w:adjustRightInd/>
        <w:spacing w:line="400" w:lineRule="exact"/>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0E4F3E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2259284B">
      <w:pPr>
        <w:keepNext w:val="0"/>
        <w:keepLines w:val="0"/>
        <w:pageBreakBefore w:val="0"/>
        <w:numPr>
          <w:ilvl w:val="0"/>
          <w:numId w:val="0"/>
        </w:numPr>
        <w:kinsoku/>
        <w:overflowPunct/>
        <w:topLinePunct w:val="0"/>
        <w:bidi w:val="0"/>
        <w:spacing w:line="400" w:lineRule="exact"/>
        <w:ind w:left="0" w:leftChars="0" w:firstLine="0" w:firstLineChars="0"/>
        <w:textAlignment w:val="auto"/>
        <w:rPr>
          <w:rFonts w:hint="eastAsia" w:ascii="宋体" w:hAnsi="宋体" w:eastAsia="宋体" w:cs="宋体"/>
          <w:b/>
          <w:color w:val="000000"/>
          <w:sz w:val="21"/>
          <w:szCs w:val="21"/>
          <w:highlight w:val="none"/>
          <w:lang w:val="en-US" w:eastAsia="zh-CN"/>
        </w:rPr>
      </w:pPr>
    </w:p>
    <w:p w14:paraId="46808383">
      <w:pPr>
        <w:keepNext w:val="0"/>
        <w:keepLines w:val="0"/>
        <w:pageBreakBefore w:val="0"/>
        <w:numPr>
          <w:ilvl w:val="0"/>
          <w:numId w:val="0"/>
        </w:numPr>
        <w:kinsoku/>
        <w:overflowPunct/>
        <w:topLinePunct w:val="0"/>
        <w:bidi w:val="0"/>
        <w:spacing w:line="400" w:lineRule="exact"/>
        <w:ind w:left="0" w:leftChars="0" w:firstLine="0" w:firstLineChars="0"/>
        <w:textAlignment w:val="auto"/>
        <w:rPr>
          <w:rFonts w:hint="eastAsia" w:ascii="宋体" w:hAnsi="宋体" w:eastAsia="宋体" w:cs="宋体"/>
          <w:b/>
          <w:color w:val="000000"/>
          <w:sz w:val="21"/>
          <w:szCs w:val="21"/>
          <w:highlight w:val="none"/>
          <w:lang w:val="en-US" w:eastAsia="zh-CN"/>
        </w:rPr>
      </w:pPr>
      <w:r>
        <w:rPr>
          <w:rFonts w:hint="eastAsia" w:ascii="宋体" w:hAnsi="宋体" w:cs="宋体"/>
          <w:b/>
          <w:color w:val="000000"/>
          <w:sz w:val="21"/>
          <w:szCs w:val="21"/>
          <w:highlight w:val="none"/>
          <w:lang w:val="en-US" w:eastAsia="zh-CN"/>
        </w:rPr>
        <w:t>六</w:t>
      </w:r>
      <w:r>
        <w:rPr>
          <w:rFonts w:hint="eastAsia" w:ascii="宋体" w:hAnsi="宋体" w:eastAsia="宋体" w:cs="宋体"/>
          <w:b/>
          <w:color w:val="000000"/>
          <w:sz w:val="21"/>
          <w:szCs w:val="21"/>
          <w:highlight w:val="none"/>
          <w:lang w:val="en-US" w:eastAsia="zh-CN"/>
        </w:rPr>
        <w:t>、供应商认为需要提供的相关材料。如：产品彩页等说明书（如有请提供）</w:t>
      </w:r>
    </w:p>
    <w:p w14:paraId="30B271EF">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p>
    <w:p w14:paraId="5E40207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val="en-US" w:eastAsia="zh-CN"/>
        </w:rPr>
      </w:pPr>
    </w:p>
    <w:p w14:paraId="6493B071">
      <w:pPr>
        <w:keepNext w:val="0"/>
        <w:keepLines w:val="0"/>
        <w:pageBreakBefore w:val="0"/>
        <w:kinsoku/>
        <w:overflowPunct/>
        <w:topLinePunct w:val="0"/>
        <w:bidi w:val="0"/>
        <w:spacing w:line="400" w:lineRule="exact"/>
        <w:textAlignment w:val="auto"/>
        <w:rPr>
          <w:rFonts w:hint="eastAsia" w:ascii="宋体" w:hAnsi="宋体" w:eastAsia="宋体" w:cs="宋体"/>
          <w:b/>
          <w:color w:val="000000"/>
          <w:kern w:val="2"/>
          <w:sz w:val="21"/>
          <w:szCs w:val="21"/>
          <w:lang w:val="en-US" w:eastAsia="zh-CN" w:bidi="ar-SA"/>
        </w:rPr>
      </w:pPr>
      <w:r>
        <w:rPr>
          <w:rFonts w:hint="eastAsia" w:ascii="宋体" w:hAnsi="宋体" w:eastAsia="宋体" w:cs="宋体"/>
          <w:b/>
          <w:color w:val="000000"/>
          <w:kern w:val="2"/>
          <w:sz w:val="21"/>
          <w:szCs w:val="21"/>
          <w:lang w:val="en-US" w:eastAsia="zh-CN" w:bidi="ar-SA"/>
        </w:rPr>
        <w:br w:type="page"/>
      </w:r>
    </w:p>
    <w:p w14:paraId="7785EBB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七</w:t>
      </w:r>
      <w:r>
        <w:rPr>
          <w:rFonts w:hint="eastAsia" w:ascii="宋体" w:hAnsi="宋体" w:eastAsia="宋体" w:cs="宋体"/>
          <w:b/>
          <w:color w:val="000000"/>
          <w:kern w:val="2"/>
          <w:sz w:val="21"/>
          <w:szCs w:val="21"/>
          <w:lang w:val="en-US" w:eastAsia="zh-CN" w:bidi="ar-SA"/>
        </w:rPr>
        <w:t>、</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6"/>
        <w:keepNext w:val="0"/>
        <w:keepLines w:val="0"/>
        <w:pageBreakBefore w:val="0"/>
        <w:numPr>
          <w:ilvl w:val="0"/>
          <w:numId w:val="0"/>
        </w:numPr>
        <w:kinsoku/>
        <w:wordWrap/>
        <w:overflowPunct/>
        <w:topLinePunct w:val="0"/>
        <w:bidi w:val="0"/>
        <w:adjustRightInd w:val="0"/>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b/>
          <w:color w:val="000000"/>
          <w:sz w:val="21"/>
          <w:szCs w:val="21"/>
          <w:highlight w:val="none"/>
          <w:lang w:eastAsia="zh-CN"/>
        </w:rPr>
        <w:t>报价表</w:t>
      </w:r>
    </w:p>
    <w:p w14:paraId="520C3663">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tbl>
      <w:tblPr>
        <w:tblStyle w:val="29"/>
        <w:tblW w:w="48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528"/>
        <w:gridCol w:w="2204"/>
        <w:gridCol w:w="853"/>
        <w:gridCol w:w="860"/>
        <w:gridCol w:w="1024"/>
        <w:gridCol w:w="1535"/>
      </w:tblGrid>
      <w:tr w14:paraId="327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438" w:type="pct"/>
            <w:noWrap w:val="0"/>
            <w:vAlign w:val="center"/>
          </w:tcPr>
          <w:p w14:paraId="635B0DA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870" w:type="pct"/>
            <w:noWrap w:val="0"/>
            <w:vAlign w:val="center"/>
          </w:tcPr>
          <w:p w14:paraId="7501B258">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商品</w:t>
            </w:r>
            <w:r>
              <w:rPr>
                <w:rFonts w:hint="eastAsia" w:ascii="宋体" w:hAnsi="宋体" w:eastAsia="宋体" w:cs="宋体"/>
                <w:sz w:val="21"/>
                <w:szCs w:val="21"/>
              </w:rPr>
              <w:t>名称</w:t>
            </w:r>
          </w:p>
        </w:tc>
        <w:tc>
          <w:tcPr>
            <w:tcW w:w="1255" w:type="pct"/>
            <w:noWrap w:val="0"/>
            <w:vAlign w:val="center"/>
          </w:tcPr>
          <w:p w14:paraId="7007059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品牌、规格、型号</w:t>
            </w:r>
          </w:p>
        </w:tc>
        <w:tc>
          <w:tcPr>
            <w:tcW w:w="486" w:type="pct"/>
            <w:noWrap w:val="0"/>
            <w:vAlign w:val="center"/>
          </w:tcPr>
          <w:p w14:paraId="1D395556">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数量①</w:t>
            </w:r>
          </w:p>
        </w:tc>
        <w:tc>
          <w:tcPr>
            <w:tcW w:w="490" w:type="pct"/>
            <w:noWrap w:val="0"/>
            <w:vAlign w:val="center"/>
          </w:tcPr>
          <w:p w14:paraId="11F36893">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单位</w:t>
            </w:r>
          </w:p>
        </w:tc>
        <w:tc>
          <w:tcPr>
            <w:tcW w:w="583" w:type="pct"/>
            <w:noWrap w:val="0"/>
            <w:vAlign w:val="center"/>
          </w:tcPr>
          <w:p w14:paraId="3119054C">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单价（元）</w:t>
            </w:r>
          </w:p>
          <w:p w14:paraId="7BCEBA7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②</w:t>
            </w:r>
          </w:p>
        </w:tc>
        <w:tc>
          <w:tcPr>
            <w:tcW w:w="874" w:type="pct"/>
            <w:noWrap w:val="0"/>
            <w:vAlign w:val="center"/>
          </w:tcPr>
          <w:p w14:paraId="6BC88518">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单项合价（元）</w:t>
            </w:r>
          </w:p>
          <w:p w14:paraId="3DA7EC70">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③=①×②</w:t>
            </w:r>
          </w:p>
        </w:tc>
      </w:tr>
      <w:tr w14:paraId="6E3C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38" w:type="pct"/>
            <w:noWrap w:val="0"/>
            <w:vAlign w:val="center"/>
          </w:tcPr>
          <w:p w14:paraId="07642F1E">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870" w:type="pct"/>
            <w:noWrap w:val="0"/>
            <w:vAlign w:val="center"/>
          </w:tcPr>
          <w:p w14:paraId="382F9C57">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1255" w:type="pct"/>
            <w:noWrap w:val="0"/>
            <w:vAlign w:val="center"/>
          </w:tcPr>
          <w:p w14:paraId="6131A3E7">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86" w:type="pct"/>
            <w:noWrap w:val="0"/>
            <w:vAlign w:val="center"/>
          </w:tcPr>
          <w:p w14:paraId="1B08C664">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90" w:type="pct"/>
            <w:noWrap w:val="0"/>
            <w:vAlign w:val="center"/>
          </w:tcPr>
          <w:p w14:paraId="6F3A17CC">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583" w:type="pct"/>
            <w:noWrap w:val="0"/>
            <w:vAlign w:val="center"/>
          </w:tcPr>
          <w:p w14:paraId="40678AED">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874" w:type="pct"/>
            <w:noWrap w:val="0"/>
            <w:vAlign w:val="center"/>
          </w:tcPr>
          <w:p w14:paraId="64E9FA89">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r w14:paraId="75E0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38" w:type="pct"/>
            <w:noWrap w:val="0"/>
            <w:vAlign w:val="center"/>
          </w:tcPr>
          <w:p w14:paraId="66A34D6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870" w:type="pct"/>
            <w:noWrap w:val="0"/>
            <w:vAlign w:val="center"/>
          </w:tcPr>
          <w:p w14:paraId="3947440C">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1255" w:type="pct"/>
            <w:noWrap w:val="0"/>
            <w:vAlign w:val="center"/>
          </w:tcPr>
          <w:p w14:paraId="74D74BA9">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86" w:type="pct"/>
            <w:noWrap w:val="0"/>
            <w:vAlign w:val="center"/>
          </w:tcPr>
          <w:p w14:paraId="4FDD3B14">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90" w:type="pct"/>
            <w:noWrap w:val="0"/>
            <w:vAlign w:val="center"/>
          </w:tcPr>
          <w:p w14:paraId="7A578776">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583" w:type="pct"/>
            <w:noWrap w:val="0"/>
            <w:vAlign w:val="center"/>
          </w:tcPr>
          <w:p w14:paraId="765D5102">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874" w:type="pct"/>
            <w:noWrap w:val="0"/>
            <w:vAlign w:val="center"/>
          </w:tcPr>
          <w:p w14:paraId="66F31A2A">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r w14:paraId="54B0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38" w:type="pct"/>
            <w:noWrap w:val="0"/>
            <w:vAlign w:val="center"/>
          </w:tcPr>
          <w:p w14:paraId="578AC141">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870" w:type="pct"/>
            <w:noWrap w:val="0"/>
            <w:vAlign w:val="center"/>
          </w:tcPr>
          <w:p w14:paraId="73EF4750">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1255" w:type="pct"/>
            <w:noWrap w:val="0"/>
            <w:vAlign w:val="center"/>
          </w:tcPr>
          <w:p w14:paraId="13E4F257">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86" w:type="pct"/>
            <w:noWrap w:val="0"/>
            <w:vAlign w:val="center"/>
          </w:tcPr>
          <w:p w14:paraId="1CA00C36">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90" w:type="pct"/>
            <w:noWrap w:val="0"/>
            <w:vAlign w:val="center"/>
          </w:tcPr>
          <w:p w14:paraId="1FDDEB22">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583" w:type="pct"/>
            <w:noWrap w:val="0"/>
            <w:vAlign w:val="center"/>
          </w:tcPr>
          <w:p w14:paraId="4F255BC8">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874" w:type="pct"/>
            <w:noWrap w:val="0"/>
            <w:vAlign w:val="center"/>
          </w:tcPr>
          <w:p w14:paraId="52A6A23D">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bl>
    <w:p w14:paraId="671199B6">
      <w:pPr>
        <w:keepNext w:val="0"/>
        <w:keepLines w:val="0"/>
        <w:pageBreakBefore w:val="0"/>
        <w:tabs>
          <w:tab w:val="left" w:pos="180"/>
          <w:tab w:val="left" w:pos="1620"/>
        </w:tabs>
        <w:kinsoku/>
        <w:wordWrap/>
        <w:overflowPunct/>
        <w:topLinePunct w:val="0"/>
        <w:autoSpaceDE/>
        <w:autoSpaceDN/>
        <w:bidi w:val="0"/>
        <w:snapToGrid/>
        <w:spacing w:line="400" w:lineRule="exact"/>
        <w:jc w:val="left"/>
        <w:textAlignment w:val="auto"/>
        <w:rPr>
          <w:rFonts w:hint="eastAsia" w:ascii="宋体" w:hAnsi="宋体" w:eastAsia="宋体" w:cs="宋体"/>
          <w:b/>
          <w:bCs/>
          <w:sz w:val="21"/>
          <w:szCs w:val="21"/>
          <w:highlight w:val="none"/>
          <w:lang w:eastAsia="zh-CN"/>
        </w:rPr>
      </w:pPr>
    </w:p>
    <w:p w14:paraId="6E74B7DD">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69307612">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1.本项目报价以人民币计价，单位为元，精确至小数点后两位。</w:t>
      </w:r>
    </w:p>
    <w:p w14:paraId="6FB1A0D7">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2.供应商可自行增加表格栏目。</w:t>
      </w:r>
    </w:p>
    <w:p w14:paraId="61E02F36">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3.报价包含税费、配送费等所有费用。</w:t>
      </w:r>
    </w:p>
    <w:p w14:paraId="7DA3DF35">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4.供应商须对本项目全部服务内容作出完整唯一报价，投标报价超出预算金额、存在漏项报价、选择性报价及有条件报价的，均作响应无效处理。</w:t>
      </w:r>
    </w:p>
    <w:p w14:paraId="7D6AA114">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400" w:lineRule="exact"/>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400" w:lineRule="exact"/>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3849939D">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6" w:name="_Toc6622"/>
    </w:p>
    <w:p w14:paraId="7DAE9A81">
      <w:pPr>
        <w:keepNext w:val="0"/>
        <w:keepLines w:val="0"/>
        <w:pageBreakBefore w:val="0"/>
        <w:kinsoku/>
        <w:overflowPunct/>
        <w:topLinePunct w:val="0"/>
        <w:bidi w:val="0"/>
        <w:spacing w:line="400" w:lineRule="exact"/>
        <w:textAlignment w:val="auto"/>
        <w:rPr>
          <w:rFonts w:hint="eastAsia" w:ascii="宋体" w:hAnsi="宋体" w:cs="宋体"/>
          <w:szCs w:val="21"/>
          <w:highlight w:val="none"/>
        </w:rPr>
      </w:pPr>
    </w:p>
    <w:p w14:paraId="08FCFBC0">
      <w:pPr>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p w14:paraId="7511E425">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cs="Times New Roman"/>
          <w:sz w:val="36"/>
          <w:szCs w:val="36"/>
          <w:highlight w:val="none"/>
          <w:lang w:val="en-US" w:eastAsia="zh-CN"/>
        </w:rPr>
      </w:pPr>
      <w:bookmarkStart w:id="7" w:name="_Toc22671"/>
      <w:r>
        <w:rPr>
          <w:rFonts w:hint="eastAsia" w:ascii="Times New Roman" w:hAnsi="Times New Roman" w:cs="Times New Roman"/>
          <w:sz w:val="36"/>
          <w:szCs w:val="36"/>
          <w:highlight w:val="none"/>
          <w:lang w:val="en-US" w:eastAsia="zh-CN"/>
        </w:rPr>
        <w:t>第</w:t>
      </w:r>
      <w:r>
        <w:rPr>
          <w:rFonts w:hint="eastAsia" w:cs="Times New Roman"/>
          <w:sz w:val="36"/>
          <w:szCs w:val="36"/>
          <w:highlight w:val="none"/>
          <w:lang w:val="en-US" w:eastAsia="zh-CN"/>
        </w:rPr>
        <w:t>四</w:t>
      </w:r>
      <w:r>
        <w:rPr>
          <w:rFonts w:hint="eastAsia" w:ascii="Times New Roman" w:hAnsi="Times New Roman" w:cs="Times New Roman"/>
          <w:sz w:val="36"/>
          <w:szCs w:val="36"/>
          <w:highlight w:val="none"/>
          <w:lang w:val="en-US" w:eastAsia="zh-CN"/>
        </w:rPr>
        <w:t>章 合同主要条款</w:t>
      </w:r>
      <w:bookmarkEnd w:id="6"/>
      <w:bookmarkEnd w:id="7"/>
    </w:p>
    <w:p w14:paraId="4E5894A5">
      <w:pPr>
        <w:pStyle w:val="4"/>
        <w:keepNext/>
        <w:keepLines/>
        <w:pageBreakBefore w:val="0"/>
        <w:widowControl w:val="0"/>
        <w:kinsoku/>
        <w:wordWrap/>
        <w:overflowPunct/>
        <w:topLinePunct w:val="0"/>
        <w:autoSpaceDE/>
        <w:autoSpaceDN/>
        <w:bidi w:val="0"/>
        <w:adjustRightInd/>
        <w:snapToGrid/>
        <w:spacing w:before="0" w:after="0" w:line="240" w:lineRule="atLeast"/>
        <w:jc w:val="center"/>
        <w:textAlignment w:val="auto"/>
        <w:outlineLvl w:val="1"/>
        <w:rPr>
          <w:rFonts w:hint="eastAsia"/>
        </w:rPr>
      </w:pPr>
      <w:r>
        <w:rPr>
          <w:rFonts w:hint="eastAsia"/>
        </w:rPr>
        <w:t>合</w:t>
      </w:r>
      <w:r>
        <w:rPr>
          <w:rFonts w:hint="eastAsia"/>
          <w:lang w:val="en-US" w:eastAsia="zh-CN"/>
        </w:rPr>
        <w:t xml:space="preserve"> </w:t>
      </w:r>
      <w:r>
        <w:rPr>
          <w:rFonts w:hint="eastAsia"/>
        </w:rPr>
        <w:t>同</w:t>
      </w:r>
      <w:r>
        <w:rPr>
          <w:rFonts w:hint="eastAsia"/>
          <w:lang w:val="en-US" w:eastAsia="zh-CN"/>
        </w:rPr>
        <w:t xml:space="preserve"> 书（模板）</w:t>
      </w:r>
    </w:p>
    <w:p w14:paraId="1DDFAC8D">
      <w:pPr>
        <w:keepNext w:val="0"/>
        <w:keepLines w:val="0"/>
        <w:pageBreakBefore w:val="0"/>
        <w:kinsoku/>
        <w:wordWrap/>
        <w:overflowPunct/>
        <w:topLinePunct w:val="0"/>
        <w:autoSpaceDE/>
        <w:autoSpaceDN/>
        <w:bidi w:val="0"/>
        <w:adjustRightInd/>
        <w:snapToGrid w:val="0"/>
        <w:spacing w:line="380" w:lineRule="exact"/>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3728D2A4">
      <w:pPr>
        <w:keepNext w:val="0"/>
        <w:keepLines w:val="0"/>
        <w:pageBreakBefore w:val="0"/>
        <w:kinsoku/>
        <w:wordWrap/>
        <w:overflowPunct/>
        <w:topLinePunct w:val="0"/>
        <w:autoSpaceDE/>
        <w:autoSpaceDN/>
        <w:bidi w:val="0"/>
        <w:adjustRightInd/>
        <w:snapToGrid w:val="0"/>
        <w:spacing w:line="38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6A2E9DB6">
      <w:pPr>
        <w:keepNext w:val="0"/>
        <w:keepLines w:val="0"/>
        <w:pageBreakBefore w:val="0"/>
        <w:kinsoku/>
        <w:wordWrap/>
        <w:overflowPunct/>
        <w:topLinePunct w:val="0"/>
        <w:autoSpaceDE/>
        <w:autoSpaceDN/>
        <w:bidi w:val="0"/>
        <w:adjustRightInd/>
        <w:snapToGrid w:val="0"/>
        <w:spacing w:line="380" w:lineRule="exact"/>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2B6B294B">
      <w:pPr>
        <w:keepNext w:val="0"/>
        <w:keepLines w:val="0"/>
        <w:pageBreakBefore w:val="0"/>
        <w:kinsoku/>
        <w:wordWrap/>
        <w:overflowPunct/>
        <w:topLinePunct w:val="0"/>
        <w:autoSpaceDE/>
        <w:autoSpaceDN/>
        <w:bidi w:val="0"/>
        <w:adjustRightInd/>
        <w:snapToGrid w:val="0"/>
        <w:spacing w:line="380" w:lineRule="exact"/>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p>
    <w:p w14:paraId="2D18AAB5">
      <w:pPr>
        <w:keepNext w:val="0"/>
        <w:keepLines w:val="0"/>
        <w:pageBreakBefore w:val="0"/>
        <w:kinsoku/>
        <w:wordWrap/>
        <w:overflowPunct/>
        <w:topLinePunct w:val="0"/>
        <w:autoSpaceDE/>
        <w:autoSpaceDN/>
        <w:bidi w:val="0"/>
        <w:adjustRightInd/>
        <w:snapToGrid w:val="0"/>
        <w:spacing w:line="380" w:lineRule="exact"/>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p>
    <w:p w14:paraId="7B02F862">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auto"/>
          <w:sz w:val="24"/>
          <w:szCs w:val="24"/>
          <w:highlight w:val="none"/>
        </w:rPr>
      </w:pPr>
    </w:p>
    <w:p w14:paraId="73C783E3">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5F507851">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1、合同文件</w:t>
      </w:r>
    </w:p>
    <w:p w14:paraId="1D2E59CB">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本合同所附下列文件是构成本合同不可分割的部分：</w:t>
      </w:r>
    </w:p>
    <w:p w14:paraId="67FC5DF4">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（1）合同基本条款</w:t>
      </w:r>
    </w:p>
    <w:p w14:paraId="3097884B">
      <w:pPr>
        <w:pStyle w:val="17"/>
        <w:keepNext w:val="0"/>
        <w:keepLines w:val="0"/>
        <w:pageBreakBefore w:val="0"/>
        <w:tabs>
          <w:tab w:val="left" w:leader="middleDot" w:pos="9240"/>
        </w:tabs>
        <w:kinsoku/>
        <w:wordWrap/>
        <w:overflowPunct/>
        <w:topLinePunct w:val="0"/>
        <w:autoSpaceDE/>
        <w:autoSpaceDN/>
        <w:bidi w:val="0"/>
        <w:adjustRightInd/>
        <w:spacing w:line="380" w:lineRule="exac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2、合同范围和条件</w:t>
      </w:r>
    </w:p>
    <w:p w14:paraId="718CACB1">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本合同的范围和条件应与上述合同文件的规定相一致。</w:t>
      </w:r>
    </w:p>
    <w:p w14:paraId="29DD2C77">
      <w:pPr>
        <w:pStyle w:val="17"/>
        <w:keepNext w:val="0"/>
        <w:keepLines w:val="0"/>
        <w:pageBreakBefore w:val="0"/>
        <w:tabs>
          <w:tab w:val="left" w:leader="middleDot" w:pos="9240"/>
        </w:tabs>
        <w:kinsoku/>
        <w:wordWrap/>
        <w:overflowPunct/>
        <w:topLinePunct w:val="0"/>
        <w:autoSpaceDE/>
        <w:autoSpaceDN/>
        <w:bidi w:val="0"/>
        <w:adjustRightInd/>
        <w:spacing w:line="380" w:lineRule="exac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3、货物采购金额和服务内容</w:t>
      </w:r>
    </w:p>
    <w:p w14:paraId="3A1444AC">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本合同所涉及的乙方应提供的货物报价明细如下：</w:t>
      </w:r>
    </w:p>
    <w:tbl>
      <w:tblPr>
        <w:tblStyle w:val="29"/>
        <w:tblpPr w:leftFromText="180" w:rightFromText="180" w:vertAnchor="text" w:horzAnchor="page" w:tblpXSpec="center" w:tblpY="184"/>
        <w:tblOverlap w:val="never"/>
        <w:tblW w:w="54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0"/>
        <w:gridCol w:w="739"/>
        <w:gridCol w:w="1007"/>
        <w:gridCol w:w="1045"/>
        <w:gridCol w:w="1014"/>
        <w:gridCol w:w="718"/>
        <w:gridCol w:w="608"/>
        <w:gridCol w:w="594"/>
        <w:gridCol w:w="687"/>
        <w:gridCol w:w="861"/>
        <w:gridCol w:w="1055"/>
        <w:gridCol w:w="1055"/>
      </w:tblGrid>
      <w:tr w14:paraId="4A22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jc w:val="center"/>
        </w:trPr>
        <w:tc>
          <w:tcPr>
            <w:tcW w:w="194" w:type="pct"/>
            <w:tcBorders>
              <w:top w:val="single" w:color="auto" w:sz="4" w:space="0"/>
              <w:left w:val="single" w:color="auto" w:sz="4" w:space="0"/>
              <w:bottom w:val="single" w:color="auto" w:sz="4" w:space="0"/>
              <w:right w:val="single" w:color="auto" w:sz="4" w:space="0"/>
            </w:tcBorders>
            <w:noWrap w:val="0"/>
            <w:vAlign w:val="center"/>
          </w:tcPr>
          <w:p w14:paraId="3CD23BDC">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序号</w:t>
            </w:r>
          </w:p>
        </w:tc>
        <w:tc>
          <w:tcPr>
            <w:tcW w:w="378" w:type="pct"/>
            <w:tcBorders>
              <w:top w:val="single" w:color="auto" w:sz="4" w:space="0"/>
              <w:left w:val="single" w:color="auto" w:sz="4" w:space="0"/>
              <w:bottom w:val="single" w:color="auto" w:sz="4" w:space="0"/>
              <w:right w:val="single" w:color="auto" w:sz="4" w:space="0"/>
            </w:tcBorders>
            <w:noWrap w:val="0"/>
            <w:vAlign w:val="center"/>
          </w:tcPr>
          <w:p w14:paraId="548FB3ED">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医保编码</w:t>
            </w:r>
          </w:p>
        </w:tc>
        <w:tc>
          <w:tcPr>
            <w:tcW w:w="515" w:type="pct"/>
            <w:tcBorders>
              <w:top w:val="single" w:color="auto" w:sz="4" w:space="0"/>
              <w:left w:val="single" w:color="auto" w:sz="4" w:space="0"/>
              <w:bottom w:val="single" w:color="auto" w:sz="4" w:space="0"/>
              <w:right w:val="single" w:color="auto" w:sz="4" w:space="0"/>
            </w:tcBorders>
            <w:noWrap w:val="0"/>
            <w:vAlign w:val="center"/>
          </w:tcPr>
          <w:p w14:paraId="69EDB37E">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货物名称</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1D62EF99">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注册证</w:t>
            </w:r>
            <w:r>
              <w:rPr>
                <w:rFonts w:hint="eastAsia" w:ascii="宋体" w:hAnsi="宋体" w:cs="宋体"/>
                <w:sz w:val="21"/>
                <w:szCs w:val="21"/>
                <w:highlight w:val="none"/>
                <w:lang w:val="en-US" w:eastAsia="zh-CN"/>
              </w:rPr>
              <w:t>/外包装</w:t>
            </w:r>
            <w:r>
              <w:rPr>
                <w:rFonts w:hint="eastAsia" w:ascii="宋体" w:hAnsi="宋体" w:cs="宋体"/>
                <w:sz w:val="21"/>
                <w:szCs w:val="21"/>
                <w:highlight w:val="none"/>
                <w:lang w:eastAsia="zh-CN"/>
              </w:rPr>
              <w:t>名称</w:t>
            </w:r>
          </w:p>
        </w:tc>
        <w:tc>
          <w:tcPr>
            <w:tcW w:w="519" w:type="pct"/>
            <w:tcBorders>
              <w:top w:val="single" w:color="auto" w:sz="4" w:space="0"/>
              <w:left w:val="single" w:color="auto" w:sz="4" w:space="0"/>
              <w:bottom w:val="single" w:color="auto" w:sz="4" w:space="0"/>
              <w:right w:val="single" w:color="auto" w:sz="4" w:space="0"/>
            </w:tcBorders>
            <w:noWrap w:val="0"/>
            <w:vAlign w:val="center"/>
          </w:tcPr>
          <w:p w14:paraId="6DC4B1F4">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cs="宋体"/>
                <w:sz w:val="21"/>
                <w:szCs w:val="21"/>
                <w:highlight w:val="none"/>
              </w:rPr>
              <w:t>厂家</w:t>
            </w:r>
          </w:p>
        </w:tc>
        <w:tc>
          <w:tcPr>
            <w:tcW w:w="367" w:type="pct"/>
            <w:tcBorders>
              <w:top w:val="single" w:color="auto" w:sz="4" w:space="0"/>
              <w:left w:val="single" w:color="auto" w:sz="4" w:space="0"/>
              <w:bottom w:val="single" w:color="auto" w:sz="4" w:space="0"/>
              <w:right w:val="single" w:color="auto" w:sz="4" w:space="0"/>
            </w:tcBorders>
            <w:noWrap w:val="0"/>
            <w:vAlign w:val="center"/>
          </w:tcPr>
          <w:p w14:paraId="3E3B2BAD">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cs="宋体"/>
                <w:sz w:val="21"/>
                <w:szCs w:val="21"/>
                <w:highlight w:val="none"/>
              </w:rPr>
              <w:t>规格型号</w:t>
            </w:r>
          </w:p>
        </w:tc>
        <w:tc>
          <w:tcPr>
            <w:tcW w:w="311" w:type="pct"/>
            <w:tcBorders>
              <w:top w:val="single" w:color="auto" w:sz="4" w:space="0"/>
              <w:left w:val="single" w:color="auto" w:sz="4" w:space="0"/>
              <w:bottom w:val="single" w:color="auto" w:sz="4" w:space="0"/>
              <w:right w:val="single" w:color="auto" w:sz="4" w:space="0"/>
            </w:tcBorders>
            <w:noWrap w:val="0"/>
            <w:vAlign w:val="center"/>
          </w:tcPr>
          <w:p w14:paraId="2BDBBE78">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单位</w:t>
            </w:r>
          </w:p>
        </w:tc>
        <w:tc>
          <w:tcPr>
            <w:tcW w:w="304" w:type="pct"/>
            <w:tcBorders>
              <w:top w:val="single" w:color="auto" w:sz="4" w:space="0"/>
              <w:left w:val="single" w:color="auto" w:sz="4" w:space="0"/>
              <w:bottom w:val="single" w:color="auto" w:sz="4" w:space="0"/>
              <w:right w:val="single" w:color="auto" w:sz="4" w:space="0"/>
            </w:tcBorders>
            <w:noWrap w:val="0"/>
            <w:vAlign w:val="center"/>
          </w:tcPr>
          <w:p w14:paraId="52627437">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数量</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0B895D87">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单价（元）</w:t>
            </w:r>
          </w:p>
        </w:tc>
        <w:tc>
          <w:tcPr>
            <w:tcW w:w="440" w:type="pct"/>
            <w:tcBorders>
              <w:top w:val="single" w:color="auto" w:sz="4" w:space="0"/>
              <w:left w:val="single" w:color="auto" w:sz="4" w:space="0"/>
              <w:bottom w:val="single" w:color="auto" w:sz="4" w:space="0"/>
              <w:right w:val="single" w:color="auto" w:sz="4" w:space="0"/>
            </w:tcBorders>
            <w:noWrap w:val="0"/>
            <w:vAlign w:val="center"/>
          </w:tcPr>
          <w:p w14:paraId="65A40875">
            <w:pPr>
              <w:spacing w:line="300" w:lineRule="exact"/>
              <w:jc w:val="center"/>
              <w:rPr>
                <w:rFonts w:ascii="宋体" w:hAnsi="宋体"/>
                <w:b w:val="0"/>
                <w:bCs w:val="0"/>
                <w:color w:val="auto"/>
                <w:sz w:val="21"/>
                <w:szCs w:val="21"/>
                <w:highlight w:val="none"/>
              </w:rPr>
            </w:pPr>
            <w:r>
              <w:rPr>
                <w:rFonts w:hint="eastAsia" w:ascii="宋体" w:hAnsi="宋体"/>
                <w:b w:val="0"/>
                <w:bCs w:val="0"/>
                <w:color w:val="auto"/>
                <w:sz w:val="21"/>
                <w:szCs w:val="21"/>
                <w:highlight w:val="none"/>
                <w:lang w:eastAsia="zh-CN"/>
              </w:rPr>
              <w:t>单项合计</w:t>
            </w:r>
          </w:p>
          <w:p w14:paraId="6764385D">
            <w:pPr>
              <w:keepNext w:val="0"/>
              <w:keepLines w:val="0"/>
              <w:pageBreakBefore w:val="0"/>
              <w:tabs>
                <w:tab w:val="left" w:pos="353"/>
                <w:tab w:val="left" w:leader="middleDot" w:pos="9240"/>
              </w:tabs>
              <w:kinsoku/>
              <w:wordWrap/>
              <w:overflowPunct/>
              <w:topLinePunct w:val="0"/>
              <w:autoSpaceDE/>
              <w:autoSpaceDN/>
              <w:bidi w:val="0"/>
              <w:adjustRightInd/>
              <w:spacing w:line="380" w:lineRule="exact"/>
              <w:jc w:val="left"/>
              <w:rPr>
                <w:rFonts w:hint="eastAsia" w:ascii="宋体" w:hAnsi="宋体" w:eastAsia="宋体" w:cs="宋体"/>
                <w:sz w:val="21"/>
                <w:szCs w:val="21"/>
                <w:highlight w:val="none"/>
                <w:lang w:eastAsia="zh-CN"/>
              </w:rPr>
            </w:pPr>
            <w:r>
              <w:rPr>
                <w:rFonts w:hint="eastAsia" w:ascii="宋体" w:hAnsi="宋体"/>
                <w:b w:val="0"/>
                <w:bCs w:val="0"/>
                <w:color w:val="auto"/>
                <w:sz w:val="21"/>
                <w:szCs w:val="21"/>
                <w:highlight w:val="none"/>
              </w:rPr>
              <w:t>（</w:t>
            </w:r>
            <w:r>
              <w:rPr>
                <w:rFonts w:hint="eastAsia" w:ascii="宋体" w:hAnsi="宋体"/>
                <w:b w:val="0"/>
                <w:bCs w:val="0"/>
                <w:color w:val="auto"/>
                <w:sz w:val="21"/>
                <w:szCs w:val="21"/>
                <w:highlight w:val="none"/>
                <w:lang w:eastAsia="zh-CN"/>
              </w:rPr>
              <w:t>元</w:t>
            </w:r>
            <w:r>
              <w:rPr>
                <w:rFonts w:hint="eastAsia" w:ascii="宋体" w:hAnsi="宋体"/>
                <w:b w:val="0"/>
                <w:bCs w:val="0"/>
                <w:color w:val="auto"/>
                <w:sz w:val="21"/>
                <w:szCs w:val="21"/>
                <w:highlight w:val="none"/>
              </w:rPr>
              <w:t>）</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61F73669">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质保期</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5A9AA867">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注册</w:t>
            </w:r>
          </w:p>
          <w:p w14:paraId="056FD574">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证号</w:t>
            </w:r>
          </w:p>
        </w:tc>
      </w:tr>
      <w:tr w14:paraId="79D9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194" w:type="pct"/>
            <w:tcBorders>
              <w:top w:val="single" w:color="auto" w:sz="4" w:space="0"/>
              <w:left w:val="single" w:color="auto" w:sz="4" w:space="0"/>
              <w:bottom w:val="single" w:color="auto" w:sz="4" w:space="0"/>
              <w:right w:val="single" w:color="auto" w:sz="4" w:space="0"/>
            </w:tcBorders>
            <w:noWrap w:val="0"/>
            <w:vAlign w:val="center"/>
          </w:tcPr>
          <w:p w14:paraId="75FC6871">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4"/>
                <w:szCs w:val="24"/>
              </w:rPr>
            </w:pPr>
          </w:p>
        </w:tc>
        <w:tc>
          <w:tcPr>
            <w:tcW w:w="378" w:type="pct"/>
            <w:tcBorders>
              <w:top w:val="single" w:color="auto" w:sz="4" w:space="0"/>
              <w:left w:val="single" w:color="auto" w:sz="4" w:space="0"/>
              <w:bottom w:val="single" w:color="auto" w:sz="4" w:space="0"/>
              <w:right w:val="single" w:color="auto" w:sz="4" w:space="0"/>
            </w:tcBorders>
            <w:noWrap w:val="0"/>
            <w:vAlign w:val="center"/>
          </w:tcPr>
          <w:p w14:paraId="6D95F258">
            <w:pPr>
              <w:keepNext w:val="0"/>
              <w:keepLines w:val="0"/>
              <w:pageBreakBefore w:val="0"/>
              <w:widowControl/>
              <w:tabs>
                <w:tab w:val="left" w:leader="middleDot" w:pos="9240"/>
              </w:tabs>
              <w:kinsoku/>
              <w:wordWrap/>
              <w:overflowPunct/>
              <w:topLinePunct w:val="0"/>
              <w:autoSpaceDE/>
              <w:autoSpaceDN/>
              <w:bidi w:val="0"/>
              <w:adjustRightInd/>
              <w:spacing w:line="380" w:lineRule="exact"/>
              <w:jc w:val="left"/>
              <w:textAlignment w:val="center"/>
              <w:rPr>
                <w:rFonts w:hint="eastAsia" w:ascii="宋体" w:hAnsi="宋体" w:eastAsia="宋体" w:cs="宋体"/>
                <w:color w:val="000000"/>
                <w:sz w:val="24"/>
                <w:szCs w:val="24"/>
              </w:rPr>
            </w:pPr>
          </w:p>
        </w:tc>
        <w:tc>
          <w:tcPr>
            <w:tcW w:w="515" w:type="pct"/>
            <w:tcBorders>
              <w:top w:val="single" w:color="auto" w:sz="4" w:space="0"/>
              <w:left w:val="single" w:color="auto" w:sz="4" w:space="0"/>
              <w:bottom w:val="single" w:color="auto" w:sz="4" w:space="0"/>
              <w:right w:val="single" w:color="auto" w:sz="4" w:space="0"/>
            </w:tcBorders>
            <w:noWrap w:val="0"/>
            <w:vAlign w:val="center"/>
          </w:tcPr>
          <w:p w14:paraId="5084A111">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35" w:type="pct"/>
            <w:tcBorders>
              <w:top w:val="single" w:color="auto" w:sz="4" w:space="0"/>
              <w:left w:val="single" w:color="auto" w:sz="4" w:space="0"/>
              <w:bottom w:val="single" w:color="auto" w:sz="4" w:space="0"/>
              <w:right w:val="single" w:color="auto" w:sz="4" w:space="0"/>
            </w:tcBorders>
            <w:noWrap w:val="0"/>
            <w:vAlign w:val="center"/>
          </w:tcPr>
          <w:p w14:paraId="6A08F4AE">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19" w:type="pct"/>
            <w:tcBorders>
              <w:top w:val="single" w:color="auto" w:sz="4" w:space="0"/>
              <w:left w:val="single" w:color="auto" w:sz="4" w:space="0"/>
              <w:bottom w:val="single" w:color="auto" w:sz="4" w:space="0"/>
              <w:right w:val="single" w:color="auto" w:sz="4" w:space="0"/>
            </w:tcBorders>
            <w:noWrap w:val="0"/>
            <w:vAlign w:val="center"/>
          </w:tcPr>
          <w:p w14:paraId="1BA41EED">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67" w:type="pct"/>
            <w:tcBorders>
              <w:top w:val="single" w:color="auto" w:sz="4" w:space="0"/>
              <w:left w:val="single" w:color="auto" w:sz="4" w:space="0"/>
              <w:bottom w:val="single" w:color="auto" w:sz="4" w:space="0"/>
              <w:right w:val="single" w:color="auto" w:sz="4" w:space="0"/>
            </w:tcBorders>
            <w:noWrap w:val="0"/>
            <w:vAlign w:val="center"/>
          </w:tcPr>
          <w:p w14:paraId="7B726ACF">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11" w:type="pct"/>
            <w:tcBorders>
              <w:top w:val="single" w:color="auto" w:sz="4" w:space="0"/>
              <w:left w:val="single" w:color="auto" w:sz="4" w:space="0"/>
              <w:right w:val="single" w:color="auto" w:sz="4" w:space="0"/>
            </w:tcBorders>
            <w:noWrap w:val="0"/>
            <w:vAlign w:val="center"/>
          </w:tcPr>
          <w:p w14:paraId="0BFEDCE1">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04" w:type="pct"/>
            <w:tcBorders>
              <w:top w:val="single" w:color="auto" w:sz="4" w:space="0"/>
              <w:left w:val="single" w:color="auto" w:sz="4" w:space="0"/>
              <w:right w:val="single" w:color="auto" w:sz="4" w:space="0"/>
            </w:tcBorders>
            <w:noWrap w:val="0"/>
            <w:vAlign w:val="center"/>
          </w:tcPr>
          <w:p w14:paraId="1C9AF728">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51" w:type="pct"/>
            <w:tcBorders>
              <w:top w:val="single" w:color="auto" w:sz="4" w:space="0"/>
              <w:left w:val="single" w:color="auto" w:sz="4" w:space="0"/>
              <w:right w:val="single" w:color="auto" w:sz="4" w:space="0"/>
            </w:tcBorders>
            <w:noWrap w:val="0"/>
            <w:vAlign w:val="center"/>
          </w:tcPr>
          <w:p w14:paraId="4EAE1697">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440" w:type="pct"/>
            <w:tcBorders>
              <w:top w:val="single" w:color="auto" w:sz="4" w:space="0"/>
              <w:left w:val="single" w:color="auto" w:sz="4" w:space="0"/>
              <w:right w:val="single" w:color="auto" w:sz="4" w:space="0"/>
            </w:tcBorders>
            <w:noWrap w:val="0"/>
            <w:vAlign w:val="center"/>
          </w:tcPr>
          <w:p w14:paraId="3B0CBBC8">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40" w:type="pct"/>
            <w:tcBorders>
              <w:top w:val="single" w:color="auto" w:sz="4" w:space="0"/>
              <w:left w:val="single" w:color="auto" w:sz="4" w:space="0"/>
              <w:right w:val="single" w:color="auto" w:sz="4" w:space="0"/>
            </w:tcBorders>
            <w:noWrap w:val="0"/>
            <w:vAlign w:val="center"/>
          </w:tcPr>
          <w:p w14:paraId="4BFAF1B7">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40" w:type="pct"/>
            <w:tcBorders>
              <w:top w:val="single" w:color="auto" w:sz="4" w:space="0"/>
              <w:left w:val="single" w:color="auto" w:sz="4" w:space="0"/>
              <w:right w:val="single" w:color="auto" w:sz="4" w:space="0"/>
            </w:tcBorders>
            <w:noWrap w:val="0"/>
            <w:vAlign w:val="center"/>
          </w:tcPr>
          <w:p w14:paraId="0C76D7D8">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r>
      <w:tr w14:paraId="72D90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5000" w:type="pct"/>
            <w:gridSpan w:val="12"/>
            <w:tcBorders>
              <w:top w:val="single" w:color="auto" w:sz="4" w:space="0"/>
              <w:left w:val="single" w:color="auto" w:sz="4" w:space="0"/>
              <w:bottom w:val="single" w:color="auto" w:sz="4" w:space="0"/>
              <w:right w:val="single" w:color="auto" w:sz="4" w:space="0"/>
            </w:tcBorders>
            <w:noWrap w:val="0"/>
            <w:vAlign w:val="center"/>
          </w:tcPr>
          <w:p w14:paraId="40926E25">
            <w:pPr>
              <w:keepNext w:val="0"/>
              <w:keepLines w:val="0"/>
              <w:pageBreakBefore w:val="0"/>
              <w:widowControl w:val="0"/>
              <w:tabs>
                <w:tab w:val="left" w:leader="middleDot" w:pos="9240"/>
              </w:tabs>
              <w:kinsoku/>
              <w:wordWrap/>
              <w:overflowPunct/>
              <w:topLinePunct w:val="0"/>
              <w:autoSpaceDE/>
              <w:autoSpaceDN/>
              <w:bidi w:val="0"/>
              <w:adjustRightInd/>
              <w:snapToGrid/>
              <w:spacing w:line="380" w:lineRule="exact"/>
              <w:ind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合同总</w:t>
            </w:r>
            <w:r>
              <w:rPr>
                <w:rFonts w:hint="eastAsia" w:ascii="宋体" w:hAnsi="宋体" w:eastAsia="宋体" w:cs="宋体"/>
                <w:color w:val="000000"/>
                <w:sz w:val="24"/>
                <w:szCs w:val="24"/>
                <w:highlight w:val="none"/>
                <w:lang w:eastAsia="zh-CN"/>
              </w:rPr>
              <w:t>金</w:t>
            </w:r>
            <w:r>
              <w:rPr>
                <w:rFonts w:hint="eastAsia" w:ascii="宋体" w:hAnsi="宋体" w:eastAsia="宋体" w:cs="宋体"/>
                <w:color w:val="000000"/>
                <w:sz w:val="24"/>
                <w:szCs w:val="24"/>
                <w:highlight w:val="none"/>
              </w:rPr>
              <w:t>额：人民币（¥）</w:t>
            </w:r>
          </w:p>
        </w:tc>
      </w:tr>
    </w:tbl>
    <w:p w14:paraId="54C76964">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合同期限：自合同签订之日起</w:t>
      </w:r>
      <w:r>
        <w:rPr>
          <w:rFonts w:hint="eastAsia" w:hAnsi="宋体" w:eastAsia="宋体" w:cs="宋体"/>
          <w:sz w:val="24"/>
          <w:szCs w:val="24"/>
          <w:lang w:val="en-US" w:eastAsia="zh-CN"/>
        </w:rPr>
        <w:t>一年，一</w:t>
      </w:r>
      <w:r>
        <w:rPr>
          <w:rFonts w:hint="eastAsia" w:ascii="宋体" w:hAnsi="宋体" w:eastAsia="宋体" w:cs="宋体"/>
          <w:sz w:val="24"/>
          <w:szCs w:val="24"/>
        </w:rPr>
        <w:t>年内按本合同总额完成送货及结算货款，本合同终止</w:t>
      </w:r>
      <w:r>
        <w:rPr>
          <w:rFonts w:hint="eastAsia" w:hAnsi="宋体" w:eastAsia="宋体" w:cs="宋体"/>
          <w:sz w:val="24"/>
          <w:szCs w:val="24"/>
          <w:lang w:eastAsia="zh-CN"/>
        </w:rPr>
        <w:t>；</w:t>
      </w:r>
      <w:r>
        <w:rPr>
          <w:rFonts w:hint="eastAsia" w:ascii="宋体" w:hAnsi="宋体" w:eastAsia="宋体" w:cs="宋体"/>
          <w:sz w:val="24"/>
          <w:szCs w:val="24"/>
        </w:rPr>
        <w:t>合同期满后，未能按合同总额履行完送货及结算货款的，按实际送货量结算货款，本合同终止。合同期内，如耗材产品使用过程中出现问题，经临床使用科室上报3例及以上医疗器械不良事件，并经核实确为产品本身质量存在问题的，院方现有库存退还供货商，合同自动终止。</w:t>
      </w:r>
      <w:r>
        <w:rPr>
          <w:rFonts w:ascii="宋体" w:hAnsi="宋体" w:eastAsia="宋体" w:cs="宋体"/>
          <w:sz w:val="24"/>
          <w:szCs w:val="24"/>
        </w:rPr>
        <w:t>如因为供应商的代理授权、被上级部门立案查处、资质失效、经营许可被撤销/吊销等原因，导致该耗材无法继续合法在本院采购使用的，院方有权单方解除本合同，已采购未使用的库存耗材可选择退回供应商，供应商须无条件接收并退还对应货款，由此造成</w:t>
      </w:r>
      <w:r>
        <w:rPr>
          <w:rFonts w:hint="eastAsia" w:ascii="宋体" w:hAnsi="宋体" w:eastAsia="宋体" w:cs="宋体"/>
          <w:sz w:val="24"/>
          <w:szCs w:val="24"/>
          <w:lang w:val="en-US" w:eastAsia="zh-CN"/>
        </w:rPr>
        <w:t>院方</w:t>
      </w:r>
      <w:r>
        <w:rPr>
          <w:rFonts w:ascii="宋体" w:hAnsi="宋体" w:eastAsia="宋体" w:cs="宋体"/>
          <w:sz w:val="24"/>
          <w:szCs w:val="24"/>
        </w:rPr>
        <w:t>的一切损失由供应商自行承担。</w:t>
      </w:r>
    </w:p>
    <w:p w14:paraId="687E12A5">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（1）合同</w:t>
      </w:r>
      <w:r>
        <w:rPr>
          <w:rFonts w:hint="eastAsia" w:hAnsi="宋体" w:eastAsia="宋体" w:cs="宋体"/>
          <w:sz w:val="24"/>
          <w:szCs w:val="24"/>
          <w:lang w:eastAsia="zh-CN"/>
        </w:rPr>
        <w:t>总金</w:t>
      </w:r>
      <w:r>
        <w:rPr>
          <w:rFonts w:hint="eastAsia" w:ascii="宋体" w:hAnsi="宋体" w:eastAsia="宋体" w:cs="宋体"/>
          <w:sz w:val="24"/>
          <w:szCs w:val="24"/>
        </w:rPr>
        <w:t>额：本合同金额所涵盖的范围包含但不限于以下全部事项及相关风险：采购、货物、运输、劳务、管理、利润、税金、保险、售后服务（含质保等）、产品配送及交付，以及本合同履行过程中所有可预见及不可预见的不确定因素所产生的全部风险。除本合同约定的金额外，</w:t>
      </w:r>
      <w:r>
        <w:rPr>
          <w:rFonts w:hint="eastAsia" w:hAnsi="宋体" w:eastAsia="宋体" w:cs="宋体"/>
          <w:sz w:val="24"/>
          <w:szCs w:val="24"/>
          <w:lang w:eastAsia="zh-CN"/>
        </w:rPr>
        <w:t>甲方</w:t>
      </w:r>
      <w:r>
        <w:rPr>
          <w:rFonts w:hint="eastAsia" w:ascii="宋体" w:hAnsi="宋体" w:eastAsia="宋体" w:cs="宋体"/>
          <w:sz w:val="24"/>
          <w:szCs w:val="24"/>
        </w:rPr>
        <w:t>不再支付任何其他费用。</w:t>
      </w:r>
    </w:p>
    <w:p w14:paraId="6C3154C6">
      <w:pPr>
        <w:pStyle w:val="17"/>
        <w:keepNext w:val="0"/>
        <w:keepLines w:val="0"/>
        <w:pageBreakBefore w:val="0"/>
        <w:widowControl w:val="0"/>
        <w:numPr>
          <w:ilvl w:val="0"/>
          <w:numId w:val="4"/>
        </w:numPr>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本合同所涉及的乙方应提供的货物、服务内容详见《项目需求》及应答文件中所列内容和《合同基本条款》。</w:t>
      </w:r>
    </w:p>
    <w:p w14:paraId="289CE5D0">
      <w:pPr>
        <w:pStyle w:val="17"/>
        <w:keepNext w:val="0"/>
        <w:keepLines w:val="0"/>
        <w:pageBreakBefore w:val="0"/>
        <w:widowControl w:val="0"/>
        <w:numPr>
          <w:ilvl w:val="0"/>
          <w:numId w:val="4"/>
        </w:numPr>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合同期内合同内约定的物货单价不得提价，合同期内价格上调的变动风险由</w:t>
      </w:r>
      <w:r>
        <w:rPr>
          <w:rFonts w:hint="eastAsia" w:hAnsi="宋体" w:eastAsia="宋体" w:cs="宋体"/>
          <w:color w:val="000000"/>
          <w:sz w:val="24"/>
          <w:szCs w:val="24"/>
          <w:lang w:eastAsia="zh-CN"/>
        </w:rPr>
        <w:t>乙方</w:t>
      </w:r>
      <w:r>
        <w:rPr>
          <w:rFonts w:hint="eastAsia" w:ascii="宋体" w:hAnsi="宋体" w:eastAsia="宋体" w:cs="宋体"/>
          <w:color w:val="000000"/>
          <w:sz w:val="24"/>
          <w:szCs w:val="24"/>
        </w:rPr>
        <w:t>自行承担；</w:t>
      </w:r>
    </w:p>
    <w:p w14:paraId="45205B41">
      <w:pPr>
        <w:pStyle w:val="17"/>
        <w:keepNext w:val="0"/>
        <w:keepLines w:val="0"/>
        <w:pageBreakBefore w:val="0"/>
        <w:widowControl w:val="0"/>
        <w:numPr>
          <w:ilvl w:val="0"/>
          <w:numId w:val="4"/>
        </w:numPr>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b/>
          <w:sz w:val="24"/>
          <w:szCs w:val="24"/>
        </w:rPr>
      </w:pPr>
      <w:r>
        <w:rPr>
          <w:rFonts w:hint="eastAsia" w:ascii="宋体" w:hAnsi="宋体" w:eastAsia="宋体" w:cs="宋体"/>
          <w:sz w:val="24"/>
          <w:szCs w:val="24"/>
          <w:lang w:val="zh-CN"/>
        </w:rPr>
        <w:t>合同期内如遇国家、自治区出台新的政策文件，涉及本品种采购和使用要求则按国家、自治区政策文件要求执行包</w:t>
      </w:r>
      <w:r>
        <w:rPr>
          <w:rFonts w:hint="eastAsia" w:hAnsi="宋体" w:eastAsia="宋体" w:cs="宋体"/>
          <w:sz w:val="24"/>
          <w:szCs w:val="24"/>
          <w:lang w:val="zh-CN"/>
        </w:rPr>
        <w:t>含</w:t>
      </w:r>
      <w:r>
        <w:rPr>
          <w:rFonts w:hint="eastAsia" w:ascii="宋体" w:hAnsi="宋体" w:eastAsia="宋体" w:cs="宋体"/>
          <w:sz w:val="24"/>
          <w:szCs w:val="24"/>
          <w:lang w:val="zh-CN"/>
        </w:rPr>
        <w:t>但不限于停止采购、限价、限量，</w:t>
      </w:r>
      <w:r>
        <w:rPr>
          <w:rFonts w:hint="eastAsia" w:ascii="宋体" w:hAnsi="宋体" w:eastAsia="宋体" w:cs="宋体"/>
          <w:sz w:val="24"/>
          <w:szCs w:val="24"/>
        </w:rPr>
        <w:t>乙方自行承担采购政策变化带来的风险。</w:t>
      </w:r>
    </w:p>
    <w:p w14:paraId="6A3DEAE0">
      <w:pPr>
        <w:keepNext w:val="0"/>
        <w:keepLines w:val="0"/>
        <w:pageBreakBefore w:val="0"/>
        <w:widowControl w:val="0"/>
        <w:numPr>
          <w:ilvl w:val="0"/>
          <w:numId w:val="4"/>
        </w:numPr>
        <w:tabs>
          <w:tab w:val="left" w:leader="middleDot" w:pos="9240"/>
        </w:tabs>
        <w:kinsoku/>
        <w:wordWrap/>
        <w:overflowPunct/>
        <w:topLinePunct w:val="0"/>
        <w:autoSpaceDE/>
        <w:autoSpaceDN/>
        <w:bidi w:val="0"/>
        <w:adjustRightInd/>
        <w:spacing w:line="380" w:lineRule="exact"/>
        <w:ind w:left="0" w:leftChars="0" w:firstLine="420" w:firstLineChars="0"/>
        <w:textAlignment w:val="auto"/>
        <w:rPr>
          <w:rFonts w:hint="eastAsia" w:hAnsi="宋体" w:cs="宋体"/>
          <w:color w:val="000000"/>
          <w:sz w:val="24"/>
          <w:szCs w:val="24"/>
        </w:rPr>
      </w:pPr>
      <w:r>
        <w:rPr>
          <w:rFonts w:hint="eastAsia" w:hAnsi="宋体" w:cs="宋体"/>
          <w:color w:val="000000"/>
          <w:sz w:val="24"/>
          <w:szCs w:val="24"/>
        </w:rPr>
        <w:t>乙方累计供货金额达到合同签订数量 70% 时，须主动联系甲方，告知供货情况。若甲方实际耗用耗材对应的货值超出合同总金额，甲方可将未使用耗材办理退库。乙方收到退库申请后 7 个工作日内完成查验，核对无误后办理退库手续。</w:t>
      </w:r>
    </w:p>
    <w:p w14:paraId="0865859D">
      <w:pPr>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cs="宋体"/>
          <w:sz w:val="24"/>
        </w:rPr>
      </w:pPr>
      <w:r>
        <w:rPr>
          <w:rFonts w:hint="eastAsia" w:ascii="宋体" w:hAnsi="宋体" w:cs="宋体"/>
          <w:sz w:val="24"/>
        </w:rPr>
        <w:t>（6）乙方保证所供产品的品牌、规格、厂家、质量与采购文件一致，距有效期不足3个月视为近效期产品，乙方需在甲方提出需求后5个工作日内无条件更换，相关费用由乙方承担；若产品不符或效期/批号违规，甲方有权拒收、要求乙方3个工作日内重供，或解除合同并要求乙方承担合同总金额10%违约金及甲方全部损失；特殊情况（政策调整、不可抗力等）情况下双方另行协商。</w:t>
      </w:r>
    </w:p>
    <w:p w14:paraId="4F2212A6">
      <w:pPr>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color w:val="000000"/>
          <w:sz w:val="24"/>
          <w:szCs w:val="24"/>
          <w:lang w:eastAsia="zh-CN"/>
        </w:rPr>
      </w:pPr>
      <w:r>
        <w:rPr>
          <w:rFonts w:hint="eastAsia" w:ascii="宋体" w:hAnsi="宋体" w:cs="宋体"/>
          <w:sz w:val="24"/>
        </w:rPr>
        <w:t>（7）本合同项下的货物名称、规格、数量、单价及合同总价以本合同第3条货物采购金额和服务内容的约定为准。任何超出本合同约定范围的货物交付，不构成对本合同的变更，甲方有权不予接受，且无需承担任何付款义务或法律责任。</w:t>
      </w:r>
    </w:p>
    <w:p w14:paraId="0596FDBC">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4、 质保期</w:t>
      </w:r>
    </w:p>
    <w:p w14:paraId="435DF299">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（1）货物质保期：</w:t>
      </w:r>
      <w:r>
        <w:rPr>
          <w:rFonts w:hint="eastAsia" w:ascii="宋体" w:hAnsi="宋体" w:eastAsia="宋体" w:cs="宋体"/>
          <w:sz w:val="24"/>
          <w:szCs w:val="24"/>
          <w:u w:val="single"/>
        </w:rPr>
        <w:t>不得少于1年，自产品验收合格并能正常使用之日算起</w:t>
      </w:r>
      <w:r>
        <w:rPr>
          <w:rFonts w:hint="eastAsia" w:ascii="宋体" w:hAnsi="宋体" w:eastAsia="宋体" w:cs="宋体"/>
          <w:sz w:val="24"/>
          <w:szCs w:val="24"/>
          <w:u w:val="single"/>
          <w:lang w:eastAsia="zh-CN"/>
        </w:rPr>
        <w:t>。</w:t>
      </w:r>
    </w:p>
    <w:p w14:paraId="1BDC264A">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5、付款条件</w:t>
      </w:r>
    </w:p>
    <w:p w14:paraId="540B0FC5">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按实际送货量结算货款，每批货验收合格之日起，乙方提供并收集送、验货等材料及发票交给甲方；甲方自收到货物及发票之日起付款时间最长不得超过120日，</w:t>
      </w:r>
      <w:r>
        <w:rPr>
          <w:rFonts w:hint="eastAsia" w:ascii="宋体" w:hAnsi="宋体" w:eastAsia="宋体" w:cs="宋体"/>
          <w:sz w:val="24"/>
          <w:szCs w:val="24"/>
          <w:lang w:val="en-US" w:eastAsia="zh-CN"/>
        </w:rPr>
        <w:t>货款</w:t>
      </w:r>
      <w:r>
        <w:rPr>
          <w:rFonts w:hint="eastAsia" w:ascii="宋体" w:hAnsi="宋体" w:eastAsia="宋体" w:cs="宋体"/>
          <w:sz w:val="24"/>
          <w:szCs w:val="24"/>
        </w:rPr>
        <w:t>不得超过合同总金额。</w:t>
      </w:r>
    </w:p>
    <w:p w14:paraId="02EBE72B">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甲方仅对在本合同有效期内，且依据本合同约定的程序和标准接收的合格货物承担付款义务。对于合同终止后或超出合同约定总量的货物，无论是否实际交付，均不产生任何付款责任，且甲方保留要求乙方自行承担费用运回上述货物的权利。</w:t>
      </w:r>
    </w:p>
    <w:p w14:paraId="4CF92516">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6、交货时间</w:t>
      </w:r>
    </w:p>
    <w:p w14:paraId="7293EBD4">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按使用计划分批交货，在收到</w:t>
      </w:r>
      <w:r>
        <w:rPr>
          <w:rFonts w:hint="eastAsia" w:ascii="宋体" w:hAnsi="宋体" w:eastAsia="宋体" w:cs="宋体"/>
          <w:sz w:val="24"/>
          <w:szCs w:val="24"/>
          <w:lang w:eastAsia="zh-CN"/>
        </w:rPr>
        <w:t>甲方</w:t>
      </w:r>
      <w:r>
        <w:rPr>
          <w:rFonts w:hint="eastAsia" w:ascii="宋体" w:hAnsi="宋体" w:eastAsia="宋体" w:cs="宋体"/>
          <w:sz w:val="24"/>
          <w:szCs w:val="24"/>
        </w:rPr>
        <w:t>发出的订货清单后</w:t>
      </w:r>
      <w:r>
        <w:rPr>
          <w:rFonts w:hint="eastAsia" w:ascii="宋体" w:hAnsi="宋体" w:eastAsia="宋体" w:cs="宋体"/>
          <w:sz w:val="24"/>
          <w:szCs w:val="24"/>
          <w:lang w:val="en-US" w:eastAsia="zh-CN"/>
        </w:rPr>
        <w:t>5</w:t>
      </w:r>
      <w:r>
        <w:rPr>
          <w:rFonts w:hint="eastAsia" w:ascii="宋体" w:hAnsi="宋体" w:eastAsia="宋体" w:cs="宋体"/>
          <w:sz w:val="24"/>
          <w:szCs w:val="24"/>
        </w:rPr>
        <w:t>个工作日内按要求送货至指定地点并负责卸货。</w:t>
      </w:r>
    </w:p>
    <w:p w14:paraId="4E472DF4">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7、验收办法</w:t>
      </w:r>
    </w:p>
    <w:p w14:paraId="784B2673">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本合同验收办法在合同的基本条款中有明确规定。</w:t>
      </w:r>
    </w:p>
    <w:p w14:paraId="6C74FC33">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8、交货地点</w:t>
      </w:r>
    </w:p>
    <w:p w14:paraId="2ACE6093">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交货地点：甲方指定地点</w:t>
      </w:r>
    </w:p>
    <w:p w14:paraId="15E3778D">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9、售后要求</w:t>
      </w:r>
    </w:p>
    <w:p w14:paraId="642285CF">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）乙方应按照国家有关法律法规和“三包”规定为甲方提供售后服务</w:t>
      </w:r>
      <w:r>
        <w:rPr>
          <w:rFonts w:hint="eastAsia" w:ascii="宋体" w:hAnsi="宋体" w:eastAsia="宋体" w:cs="宋体"/>
          <w:sz w:val="24"/>
          <w:szCs w:val="24"/>
          <w:lang w:eastAsia="zh-CN"/>
        </w:rPr>
        <w:t>；</w:t>
      </w:r>
    </w:p>
    <w:p w14:paraId="6EC16DBC">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乙方提供的服务承诺和售后服务及质保期责任等其它具体约定事项</w:t>
      </w:r>
      <w:r>
        <w:rPr>
          <w:rFonts w:hint="eastAsia" w:ascii="宋体" w:hAnsi="宋体" w:eastAsia="宋体" w:cs="宋体"/>
          <w:sz w:val="24"/>
          <w:szCs w:val="24"/>
          <w:lang w:eastAsia="zh-CN"/>
        </w:rPr>
        <w:t>；</w:t>
      </w:r>
    </w:p>
    <w:p w14:paraId="10D44E6D">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）负责</w:t>
      </w:r>
      <w:r>
        <w:rPr>
          <w:rFonts w:hint="eastAsia" w:ascii="宋体" w:hAnsi="宋体" w:eastAsia="宋体" w:cs="宋体"/>
          <w:sz w:val="24"/>
          <w:szCs w:val="24"/>
          <w:lang w:eastAsia="zh-CN"/>
        </w:rPr>
        <w:t>免费</w:t>
      </w:r>
      <w:r>
        <w:rPr>
          <w:rFonts w:hint="eastAsia" w:ascii="宋体" w:hAnsi="宋体" w:eastAsia="宋体" w:cs="宋体"/>
          <w:sz w:val="24"/>
          <w:szCs w:val="24"/>
        </w:rPr>
        <w:t>送货上门，负责培训；</w:t>
      </w:r>
    </w:p>
    <w:p w14:paraId="7789F49E">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（4）如确定有质量问题，按照正常程序退换货</w:t>
      </w:r>
      <w:r>
        <w:rPr>
          <w:rFonts w:hint="eastAsia" w:ascii="宋体" w:hAnsi="宋体" w:eastAsia="宋体" w:cs="宋体"/>
          <w:sz w:val="24"/>
          <w:szCs w:val="24"/>
          <w:lang w:eastAsia="zh-CN"/>
        </w:rPr>
        <w:t>；</w:t>
      </w:r>
    </w:p>
    <w:p w14:paraId="2C31182B">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）一旦发生质量问题，</w:t>
      </w:r>
      <w:r>
        <w:rPr>
          <w:rFonts w:hint="eastAsia" w:ascii="宋体" w:hAnsi="宋体" w:eastAsia="宋体" w:cs="宋体"/>
          <w:sz w:val="24"/>
          <w:szCs w:val="24"/>
          <w:lang w:eastAsia="zh-CN"/>
        </w:rPr>
        <w:t>乙方</w:t>
      </w:r>
      <w:r>
        <w:rPr>
          <w:rFonts w:hint="eastAsia" w:ascii="宋体" w:hAnsi="宋体" w:eastAsia="宋体" w:cs="宋体"/>
          <w:sz w:val="24"/>
          <w:szCs w:val="24"/>
        </w:rPr>
        <w:t>保证接到通知后</w:t>
      </w:r>
      <w:r>
        <w:rPr>
          <w:rFonts w:hint="eastAsia" w:ascii="宋体" w:hAnsi="宋体" w:eastAsia="宋体" w:cs="宋体"/>
          <w:sz w:val="24"/>
          <w:szCs w:val="24"/>
          <w:lang w:val="en-US" w:eastAsia="zh-CN"/>
        </w:rPr>
        <w:t>2</w:t>
      </w:r>
      <w:r>
        <w:rPr>
          <w:rFonts w:hint="eastAsia" w:ascii="宋体" w:hAnsi="宋体" w:eastAsia="宋体" w:cs="宋体"/>
          <w:sz w:val="24"/>
          <w:szCs w:val="24"/>
        </w:rPr>
        <w:t>小时内响应，</w:t>
      </w:r>
      <w:r>
        <w:rPr>
          <w:rFonts w:hint="eastAsia" w:ascii="宋体" w:hAnsi="宋体" w:eastAsia="宋体" w:cs="宋体"/>
          <w:sz w:val="24"/>
          <w:szCs w:val="24"/>
          <w:lang w:val="en-US" w:eastAsia="zh-CN"/>
        </w:rPr>
        <w:t>24</w:t>
      </w:r>
      <w:r>
        <w:rPr>
          <w:rFonts w:hint="eastAsia" w:ascii="宋体" w:hAnsi="宋体" w:eastAsia="宋体" w:cs="宋体"/>
          <w:sz w:val="24"/>
          <w:szCs w:val="24"/>
        </w:rPr>
        <w:t>小时内赶到现场</w:t>
      </w:r>
      <w:r>
        <w:rPr>
          <w:rFonts w:hint="eastAsia" w:ascii="宋体" w:hAnsi="宋体" w:eastAsia="宋体" w:cs="宋体"/>
          <w:sz w:val="24"/>
          <w:szCs w:val="24"/>
          <w:lang w:eastAsia="zh-CN"/>
        </w:rPr>
        <w:t>；遇到突发情况，须在</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小时内到达现场。</w:t>
      </w:r>
    </w:p>
    <w:p w14:paraId="5FF9028A">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6</w:t>
      </w:r>
      <w:r>
        <w:rPr>
          <w:rFonts w:hint="eastAsia" w:ascii="宋体" w:hAnsi="宋体" w:eastAsia="宋体" w:cs="宋体"/>
          <w:sz w:val="24"/>
          <w:szCs w:val="24"/>
        </w:rPr>
        <w:t>）在临床使用中若出现不良医疗反应现象，经国家相关质量监察部门鉴定后，确实属于产品质量问题的，</w:t>
      </w:r>
      <w:r>
        <w:rPr>
          <w:rFonts w:hint="eastAsia" w:ascii="宋体" w:hAnsi="宋体" w:eastAsia="宋体" w:cs="宋体"/>
          <w:sz w:val="24"/>
          <w:szCs w:val="24"/>
          <w:lang w:eastAsia="zh-CN"/>
        </w:rPr>
        <w:t>乙方</w:t>
      </w:r>
      <w:r>
        <w:rPr>
          <w:rFonts w:hint="eastAsia" w:ascii="宋体" w:hAnsi="宋体" w:eastAsia="宋体" w:cs="宋体"/>
          <w:sz w:val="24"/>
          <w:szCs w:val="24"/>
        </w:rPr>
        <w:t>承担全部责任</w:t>
      </w:r>
      <w:r>
        <w:rPr>
          <w:rFonts w:hint="eastAsia" w:ascii="宋体" w:hAnsi="宋体" w:eastAsia="宋体" w:cs="宋体"/>
          <w:sz w:val="24"/>
          <w:szCs w:val="24"/>
          <w:lang w:eastAsia="zh-CN"/>
        </w:rPr>
        <w:t>；</w:t>
      </w:r>
    </w:p>
    <w:p w14:paraId="1252F3E6">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7</w:t>
      </w:r>
      <w:r>
        <w:rPr>
          <w:rFonts w:hint="eastAsia" w:ascii="宋体" w:hAnsi="宋体" w:eastAsia="宋体" w:cs="宋体"/>
          <w:sz w:val="24"/>
          <w:szCs w:val="24"/>
        </w:rPr>
        <w:t>）若</w:t>
      </w:r>
      <w:r>
        <w:rPr>
          <w:rFonts w:hint="eastAsia" w:ascii="宋体" w:hAnsi="宋体" w:eastAsia="宋体" w:cs="宋体"/>
          <w:sz w:val="24"/>
          <w:szCs w:val="24"/>
          <w:lang w:eastAsia="zh-CN"/>
        </w:rPr>
        <w:t>甲方</w:t>
      </w:r>
      <w:r>
        <w:rPr>
          <w:rFonts w:hint="eastAsia" w:ascii="宋体" w:hAnsi="宋体" w:eastAsia="宋体" w:cs="宋体"/>
          <w:sz w:val="24"/>
          <w:szCs w:val="24"/>
        </w:rPr>
        <w:t>发生与产品相关的事故，不论是否与产品质量有关，</w:t>
      </w:r>
      <w:r>
        <w:rPr>
          <w:rFonts w:hint="eastAsia" w:ascii="宋体" w:hAnsi="宋体" w:eastAsia="宋体" w:cs="宋体"/>
          <w:sz w:val="24"/>
          <w:szCs w:val="24"/>
          <w:lang w:eastAsia="zh-CN"/>
        </w:rPr>
        <w:t>乙方</w:t>
      </w:r>
      <w:r>
        <w:rPr>
          <w:rFonts w:hint="eastAsia" w:ascii="宋体" w:hAnsi="宋体" w:eastAsia="宋体" w:cs="宋体"/>
          <w:sz w:val="24"/>
          <w:szCs w:val="24"/>
        </w:rPr>
        <w:t>必须积极参与</w:t>
      </w:r>
      <w:r>
        <w:rPr>
          <w:rFonts w:hint="eastAsia" w:ascii="宋体" w:hAnsi="宋体" w:eastAsia="宋体" w:cs="宋体"/>
          <w:sz w:val="24"/>
          <w:szCs w:val="24"/>
          <w:lang w:eastAsia="zh-CN"/>
        </w:rPr>
        <w:t>甲方</w:t>
      </w:r>
      <w:r>
        <w:rPr>
          <w:rFonts w:hint="eastAsia" w:ascii="宋体" w:hAnsi="宋体" w:eastAsia="宋体" w:cs="宋体"/>
          <w:sz w:val="24"/>
          <w:szCs w:val="24"/>
        </w:rPr>
        <w:t>事故的处理。</w:t>
      </w:r>
    </w:p>
    <w:p w14:paraId="2AC35EEE">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8</w:t>
      </w:r>
      <w:r>
        <w:rPr>
          <w:rFonts w:hint="eastAsia" w:ascii="宋体" w:hAnsi="宋体" w:eastAsia="宋体" w:cs="宋体"/>
          <w:sz w:val="24"/>
          <w:szCs w:val="24"/>
        </w:rPr>
        <w:t>）保证合同期限内的相关产品授权，不以授权到期为由申请转配送或逾期不供货</w:t>
      </w:r>
      <w:r>
        <w:rPr>
          <w:rFonts w:hint="eastAsia" w:ascii="宋体" w:hAnsi="宋体" w:eastAsia="宋体" w:cs="宋体"/>
          <w:sz w:val="24"/>
          <w:szCs w:val="24"/>
          <w:lang w:eastAsia="zh-CN"/>
        </w:rPr>
        <w:t>；</w:t>
      </w:r>
    </w:p>
    <w:p w14:paraId="3FCE8F10">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10、其他</w:t>
      </w:r>
    </w:p>
    <w:p w14:paraId="497216D2">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乙方</w:t>
      </w:r>
      <w:r>
        <w:rPr>
          <w:rFonts w:hint="eastAsia" w:ascii="宋体" w:hAnsi="宋体" w:eastAsia="宋体" w:cs="宋体"/>
          <w:sz w:val="24"/>
          <w:szCs w:val="24"/>
        </w:rPr>
        <w:t>保证向</w:t>
      </w:r>
      <w:r>
        <w:rPr>
          <w:rFonts w:hint="eastAsia" w:ascii="宋体" w:hAnsi="宋体" w:eastAsia="宋体" w:cs="宋体"/>
          <w:sz w:val="24"/>
          <w:szCs w:val="24"/>
          <w:lang w:eastAsia="zh-CN"/>
        </w:rPr>
        <w:t>甲方</w:t>
      </w:r>
      <w:r>
        <w:rPr>
          <w:rFonts w:hint="eastAsia" w:ascii="宋体" w:hAnsi="宋体" w:eastAsia="宋体" w:cs="宋体"/>
          <w:sz w:val="24"/>
          <w:szCs w:val="24"/>
        </w:rPr>
        <w:t>提供的货物是全新、完整、未使用过的。</w:t>
      </w:r>
    </w:p>
    <w:p w14:paraId="7758274D">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（2）如国家对竞标产品实行注册证登记管理制度的，则</w:t>
      </w:r>
      <w:r>
        <w:rPr>
          <w:rFonts w:hint="eastAsia" w:ascii="宋体" w:hAnsi="宋体" w:eastAsia="宋体" w:cs="宋体"/>
          <w:sz w:val="24"/>
          <w:szCs w:val="24"/>
          <w:lang w:eastAsia="zh-CN"/>
        </w:rPr>
        <w:t>乙方</w:t>
      </w:r>
      <w:r>
        <w:rPr>
          <w:rFonts w:hint="eastAsia" w:ascii="宋体" w:hAnsi="宋体" w:eastAsia="宋体" w:cs="宋体"/>
          <w:sz w:val="24"/>
          <w:szCs w:val="24"/>
        </w:rPr>
        <w:t>必须在响应文件中提供竞标产品的注册证复印件等证明文件，并提供相关的经营许可证复印件。</w:t>
      </w:r>
    </w:p>
    <w:p w14:paraId="6F88FA4D">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乙方</w:t>
      </w:r>
      <w:r>
        <w:rPr>
          <w:rFonts w:hint="eastAsia" w:ascii="宋体" w:hAnsi="宋体" w:eastAsia="宋体" w:cs="宋体"/>
          <w:sz w:val="24"/>
          <w:szCs w:val="24"/>
        </w:rPr>
        <w:t>在签订合同时须向</w:t>
      </w:r>
      <w:r>
        <w:rPr>
          <w:rFonts w:hint="eastAsia" w:ascii="宋体" w:hAnsi="宋体" w:eastAsia="宋体" w:cs="宋体"/>
          <w:sz w:val="24"/>
          <w:szCs w:val="24"/>
          <w:lang w:eastAsia="zh-CN"/>
        </w:rPr>
        <w:t>甲方</w:t>
      </w:r>
      <w:r>
        <w:rPr>
          <w:rFonts w:hint="eastAsia" w:ascii="宋体" w:hAnsi="宋体" w:eastAsia="宋体" w:cs="宋体"/>
          <w:sz w:val="24"/>
          <w:szCs w:val="24"/>
        </w:rPr>
        <w:t>提供供货产品的生产厂家或国内合法代理商出具的有效保证供货证明原件。</w:t>
      </w:r>
    </w:p>
    <w:p w14:paraId="46524287">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乙方</w:t>
      </w:r>
      <w:r>
        <w:rPr>
          <w:rFonts w:hint="eastAsia" w:ascii="宋体" w:hAnsi="宋体" w:eastAsia="宋体" w:cs="宋体"/>
          <w:sz w:val="24"/>
          <w:szCs w:val="24"/>
        </w:rPr>
        <w:t>成交后，</w:t>
      </w:r>
      <w:r>
        <w:rPr>
          <w:rFonts w:hint="eastAsia" w:ascii="宋体" w:hAnsi="宋体" w:eastAsia="宋体" w:cs="宋体"/>
          <w:sz w:val="24"/>
          <w:szCs w:val="24"/>
          <w:lang w:eastAsia="zh-CN"/>
        </w:rPr>
        <w:t>甲方</w:t>
      </w:r>
      <w:r>
        <w:rPr>
          <w:rFonts w:hint="eastAsia" w:ascii="宋体" w:hAnsi="宋体" w:eastAsia="宋体" w:cs="宋体"/>
          <w:sz w:val="24"/>
          <w:szCs w:val="24"/>
        </w:rPr>
        <w:t>在货物验收阶段发现货物技术参数指标达不到采购文件技术要求，</w:t>
      </w:r>
      <w:r>
        <w:rPr>
          <w:rFonts w:hint="eastAsia" w:ascii="宋体" w:hAnsi="宋体" w:eastAsia="宋体" w:cs="宋体"/>
          <w:sz w:val="24"/>
          <w:szCs w:val="24"/>
          <w:lang w:eastAsia="zh-CN"/>
        </w:rPr>
        <w:t>甲方</w:t>
      </w:r>
      <w:r>
        <w:rPr>
          <w:rFonts w:hint="eastAsia" w:ascii="宋体" w:hAnsi="宋体" w:eastAsia="宋体" w:cs="宋体"/>
          <w:sz w:val="24"/>
          <w:szCs w:val="24"/>
        </w:rPr>
        <w:t>将拒绝收货，因采购时间延迟造成</w:t>
      </w:r>
      <w:r>
        <w:rPr>
          <w:rFonts w:hint="eastAsia" w:ascii="宋体" w:hAnsi="宋体" w:eastAsia="宋体" w:cs="宋体"/>
          <w:sz w:val="24"/>
          <w:szCs w:val="24"/>
          <w:lang w:eastAsia="zh-CN"/>
        </w:rPr>
        <w:t>甲方</w:t>
      </w:r>
      <w:r>
        <w:rPr>
          <w:rFonts w:hint="eastAsia" w:ascii="宋体" w:hAnsi="宋体" w:eastAsia="宋体" w:cs="宋体"/>
          <w:sz w:val="24"/>
          <w:szCs w:val="24"/>
        </w:rPr>
        <w:t>经济等方面损失，将</w:t>
      </w:r>
      <w:r>
        <w:rPr>
          <w:rFonts w:hint="eastAsia" w:ascii="宋体" w:hAnsi="宋体" w:eastAsia="宋体" w:cs="宋体"/>
          <w:sz w:val="24"/>
          <w:szCs w:val="24"/>
          <w:lang w:eastAsia="zh-CN"/>
        </w:rPr>
        <w:t>由乙方</w:t>
      </w:r>
      <w:r>
        <w:rPr>
          <w:rFonts w:hint="eastAsia" w:ascii="宋体" w:hAnsi="宋体" w:eastAsia="宋体" w:cs="宋体"/>
          <w:sz w:val="24"/>
          <w:szCs w:val="24"/>
        </w:rPr>
        <w:t>承担。</w:t>
      </w:r>
    </w:p>
    <w:p w14:paraId="4DDED78A">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（5）如果</w:t>
      </w:r>
      <w:r>
        <w:rPr>
          <w:rFonts w:hint="eastAsia" w:ascii="宋体" w:hAnsi="宋体" w:eastAsia="宋体" w:cs="宋体"/>
          <w:sz w:val="24"/>
          <w:szCs w:val="24"/>
          <w:lang w:eastAsia="zh-CN"/>
        </w:rPr>
        <w:t>乙方</w:t>
      </w:r>
      <w:r>
        <w:rPr>
          <w:rFonts w:hint="eastAsia" w:ascii="宋体" w:hAnsi="宋体" w:eastAsia="宋体" w:cs="宋体"/>
          <w:sz w:val="24"/>
          <w:szCs w:val="24"/>
        </w:rPr>
        <w:t>以价格上调原因停止供货，需承担的相应违约责任，违约金可以从</w:t>
      </w:r>
      <w:r>
        <w:rPr>
          <w:rFonts w:hint="eastAsia" w:ascii="宋体" w:hAnsi="宋体" w:eastAsia="宋体" w:cs="宋体"/>
          <w:sz w:val="24"/>
          <w:szCs w:val="24"/>
          <w:lang w:eastAsia="zh-CN"/>
        </w:rPr>
        <w:t>甲方</w:t>
      </w:r>
      <w:r>
        <w:rPr>
          <w:rFonts w:hint="eastAsia" w:ascii="宋体" w:hAnsi="宋体" w:eastAsia="宋体" w:cs="宋体"/>
          <w:sz w:val="24"/>
          <w:szCs w:val="24"/>
        </w:rPr>
        <w:t>应付的货款中直接扣除；如因停产不能供货，需有厂家出具的停产证明。</w:t>
      </w:r>
    </w:p>
    <w:p w14:paraId="47964FAE">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11、合同生效及其它</w:t>
      </w:r>
    </w:p>
    <w:p w14:paraId="2367E05A">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本合同一式</w:t>
      </w:r>
      <w:r>
        <w:rPr>
          <w:rFonts w:hint="eastAsia" w:hAnsi="宋体" w:eastAsia="宋体" w:cs="宋体"/>
          <w:sz w:val="24"/>
          <w:szCs w:val="24"/>
          <w:lang w:eastAsia="zh-CN"/>
        </w:rPr>
        <w:t>六</w:t>
      </w:r>
      <w:r>
        <w:rPr>
          <w:rFonts w:hint="eastAsia" w:ascii="宋体" w:hAnsi="宋体" w:eastAsia="宋体" w:cs="宋体"/>
          <w:sz w:val="24"/>
          <w:szCs w:val="24"/>
        </w:rPr>
        <w:t>份，经甲乙双方法定代表人或委托代理人签字(或签章）并加盖公章</w:t>
      </w:r>
      <w:r>
        <w:rPr>
          <w:rFonts w:hint="eastAsia" w:hAnsi="宋体" w:eastAsia="宋体" w:cs="宋体"/>
          <w:sz w:val="24"/>
          <w:szCs w:val="24"/>
          <w:lang w:eastAsia="zh-CN"/>
        </w:rPr>
        <w:t>（或合同章）</w:t>
      </w:r>
      <w:r>
        <w:rPr>
          <w:rFonts w:hint="eastAsia" w:ascii="宋体" w:hAnsi="宋体" w:eastAsia="宋体" w:cs="宋体"/>
          <w:sz w:val="24"/>
          <w:szCs w:val="24"/>
        </w:rPr>
        <w:t>后生效。甲方</w:t>
      </w:r>
      <w:r>
        <w:rPr>
          <w:rFonts w:hint="eastAsia" w:hAnsi="宋体" w:eastAsia="宋体" w:cs="宋体"/>
          <w:sz w:val="24"/>
          <w:szCs w:val="24"/>
          <w:lang w:eastAsia="zh-CN"/>
        </w:rPr>
        <w:t>五</w:t>
      </w:r>
      <w:r>
        <w:rPr>
          <w:rFonts w:hint="eastAsia" w:ascii="宋体" w:hAnsi="宋体" w:eastAsia="宋体" w:cs="宋体"/>
          <w:sz w:val="24"/>
          <w:szCs w:val="24"/>
        </w:rPr>
        <w:t>份，乙方一份(可根据需要增加）</w:t>
      </w:r>
      <w:r>
        <w:rPr>
          <w:rFonts w:hint="eastAsia" w:hAnsi="宋体" w:eastAsia="宋体" w:cs="宋体"/>
          <w:sz w:val="24"/>
          <w:szCs w:val="24"/>
          <w:lang w:eastAsia="zh-CN"/>
        </w:rPr>
        <w:t>，（</w:t>
      </w:r>
      <w:r>
        <w:rPr>
          <w:rFonts w:hint="eastAsia" w:hAnsi="宋体" w:eastAsia="宋体" w:cs="宋体"/>
          <w:sz w:val="24"/>
          <w:szCs w:val="24"/>
          <w:lang w:val="en-US" w:eastAsia="zh-CN"/>
        </w:rPr>
        <w:t>如为代理人签字，需附授权委托书</w:t>
      </w:r>
      <w:r>
        <w:rPr>
          <w:rFonts w:hint="eastAsia" w:hAnsi="宋体" w:eastAsia="宋体" w:cs="宋体"/>
          <w:sz w:val="24"/>
          <w:szCs w:val="24"/>
          <w:lang w:eastAsia="zh-CN"/>
        </w:rPr>
        <w:t>）</w:t>
      </w:r>
      <w:r>
        <w:rPr>
          <w:rFonts w:hint="eastAsia" w:ascii="宋体" w:hAnsi="宋体" w:eastAsia="宋体" w:cs="宋体"/>
          <w:sz w:val="24"/>
          <w:szCs w:val="24"/>
        </w:rPr>
        <w:t>。</w:t>
      </w:r>
    </w:p>
    <w:tbl>
      <w:tblPr>
        <w:tblStyle w:val="29"/>
        <w:tblpPr w:leftFromText="180" w:rightFromText="180" w:vertAnchor="text" w:horzAnchor="page" w:tblpX="1365" w:tblpY="539"/>
        <w:tblOverlap w:val="never"/>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84"/>
      </w:tblGrid>
      <w:tr w14:paraId="3924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5" w:hRule="atLeast"/>
          <w:jc w:val="center"/>
        </w:trPr>
        <w:tc>
          <w:tcPr>
            <w:tcW w:w="4876" w:type="dxa"/>
            <w:noWrap w:val="0"/>
            <w:vAlign w:val="center"/>
          </w:tcPr>
          <w:p w14:paraId="7EBD1846">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甲方(章) </w:t>
            </w:r>
          </w:p>
          <w:p w14:paraId="2C099BCA">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b/>
                <w:bCs/>
                <w:sz w:val="24"/>
                <w:szCs w:val="24"/>
                <w:highlight w:val="none"/>
                <w:lang w:val="en-US" w:eastAsia="zh-CN"/>
              </w:rPr>
            </w:pPr>
          </w:p>
          <w:p w14:paraId="2D5F5754">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b/>
                <w:bCs/>
                <w:color w:val="auto"/>
                <w:sz w:val="24"/>
                <w:szCs w:val="24"/>
                <w:highlight w:val="none"/>
              </w:rPr>
            </w:pPr>
          </w:p>
        </w:tc>
        <w:tc>
          <w:tcPr>
            <w:tcW w:w="4884" w:type="dxa"/>
            <w:noWrap w:val="0"/>
            <w:vAlign w:val="center"/>
          </w:tcPr>
          <w:p w14:paraId="52BC2105">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eastAsia="zh-CN"/>
              </w:rPr>
              <w:t>乙方</w:t>
            </w:r>
            <w:r>
              <w:rPr>
                <w:rFonts w:hint="eastAsia" w:ascii="宋体" w:hAnsi="宋体" w:eastAsia="宋体" w:cs="宋体"/>
                <w:b/>
                <w:bCs/>
                <w:sz w:val="24"/>
                <w:szCs w:val="24"/>
                <w:highlight w:val="none"/>
              </w:rPr>
              <w:t xml:space="preserve">(章) </w:t>
            </w:r>
          </w:p>
          <w:p w14:paraId="34BDB49B">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b/>
                <w:bCs/>
                <w:sz w:val="24"/>
                <w:szCs w:val="24"/>
                <w:highlight w:val="none"/>
                <w:lang w:val="en-US" w:eastAsia="zh-CN"/>
              </w:rPr>
            </w:pPr>
          </w:p>
          <w:p w14:paraId="68413B70">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sz w:val="24"/>
                <w:szCs w:val="24"/>
                <w:highlight w:val="none"/>
              </w:rPr>
            </w:pPr>
          </w:p>
        </w:tc>
      </w:tr>
      <w:tr w14:paraId="3850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4876" w:type="dxa"/>
            <w:noWrap w:val="0"/>
            <w:vAlign w:val="center"/>
          </w:tcPr>
          <w:p w14:paraId="18108855">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单位地址：</w:t>
            </w:r>
          </w:p>
        </w:tc>
        <w:tc>
          <w:tcPr>
            <w:tcW w:w="4884" w:type="dxa"/>
            <w:noWrap w:val="0"/>
            <w:vAlign w:val="center"/>
          </w:tcPr>
          <w:p w14:paraId="4D2E4FAB">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单位地址：</w:t>
            </w:r>
          </w:p>
        </w:tc>
      </w:tr>
      <w:tr w14:paraId="5528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2BC1DCCD">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法定代表人：</w:t>
            </w:r>
          </w:p>
        </w:tc>
        <w:tc>
          <w:tcPr>
            <w:tcW w:w="4884" w:type="dxa"/>
            <w:noWrap w:val="0"/>
            <w:vAlign w:val="center"/>
          </w:tcPr>
          <w:p w14:paraId="088D194E">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tc>
      </w:tr>
      <w:tr w14:paraId="2512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5494357B">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委托代理人：</w:t>
            </w:r>
          </w:p>
        </w:tc>
        <w:tc>
          <w:tcPr>
            <w:tcW w:w="4884" w:type="dxa"/>
            <w:noWrap w:val="0"/>
            <w:vAlign w:val="center"/>
          </w:tcPr>
          <w:p w14:paraId="4B87401D">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lang w:eastAsia="zh-CN"/>
              </w:rPr>
              <w:t>：</w:t>
            </w:r>
          </w:p>
        </w:tc>
      </w:tr>
      <w:tr w14:paraId="3E745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4876" w:type="dxa"/>
            <w:noWrap w:val="0"/>
            <w:vAlign w:val="center"/>
          </w:tcPr>
          <w:p w14:paraId="40C420F3">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sz w:val="24"/>
                <w:szCs w:val="24"/>
                <w:highlight w:val="none"/>
              </w:rPr>
              <w:t>电话：</w:t>
            </w:r>
          </w:p>
        </w:tc>
        <w:tc>
          <w:tcPr>
            <w:tcW w:w="4884" w:type="dxa"/>
            <w:noWrap w:val="0"/>
            <w:vAlign w:val="center"/>
          </w:tcPr>
          <w:p w14:paraId="56FF9763">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电话：</w:t>
            </w:r>
          </w:p>
        </w:tc>
      </w:tr>
      <w:tr w14:paraId="7BA12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4876" w:type="dxa"/>
            <w:noWrap w:val="0"/>
            <w:vAlign w:val="center"/>
          </w:tcPr>
          <w:p w14:paraId="556A1045">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电子邮箱：</w:t>
            </w:r>
          </w:p>
        </w:tc>
        <w:tc>
          <w:tcPr>
            <w:tcW w:w="4884" w:type="dxa"/>
            <w:noWrap w:val="0"/>
            <w:vAlign w:val="center"/>
          </w:tcPr>
          <w:p w14:paraId="11B23542">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电子邮箱：</w:t>
            </w:r>
          </w:p>
        </w:tc>
      </w:tr>
      <w:tr w14:paraId="06C15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60FDB18F">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开户银行：</w:t>
            </w:r>
          </w:p>
        </w:tc>
        <w:tc>
          <w:tcPr>
            <w:tcW w:w="4884" w:type="dxa"/>
            <w:noWrap w:val="0"/>
            <w:vAlign w:val="center"/>
          </w:tcPr>
          <w:p w14:paraId="00CAC557">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开户银行</w:t>
            </w:r>
            <w:r>
              <w:rPr>
                <w:rFonts w:hint="eastAsia" w:ascii="宋体" w:hAnsi="宋体" w:eastAsia="宋体" w:cs="宋体"/>
                <w:sz w:val="24"/>
                <w:szCs w:val="24"/>
                <w:highlight w:val="none"/>
                <w:lang w:eastAsia="zh-CN"/>
              </w:rPr>
              <w:t>：</w:t>
            </w:r>
          </w:p>
        </w:tc>
      </w:tr>
      <w:tr w14:paraId="0772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38A19FE3">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开户名称：</w:t>
            </w:r>
          </w:p>
        </w:tc>
        <w:tc>
          <w:tcPr>
            <w:tcW w:w="4884" w:type="dxa"/>
            <w:noWrap w:val="0"/>
            <w:vAlign w:val="center"/>
          </w:tcPr>
          <w:p w14:paraId="63755837">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开户名称：</w:t>
            </w:r>
          </w:p>
        </w:tc>
      </w:tr>
      <w:tr w14:paraId="79294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4876" w:type="dxa"/>
            <w:noWrap w:val="0"/>
            <w:vAlign w:val="center"/>
          </w:tcPr>
          <w:p w14:paraId="4257A7AF">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账号：</w:t>
            </w:r>
          </w:p>
        </w:tc>
        <w:tc>
          <w:tcPr>
            <w:tcW w:w="4884" w:type="dxa"/>
            <w:noWrap w:val="0"/>
            <w:vAlign w:val="center"/>
          </w:tcPr>
          <w:p w14:paraId="79DFDB4F">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账号：</w:t>
            </w:r>
          </w:p>
        </w:tc>
      </w:tr>
      <w:tr w14:paraId="71B6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4876" w:type="dxa"/>
            <w:noWrap w:val="0"/>
            <w:vAlign w:val="center"/>
          </w:tcPr>
          <w:p w14:paraId="1B29CAB5">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邮政编码：</w:t>
            </w:r>
          </w:p>
        </w:tc>
        <w:tc>
          <w:tcPr>
            <w:tcW w:w="4884" w:type="dxa"/>
            <w:noWrap w:val="0"/>
            <w:vAlign w:val="center"/>
          </w:tcPr>
          <w:p w14:paraId="018BDA10">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邮政编码：</w:t>
            </w:r>
          </w:p>
        </w:tc>
      </w:tr>
    </w:tbl>
    <w:p w14:paraId="6FAD11C5">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textAlignment w:val="auto"/>
        <w:rPr>
          <w:rFonts w:hint="eastAsia" w:ascii="宋体" w:hAnsi="宋体" w:eastAsia="宋体" w:cs="宋体"/>
          <w:sz w:val="24"/>
          <w:szCs w:val="24"/>
        </w:rPr>
      </w:pPr>
    </w:p>
    <w:p w14:paraId="2B95973A">
      <w:pPr>
        <w:pStyle w:val="17"/>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合同签订时间： </w:t>
      </w:r>
      <w:r>
        <w:rPr>
          <w:rFonts w:hint="eastAsia" w:hAnsi="宋体" w:eastAsia="宋体" w:cs="宋体"/>
          <w:sz w:val="24"/>
          <w:szCs w:val="24"/>
          <w:lang w:val="en-US" w:eastAsia="zh-CN"/>
        </w:rPr>
        <w:t>2026</w:t>
      </w:r>
      <w:r>
        <w:rPr>
          <w:rFonts w:hint="eastAsia" w:ascii="宋体" w:hAnsi="宋体" w:eastAsia="宋体" w:cs="宋体"/>
          <w:sz w:val="24"/>
          <w:szCs w:val="24"/>
        </w:rPr>
        <w:t>年    月    日</w:t>
      </w:r>
    </w:p>
    <w:p w14:paraId="45AAE10F">
      <w:pPr>
        <w:pStyle w:val="17"/>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color w:val="000000"/>
          <w:sz w:val="24"/>
          <w:szCs w:val="24"/>
        </w:rPr>
      </w:pPr>
      <w:r>
        <w:rPr>
          <w:rFonts w:hint="eastAsia" w:ascii="宋体" w:hAnsi="宋体" w:eastAsia="宋体" w:cs="宋体"/>
          <w:sz w:val="24"/>
          <w:szCs w:val="24"/>
        </w:rPr>
        <w:t>合同签订地点：南宁市</w:t>
      </w:r>
    </w:p>
    <w:p w14:paraId="4D56785E">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合同基本条款</w:t>
      </w:r>
    </w:p>
    <w:p w14:paraId="34B0060B">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一   说   明</w:t>
      </w:r>
    </w:p>
    <w:p w14:paraId="07812E9B">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1.1合同基本条款是指买方（以下简称甲方）和</w:t>
      </w:r>
      <w:r>
        <w:rPr>
          <w:rFonts w:hint="eastAsia" w:hAnsi="宋体" w:eastAsia="宋体" w:cs="宋体"/>
          <w:color w:val="000000"/>
          <w:sz w:val="24"/>
          <w:szCs w:val="24"/>
          <w:lang w:eastAsia="zh-CN"/>
        </w:rPr>
        <w:t>乙方</w:t>
      </w:r>
      <w:r>
        <w:rPr>
          <w:rFonts w:hint="eastAsia" w:ascii="宋体" w:hAnsi="宋体" w:eastAsia="宋体" w:cs="宋体"/>
          <w:color w:val="000000"/>
          <w:sz w:val="24"/>
          <w:szCs w:val="24"/>
        </w:rPr>
        <w:t>（以下简称乙方）应共同遵守的基本原则，并</w:t>
      </w:r>
      <w:r>
        <w:rPr>
          <w:rFonts w:hint="eastAsia" w:hAnsi="宋体" w:eastAsia="宋体" w:cs="宋体"/>
          <w:color w:val="000000"/>
          <w:sz w:val="24"/>
          <w:szCs w:val="24"/>
          <w:lang w:eastAsia="zh-CN"/>
        </w:rPr>
        <w:t>作为</w:t>
      </w:r>
      <w:r>
        <w:rPr>
          <w:rFonts w:hint="eastAsia" w:ascii="宋体" w:hAnsi="宋体" w:eastAsia="宋体" w:cs="宋体"/>
          <w:color w:val="000000"/>
          <w:sz w:val="24"/>
          <w:szCs w:val="24"/>
        </w:rPr>
        <w:t>双方签约的依据。对于合同的其他条款，双方应本着互谅互让的精神，在谈判中协商解决。</w:t>
      </w:r>
    </w:p>
    <w:p w14:paraId="7447B9CC">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1.2制订《合同基本条款》的依据是：《中华人民共和国民法典》。</w:t>
      </w:r>
    </w:p>
    <w:p w14:paraId="612992CE">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二   货物条款</w:t>
      </w:r>
    </w:p>
    <w:p w14:paraId="004651AF">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2.1甲、乙双方应将采购文件、响应文件及谈判小组确认的货物名称、规格型号、技术要求、质量标准、数量、交货日期和售后服务内容等作为本条款的基础。</w:t>
      </w:r>
    </w:p>
    <w:p w14:paraId="5CC870AA">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三   货物质量要求及乙方对质量负责条件和期限</w:t>
      </w:r>
    </w:p>
    <w:p w14:paraId="47DB4E33">
      <w:pPr>
        <w:pStyle w:val="17"/>
        <w:pageBreakBefore w:val="0"/>
        <w:tabs>
          <w:tab w:val="left" w:leader="middleDot" w:pos="9240"/>
        </w:tabs>
        <w:kinsoku/>
        <w:wordWrap/>
        <w:overflowPunct/>
        <w:topLinePunct w:val="0"/>
        <w:bidi w:val="0"/>
        <w:spacing w:line="44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3.1乙方应按招标文件规定的时间向甲方提供安装使用货物配套件所属装置等有关技术文件资料。</w:t>
      </w:r>
    </w:p>
    <w:p w14:paraId="79BAA183">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3.2乙方提供的货物应有符合国家标准以及本产品的出厂标准的质量检验证明。</w:t>
      </w:r>
    </w:p>
    <w:p w14:paraId="5FA5E0A1">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四   质量保证</w:t>
      </w:r>
    </w:p>
    <w:p w14:paraId="73F013F1">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4.1乙方应按招标文件规定的货物性能、技术要求、质量标准向甲方提供未经使用的全新产品。</w:t>
      </w:r>
    </w:p>
    <w:p w14:paraId="4D384EC0">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4.2乙方提供货物的质量保证期按交货验收合格之日起计（期限按投标文件承诺）。在保证期内因货物本身的质量问题发生故障，乙方应负责免费修理和更换零部件。对达不到技术要求者，根据实际情况，经双方协商，可按以下办法处理：</w:t>
      </w:r>
    </w:p>
    <w:p w14:paraId="3CD7FEDF">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退货处理：乙方应退还甲方支付的货物款，同时应承担该货物的直接费用(运输、保险、检验、货款利息及银行手续费等）。</w:t>
      </w:r>
    </w:p>
    <w:p w14:paraId="2B1A4256">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4.3如在使用过程中发生质量问题，乙方在接到甲方通知</w:t>
      </w:r>
      <w:r>
        <w:rPr>
          <w:rFonts w:hint="eastAsia" w:ascii="宋体" w:hAnsi="宋体" w:eastAsia="宋体" w:cs="宋体"/>
          <w:color w:val="000000"/>
          <w:sz w:val="24"/>
          <w:szCs w:val="24"/>
          <w:u w:val="single"/>
        </w:rPr>
        <w:t>按响应文件承诺时间</w:t>
      </w:r>
      <w:r>
        <w:rPr>
          <w:rFonts w:hint="eastAsia" w:ascii="宋体" w:hAnsi="宋体" w:eastAsia="宋体" w:cs="宋体"/>
          <w:color w:val="000000"/>
          <w:sz w:val="24"/>
          <w:szCs w:val="24"/>
        </w:rPr>
        <w:t>到达甲方现场。</w:t>
      </w:r>
    </w:p>
    <w:p w14:paraId="377D79D7">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4.4在质保期内，乙方应对货物出现的质量及安全问题负责处理解决。</w:t>
      </w:r>
    </w:p>
    <w:p w14:paraId="040AF6B3">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五     验  收</w:t>
      </w:r>
    </w:p>
    <w:p w14:paraId="2058730E">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5.1乙方交货前应对产品作出全面检查和对验收文件进行整理列出清单，作为甲方收货验收和使用的技术条件依据，检验的结果应随货物交甲方。</w:t>
      </w:r>
    </w:p>
    <w:p w14:paraId="071E1451">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5.2甲方对乙方所交货物依照采购文件上的技术规格要求和国家（设备制造国）有关标准进行现场验收，性能达到技术要求的，给予签收。验收不合格的不予签收，后果由乙方负责。物资验收严格按照标书要求进行验收，若现场验收达不到标书要求，则采购方不付款。</w:t>
      </w:r>
    </w:p>
    <w:p w14:paraId="61973418">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5.3甲方应在货到指定地点安装调试并试运行完毕之日起</w:t>
      </w:r>
      <w:r>
        <w:rPr>
          <w:rFonts w:hint="eastAsia" w:ascii="宋体" w:hAnsi="宋体" w:eastAsia="宋体" w:cs="宋体"/>
          <w:color w:val="000000"/>
          <w:sz w:val="24"/>
          <w:szCs w:val="24"/>
          <w:u w:val="single"/>
        </w:rPr>
        <w:t xml:space="preserve"> 7</w:t>
      </w:r>
      <w:r>
        <w:rPr>
          <w:rFonts w:hint="eastAsia" w:ascii="宋体" w:hAnsi="宋体" w:eastAsia="宋体" w:cs="宋体"/>
          <w:color w:val="000000"/>
          <w:sz w:val="24"/>
          <w:szCs w:val="24"/>
        </w:rPr>
        <w:t>个工作日内验收完毕，并作出验收结果报告。验收时乙方必须在现场。</w:t>
      </w:r>
    </w:p>
    <w:p w14:paraId="06966551">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六   货物包装、发运及运输</w:t>
      </w:r>
    </w:p>
    <w:p w14:paraId="428DE31B">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6.1乙方应在货物发运前对其进行满足于运输距离、防潮、防震、防锈和防破损装卸要求的包装，以保证货物安全运输到达甲方指定地点。</w:t>
      </w:r>
    </w:p>
    <w:p w14:paraId="70DC04BE">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6.2使用说明书、质量检验证明书、随配附件和工具以及清单等一并附于货物内。</w:t>
      </w:r>
    </w:p>
    <w:p w14:paraId="5849535F">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6.3 乙方负责将货物安全运送到甲方指定地点，不另收任何费用。</w:t>
      </w:r>
    </w:p>
    <w:p w14:paraId="7CE95AD9">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6.4货物在交货前发生的不可预见的风险均由乙方负责。</w:t>
      </w:r>
    </w:p>
    <w:p w14:paraId="3EDA29EA">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b/>
          <w:color w:val="000000"/>
          <w:sz w:val="24"/>
          <w:szCs w:val="24"/>
        </w:rPr>
      </w:pPr>
      <w:r>
        <w:rPr>
          <w:rFonts w:hint="eastAsia" w:ascii="宋体" w:hAnsi="宋体" w:eastAsia="宋体" w:cs="宋体"/>
          <w:color w:val="000000"/>
          <w:sz w:val="24"/>
          <w:szCs w:val="24"/>
        </w:rPr>
        <w:t>6.5货物在发运手续办理完毕后24小时内或货到甲方前48小时通知甲方，以准备接货。</w:t>
      </w:r>
    </w:p>
    <w:p w14:paraId="14F78791">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七   付款方式</w:t>
      </w:r>
    </w:p>
    <w:p w14:paraId="200D7371">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7.1付款方式：按实际送货量结算货款，每批货验收合格之日起，乙方提供并收集送、验货等材料及发票交给甲方；甲方自收到货物及发票之日起付款时间最长不得超过120日，货款不得超过合同总金额。</w:t>
      </w:r>
    </w:p>
    <w:p w14:paraId="01FD90DA">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7.2</w:t>
      </w:r>
      <w:r>
        <w:rPr>
          <w:rFonts w:hint="eastAsia" w:ascii="宋体" w:hAnsi="宋体" w:eastAsia="宋体" w:cs="宋体"/>
          <w:sz w:val="24"/>
          <w:szCs w:val="24"/>
        </w:rPr>
        <w:t>甲方仅对在本合同有效期内，且依据本合同约定的程序和标准接收的合格货物承担付款义务。对于合同终止后或超出合同约定总量的货物，无论是否实际交付，均不产生任何付款责任，且甲方保留要求乙方自行承担费用运回上述货物的权利。</w:t>
      </w:r>
    </w:p>
    <w:p w14:paraId="6CE60135">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rPr>
        <w:t xml:space="preserve">八   </w:t>
      </w:r>
      <w:r>
        <w:rPr>
          <w:rFonts w:hint="eastAsia" w:ascii="宋体" w:hAnsi="宋体" w:eastAsia="宋体" w:cs="宋体"/>
          <w:b/>
          <w:color w:val="000000"/>
          <w:sz w:val="24"/>
          <w:szCs w:val="24"/>
          <w:lang w:val="en-US" w:eastAsia="zh-CN"/>
        </w:rPr>
        <w:t>税费</w:t>
      </w:r>
    </w:p>
    <w:p w14:paraId="6B425E72">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8.1本合同执行中相关的一切税费均由乙方负担。</w:t>
      </w:r>
    </w:p>
    <w:p w14:paraId="5A2C2993">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九</w:t>
      </w:r>
      <w:r>
        <w:rPr>
          <w:rFonts w:hint="eastAsia" w:ascii="宋体" w:hAnsi="宋体" w:eastAsia="宋体" w:cs="宋体"/>
          <w:b/>
          <w:color w:val="000000"/>
          <w:sz w:val="24"/>
          <w:szCs w:val="24"/>
        </w:rPr>
        <w:t xml:space="preserve">   违约责任</w:t>
      </w:r>
    </w:p>
    <w:p w14:paraId="5BD5B4BF">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.1乙方所提供的货物规格、技术标准、材料等质量不合格的，应及时更换，更换不及时的按逾期交货处罚；因质量问题甲方不同意接收的或特殊情况甲方</w:t>
      </w:r>
      <w:r>
        <w:rPr>
          <w:rFonts w:hint="eastAsia" w:ascii="宋体" w:hAnsi="宋体" w:eastAsia="宋体" w:cs="宋体"/>
          <w:sz w:val="24"/>
          <w:szCs w:val="24"/>
          <w:lang w:eastAsia="zh-CN"/>
        </w:rPr>
        <w:t>不</w:t>
      </w:r>
      <w:r>
        <w:rPr>
          <w:rFonts w:hint="eastAsia" w:ascii="宋体" w:hAnsi="宋体" w:eastAsia="宋体" w:cs="宋体"/>
          <w:sz w:val="24"/>
          <w:szCs w:val="24"/>
        </w:rPr>
        <w:t>同意接收的，乙方应向甲方支付违约货款额5%违约金并赔偿甲方经济损失。按上述条件乙方逾期交货的(在乙方接到甲方整改通知之日起超过30天),甲方有权解除合同。</w:t>
      </w:r>
    </w:p>
    <w:p w14:paraId="181A4117">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.2乙方提供的货物如侵犯了第三方合法权益而引发的任何纠纷或诉讼，均由乙方负责交涉并承担全部责任。</w:t>
      </w:r>
    </w:p>
    <w:p w14:paraId="5608D66A">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.3因包装、运输引起的货物损坏，按质量不合格处罚。</w:t>
      </w:r>
    </w:p>
    <w:p w14:paraId="14E70655">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.4乙方逾期交货的，经甲方催促仍未能按时交付货物的，每天向</w:t>
      </w:r>
      <w:r>
        <w:rPr>
          <w:rFonts w:hint="eastAsia" w:ascii="宋体" w:hAnsi="宋体" w:eastAsia="宋体" w:cs="宋体"/>
          <w:sz w:val="24"/>
          <w:szCs w:val="24"/>
          <w:lang w:val="en-US" w:eastAsia="zh-CN"/>
        </w:rPr>
        <w:t>甲方</w:t>
      </w:r>
      <w:r>
        <w:rPr>
          <w:rFonts w:hint="eastAsia" w:ascii="宋体" w:hAnsi="宋体" w:eastAsia="宋体" w:cs="宋体"/>
          <w:sz w:val="24"/>
          <w:szCs w:val="24"/>
        </w:rPr>
        <w:t>偿付违约货款额3‰违约金，但违约金累计不得超过违约货款额5%，逾期送货累计超过</w:t>
      </w:r>
      <w:r>
        <w:rPr>
          <w:rFonts w:hint="eastAsia" w:ascii="宋体" w:hAnsi="宋体" w:eastAsia="宋体" w:cs="宋体"/>
          <w:sz w:val="24"/>
          <w:szCs w:val="24"/>
          <w:lang w:val="en-US" w:eastAsia="zh-CN"/>
        </w:rPr>
        <w:t>2</w:t>
      </w:r>
      <w:r>
        <w:rPr>
          <w:rFonts w:hint="eastAsia" w:ascii="宋体" w:hAnsi="宋体" w:eastAsia="宋体" w:cs="宋体"/>
          <w:sz w:val="24"/>
          <w:szCs w:val="24"/>
        </w:rPr>
        <w:t>次（不含本数），</w:t>
      </w:r>
      <w:r>
        <w:rPr>
          <w:rFonts w:hint="eastAsia" w:ascii="宋体" w:hAnsi="宋体" w:eastAsia="宋体" w:cs="宋体"/>
          <w:sz w:val="24"/>
          <w:szCs w:val="24"/>
          <w:lang w:val="en-US" w:eastAsia="zh-CN"/>
        </w:rPr>
        <w:t>甲方</w:t>
      </w:r>
      <w:r>
        <w:rPr>
          <w:rFonts w:hint="eastAsia" w:ascii="宋体" w:hAnsi="宋体" w:eastAsia="宋体" w:cs="宋体"/>
          <w:sz w:val="24"/>
          <w:szCs w:val="24"/>
        </w:rPr>
        <w:t>有权单方解除合同，乙方承担因此给</w:t>
      </w:r>
      <w:r>
        <w:rPr>
          <w:rFonts w:hint="eastAsia" w:ascii="宋体" w:hAnsi="宋体" w:eastAsia="宋体" w:cs="宋体"/>
          <w:sz w:val="24"/>
          <w:szCs w:val="24"/>
          <w:lang w:val="en-US" w:eastAsia="zh-CN"/>
        </w:rPr>
        <w:t>甲方</w:t>
      </w:r>
      <w:r>
        <w:rPr>
          <w:rFonts w:hint="eastAsia" w:ascii="宋体" w:hAnsi="宋体" w:eastAsia="宋体" w:cs="宋体"/>
          <w:sz w:val="24"/>
          <w:szCs w:val="24"/>
        </w:rPr>
        <w:t>造成经济损失。</w:t>
      </w:r>
    </w:p>
    <w:p w14:paraId="320CE3DF">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.5乙方未按本合同规定的服务承诺提供售后服务的，乙方应按本合同合计金额 5%向甲方支付违约金。</w:t>
      </w:r>
    </w:p>
    <w:p w14:paraId="4E52E24A">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6乙方提供的货物在质量保证期内，因设计、工艺或材料的缺陷和其它质量原因造成的问题，由乙方负责，费用从质量保证金中扣除，不足另补,如无质量保证金乙方按实际费用支付。</w:t>
      </w:r>
    </w:p>
    <w:p w14:paraId="2E4E917B">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bookmarkStart w:id="8" w:name="OLE_LINK2"/>
      <w:r>
        <w:rPr>
          <w:rFonts w:hint="eastAsia" w:ascii="宋体" w:hAnsi="宋体" w:eastAsia="宋体" w:cs="宋体"/>
          <w:sz w:val="24"/>
          <w:szCs w:val="24"/>
          <w:lang w:val="en-US" w:eastAsia="zh-CN"/>
        </w:rPr>
        <w:t>9</w:t>
      </w:r>
      <w:r>
        <w:rPr>
          <w:rFonts w:hint="eastAsia" w:ascii="宋体" w:hAnsi="宋体" w:eastAsia="宋体" w:cs="宋体"/>
          <w:sz w:val="24"/>
          <w:szCs w:val="24"/>
        </w:rPr>
        <w:t>.7其它违约行为按违约货款额5%收取违约金并赔偿经济损失。</w:t>
      </w:r>
    </w:p>
    <w:p w14:paraId="09D636D6">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.8如果乙方以价格上调原因停止供货，需承担的相应违约责任，违约金可以从我院应付的货款中直接扣除；如因停产不能供货，需有厂家出具的停产证明。</w:t>
      </w:r>
    </w:p>
    <w:p w14:paraId="0690C211">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.9乙方单方面提出停止供货的，需向甲方支付违约金，违约金额按合同总额的15%偿付，并追究因此给甲方造成损失的法律责任。</w:t>
      </w:r>
    </w:p>
    <w:bookmarkEnd w:id="8"/>
    <w:p w14:paraId="39E31CA7">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十</w:t>
      </w:r>
      <w:r>
        <w:rPr>
          <w:rFonts w:hint="eastAsia" w:ascii="宋体" w:hAnsi="宋体" w:eastAsia="宋体" w:cs="宋体"/>
          <w:b/>
          <w:color w:val="000000"/>
          <w:sz w:val="24"/>
          <w:szCs w:val="24"/>
        </w:rPr>
        <w:t xml:space="preserve">   不可抗力事件处理</w:t>
      </w:r>
    </w:p>
    <w:p w14:paraId="4922E2D7">
      <w:pPr>
        <w:pStyle w:val="17"/>
        <w:pageBreakBefore w:val="0"/>
        <w:tabs>
          <w:tab w:val="left" w:leader="middleDot" w:pos="9240"/>
        </w:tabs>
        <w:kinsoku/>
        <w:wordWrap/>
        <w:overflowPunct/>
        <w:topLinePunct w:val="0"/>
        <w:bidi w:val="0"/>
        <w:spacing w:line="440" w:lineRule="exact"/>
        <w:ind w:firstLine="420"/>
        <w:rPr>
          <w:rFonts w:hint="eastAsia" w:ascii="宋体" w:hAnsi="宋体" w:eastAsia="宋体" w:cs="宋体"/>
          <w:color w:val="000000"/>
          <w:sz w:val="24"/>
          <w:szCs w:val="24"/>
        </w:rPr>
      </w:pPr>
      <w:r>
        <w:rPr>
          <w:rFonts w:hint="eastAsia" w:hAnsi="宋体" w:eastAsia="宋体" w:cs="宋体"/>
          <w:color w:val="000000"/>
          <w:sz w:val="24"/>
          <w:szCs w:val="24"/>
          <w:lang w:val="en-US" w:eastAsia="zh-CN"/>
        </w:rPr>
        <w:t>10</w:t>
      </w:r>
      <w:r>
        <w:rPr>
          <w:rFonts w:hint="eastAsia" w:ascii="宋体" w:hAnsi="宋体" w:eastAsia="宋体" w:cs="宋体"/>
          <w:color w:val="000000"/>
          <w:sz w:val="24"/>
          <w:szCs w:val="24"/>
        </w:rPr>
        <w:t>.1在合同有效期限内，任何一方因不可抗力事件导致不能按时履行合同，则合同履行期可延长，其延长期与不可抗力影响期相同。由于不可抗力事件导致合同的根本目的不能实现时，一方可解除合同。</w:t>
      </w:r>
    </w:p>
    <w:p w14:paraId="60D42A8C">
      <w:pPr>
        <w:pageBreakBefore w:val="0"/>
        <w:tabs>
          <w:tab w:val="left" w:leader="middleDot" w:pos="9240"/>
        </w:tabs>
        <w:kinsoku/>
        <w:wordWrap/>
        <w:overflowPunct/>
        <w:topLinePunct w:val="0"/>
        <w:bidi w:val="0"/>
        <w:spacing w:after="124" w:afterLines="40" w:line="3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.2不可抗力事件</w:t>
      </w:r>
      <w:r>
        <w:rPr>
          <w:rFonts w:hint="eastAsia" w:ascii="宋体" w:hAnsi="宋体" w:eastAsia="宋体" w:cs="宋体"/>
          <w:sz w:val="24"/>
          <w:szCs w:val="24"/>
        </w:rPr>
        <w:t>（包括</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"https://baike.so.com/doc/5034871-5261390.html"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自然灾害</w:t>
      </w:r>
      <w:r>
        <w:rPr>
          <w:rFonts w:hint="eastAsia" w:ascii="宋体" w:hAnsi="宋体" w:eastAsia="宋体" w:cs="宋体"/>
          <w:sz w:val="24"/>
          <w:szCs w:val="24"/>
        </w:rPr>
        <w:fldChar w:fldCharType="end"/>
      </w:r>
      <w:r>
        <w:rPr>
          <w:rFonts w:hint="eastAsia" w:ascii="宋体" w:hAnsi="宋体" w:eastAsia="宋体" w:cs="宋体"/>
          <w:sz w:val="24"/>
          <w:szCs w:val="24"/>
        </w:rPr>
        <w:t>、如</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"https://baike.so.com/doc/7189817-7414015.html"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台风</w:t>
      </w:r>
      <w:r>
        <w:rPr>
          <w:rFonts w:hint="eastAsia" w:ascii="宋体" w:hAnsi="宋体" w:eastAsia="宋体" w:cs="宋体"/>
          <w:sz w:val="24"/>
          <w:szCs w:val="24"/>
        </w:rPr>
        <w:fldChar w:fldCharType="end"/>
      </w: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"https://baike.so.com/doc/3055511-8203308.html"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地震</w:t>
      </w:r>
      <w:r>
        <w:rPr>
          <w:rFonts w:hint="eastAsia" w:ascii="宋体" w:hAnsi="宋体" w:eastAsia="宋体" w:cs="宋体"/>
          <w:sz w:val="24"/>
          <w:szCs w:val="24"/>
        </w:rPr>
        <w:fldChar w:fldCharType="end"/>
      </w:r>
      <w:r>
        <w:rPr>
          <w:rFonts w:hint="eastAsia" w:ascii="宋体" w:hAnsi="宋体" w:eastAsia="宋体" w:cs="宋体"/>
          <w:sz w:val="24"/>
          <w:szCs w:val="24"/>
        </w:rPr>
        <w:t>、洪水、</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"https://baike.so.com/doc/4028853-4226450.html"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冰雹</w:t>
      </w:r>
      <w:r>
        <w:rPr>
          <w:rFonts w:hint="eastAsia" w:ascii="宋体" w:hAnsi="宋体" w:eastAsia="宋体" w:cs="宋体"/>
          <w:sz w:val="24"/>
          <w:szCs w:val="24"/>
        </w:rPr>
        <w:fldChar w:fldCharType="end"/>
      </w: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"https://baike.so.com/doc/6203172-6416438.html"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政府行为</w:t>
      </w:r>
      <w:r>
        <w:rPr>
          <w:rFonts w:hint="eastAsia" w:ascii="宋体" w:hAnsi="宋体" w:eastAsia="宋体" w:cs="宋体"/>
          <w:sz w:val="24"/>
          <w:szCs w:val="24"/>
        </w:rPr>
        <w:fldChar w:fldCharType="end"/>
      </w:r>
      <w:r>
        <w:rPr>
          <w:rFonts w:hint="eastAsia" w:ascii="宋体" w:hAnsi="宋体" w:eastAsia="宋体" w:cs="宋体"/>
          <w:sz w:val="24"/>
          <w:szCs w:val="24"/>
        </w:rPr>
        <w:t>，如征收、征用）</w:t>
      </w:r>
      <w:r>
        <w:rPr>
          <w:rFonts w:hint="eastAsia" w:ascii="宋体" w:hAnsi="宋体" w:eastAsia="宋体" w:cs="宋体"/>
          <w:color w:val="000000"/>
          <w:sz w:val="24"/>
          <w:szCs w:val="24"/>
        </w:rPr>
        <w:t>发生后，应立即通知对方，并寄送有关权威机构出具的证明。</w:t>
      </w:r>
    </w:p>
    <w:p w14:paraId="0AEB1F8F">
      <w:pPr>
        <w:pStyle w:val="17"/>
        <w:pageBreakBefore w:val="0"/>
        <w:tabs>
          <w:tab w:val="left" w:leader="middleDot" w:pos="9240"/>
        </w:tabs>
        <w:kinsoku/>
        <w:wordWrap/>
        <w:overflowPunct/>
        <w:topLinePunct w:val="0"/>
        <w:bidi w:val="0"/>
        <w:spacing w:line="440" w:lineRule="exact"/>
        <w:ind w:firstLine="420"/>
        <w:rPr>
          <w:rFonts w:hint="eastAsia" w:ascii="宋体" w:hAnsi="宋体" w:eastAsia="宋体" w:cs="宋体"/>
          <w:color w:val="000000"/>
          <w:sz w:val="24"/>
          <w:szCs w:val="24"/>
        </w:rPr>
      </w:pPr>
      <w:r>
        <w:rPr>
          <w:rFonts w:hint="eastAsia" w:hAnsi="宋体" w:eastAsia="宋体" w:cs="宋体"/>
          <w:color w:val="000000"/>
          <w:sz w:val="24"/>
          <w:szCs w:val="24"/>
          <w:lang w:val="en-US" w:eastAsia="zh-CN"/>
        </w:rPr>
        <w:t>10</w:t>
      </w:r>
      <w:r>
        <w:rPr>
          <w:rFonts w:hint="eastAsia" w:ascii="宋体" w:hAnsi="宋体" w:eastAsia="宋体" w:cs="宋体"/>
          <w:color w:val="000000"/>
          <w:sz w:val="24"/>
          <w:szCs w:val="24"/>
        </w:rPr>
        <w:t>.3不可抗力事件延续120天以上，双方应通过友好协商，确定是否继续履行合同。</w:t>
      </w:r>
    </w:p>
    <w:p w14:paraId="2CA49415">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十</w:t>
      </w:r>
      <w:r>
        <w:rPr>
          <w:rFonts w:hint="eastAsia" w:ascii="宋体" w:hAnsi="宋体" w:eastAsia="宋体" w:cs="宋体"/>
          <w:b/>
          <w:color w:val="000000"/>
          <w:sz w:val="24"/>
          <w:szCs w:val="24"/>
          <w:lang w:val="en-US" w:eastAsia="zh-CN"/>
        </w:rPr>
        <w:t>一</w:t>
      </w:r>
      <w:r>
        <w:rPr>
          <w:rFonts w:hint="eastAsia" w:ascii="宋体" w:hAnsi="宋体" w:eastAsia="宋体" w:cs="宋体"/>
          <w:b/>
          <w:color w:val="000000"/>
          <w:sz w:val="24"/>
          <w:szCs w:val="24"/>
        </w:rPr>
        <w:t xml:space="preserve">   仲   裁</w:t>
      </w:r>
    </w:p>
    <w:p w14:paraId="78EED360">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1</w:t>
      </w:r>
      <w:r>
        <w:rPr>
          <w:rFonts w:hint="eastAsia" w:ascii="宋体" w:hAnsi="宋体" w:eastAsia="宋体" w:cs="宋体"/>
          <w:color w:val="000000"/>
          <w:sz w:val="24"/>
          <w:szCs w:val="24"/>
        </w:rPr>
        <w:t>.1</w:t>
      </w:r>
      <w:r>
        <w:rPr>
          <w:rFonts w:hint="eastAsia" w:ascii="宋体" w:hAnsi="宋体" w:eastAsia="宋体" w:cs="宋体"/>
          <w:sz w:val="24"/>
          <w:szCs w:val="24"/>
        </w:rPr>
        <w:t>凡因执行项目所发生的争议，或与本项目有关的一切争议，双方应通过友好协商解决。如果协商不能解决，依照《中华人民共和国民法典》，由双方认可的仲裁部门解决或向人民法院起诉。</w:t>
      </w:r>
    </w:p>
    <w:p w14:paraId="006EF823">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十</w:t>
      </w:r>
      <w:r>
        <w:rPr>
          <w:rFonts w:hint="eastAsia" w:ascii="宋体" w:hAnsi="宋体" w:eastAsia="宋体" w:cs="宋体"/>
          <w:b/>
          <w:color w:val="000000"/>
          <w:sz w:val="24"/>
          <w:szCs w:val="24"/>
          <w:lang w:val="en-US" w:eastAsia="zh-CN"/>
        </w:rPr>
        <w:t>二</w:t>
      </w:r>
      <w:r>
        <w:rPr>
          <w:rFonts w:hint="eastAsia" w:ascii="宋体" w:hAnsi="宋体" w:eastAsia="宋体" w:cs="宋体"/>
          <w:b/>
          <w:color w:val="000000"/>
          <w:sz w:val="24"/>
          <w:szCs w:val="24"/>
        </w:rPr>
        <w:t xml:space="preserve">   合同生效及其它</w:t>
      </w:r>
    </w:p>
    <w:p w14:paraId="5E543ED9">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2</w:t>
      </w:r>
      <w:r>
        <w:rPr>
          <w:rFonts w:hint="eastAsia" w:ascii="宋体" w:hAnsi="宋体" w:eastAsia="宋体" w:cs="宋体"/>
          <w:color w:val="000000"/>
          <w:sz w:val="24"/>
          <w:szCs w:val="24"/>
        </w:rPr>
        <w:t>.1合同经双方法定代表人或委托代理人签字并加盖单位公章后生效。</w:t>
      </w:r>
    </w:p>
    <w:p w14:paraId="7AA56D56">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2</w:t>
      </w:r>
      <w:r>
        <w:rPr>
          <w:rFonts w:hint="eastAsia" w:ascii="宋体" w:hAnsi="宋体" w:eastAsia="宋体" w:cs="宋体"/>
          <w:color w:val="000000"/>
          <w:sz w:val="24"/>
          <w:szCs w:val="24"/>
        </w:rPr>
        <w:t>.2合同履行中，如需修改或补充合同内容，由双方协商另签署书面修改或补充协议作为主合同不可分割的一部分。</w:t>
      </w:r>
    </w:p>
    <w:p w14:paraId="66AC1698">
      <w:pPr>
        <w:keepNext w:val="0"/>
        <w:keepLines w:val="0"/>
        <w:pageBreakBefore w:val="0"/>
        <w:kinsoku/>
        <w:wordWrap/>
        <w:overflowPunct/>
        <w:topLinePunct w:val="0"/>
        <w:autoSpaceDE/>
        <w:autoSpaceDN/>
        <w:bidi w:val="0"/>
        <w:spacing w:line="400" w:lineRule="exact"/>
        <w:ind w:firstLine="480" w:firstLineChars="200"/>
        <w:textAlignment w:val="auto"/>
        <w:rPr>
          <w:rFonts w:hint="eastAsia"/>
          <w:highlight w:val="none"/>
          <w:lang w:val="en-US" w:eastAsia="zh-CN"/>
        </w:rPr>
      </w:pPr>
      <w:r>
        <w:rPr>
          <w:rFonts w:hint="eastAsia" w:ascii="宋体" w:hAnsi="宋体" w:eastAsia="宋体" w:cs="宋体"/>
          <w:b w:val="0"/>
          <w:bCs w:val="0"/>
          <w:color w:val="000000"/>
          <w:sz w:val="24"/>
          <w:szCs w:val="24"/>
        </w:rPr>
        <w:t>1</w:t>
      </w:r>
      <w:r>
        <w:rPr>
          <w:rFonts w:hint="eastAsia" w:hAnsi="宋体" w:eastAsia="宋体" w:cs="宋体"/>
          <w:b w:val="0"/>
          <w:bCs w:val="0"/>
          <w:color w:val="000000"/>
          <w:sz w:val="24"/>
          <w:szCs w:val="24"/>
          <w:lang w:val="en-US" w:eastAsia="zh-CN"/>
        </w:rPr>
        <w:t>2</w:t>
      </w:r>
      <w:r>
        <w:rPr>
          <w:rFonts w:hint="eastAsia" w:ascii="宋体" w:hAnsi="宋体" w:eastAsia="宋体" w:cs="宋体"/>
          <w:b w:val="0"/>
          <w:bCs w:val="0"/>
          <w:color w:val="000000"/>
          <w:sz w:val="24"/>
          <w:szCs w:val="24"/>
        </w:rPr>
        <w:t>.3乙方必须自行为其提供产品侵犯其他专利人的专利成果承担相应法律责任，如因侵犯他人专利权造成甲方损失的，还应赔偿甲方损失。</w:t>
      </w:r>
    </w:p>
    <w:sectPr>
      <w:footerReference r:id="rId5" w:type="default"/>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Times New Roman"/>
    <w:panose1 w:val="00000000000000000000"/>
    <w:charset w:val="00"/>
    <w:family w:val="roman"/>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8"/>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8"/>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8"/>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19"/>
      <w:pBdr>
        <w:bottom w:val="single" w:color="auto" w:sz="4"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37A8B6"/>
    <w:multiLevelType w:val="singleLevel"/>
    <w:tmpl w:val="BE37A8B6"/>
    <w:lvl w:ilvl="0" w:tentative="0">
      <w:start w:val="3"/>
      <w:numFmt w:val="chineseCounting"/>
      <w:suff w:val="nothing"/>
      <w:lvlText w:val="%1、"/>
      <w:lvlJc w:val="left"/>
      <w:rPr>
        <w:rFonts w:hint="eastAsia"/>
      </w:rPr>
    </w:lvl>
  </w:abstractNum>
  <w:abstractNum w:abstractNumId="1">
    <w:nsid w:val="CD306D35"/>
    <w:multiLevelType w:val="singleLevel"/>
    <w:tmpl w:val="CD306D35"/>
    <w:lvl w:ilvl="0" w:tentative="0">
      <w:start w:val="2"/>
      <w:numFmt w:val="chineseCounting"/>
      <w:suff w:val="nothing"/>
      <w:lvlText w:val="%1、"/>
      <w:lvlJc w:val="left"/>
      <w:rPr>
        <w:rFonts w:hint="eastAsia"/>
      </w:rPr>
    </w:lvl>
  </w:abstractNum>
  <w:abstractNum w:abstractNumId="2">
    <w:nsid w:val="EFBDC91E"/>
    <w:multiLevelType w:val="singleLevel"/>
    <w:tmpl w:val="EFBDC91E"/>
    <w:lvl w:ilvl="0" w:tentative="0">
      <w:start w:val="2"/>
      <w:numFmt w:val="decimal"/>
      <w:suff w:val="nothing"/>
      <w:lvlText w:val="（%1）"/>
      <w:lvlJc w:val="left"/>
      <w:rPr>
        <w:rFonts w:hint="default"/>
        <w:b w:val="0"/>
        <w:bCs w:val="0"/>
      </w:rPr>
    </w:lvl>
  </w:abstractNum>
  <w:abstractNum w:abstractNumId="3">
    <w:nsid w:val="064BE252"/>
    <w:multiLevelType w:val="singleLevel"/>
    <w:tmpl w:val="064BE252"/>
    <w:lvl w:ilvl="0" w:tentative="0">
      <w:start w:val="1"/>
      <w:numFmt w:val="decimal"/>
      <w:pStyle w:val="6"/>
      <w:lvlText w:val="%1."/>
      <w:lvlJc w:val="left"/>
      <w:pPr>
        <w:tabs>
          <w:tab w:val="left" w:pos="360"/>
        </w:tabs>
        <w:ind w:left="36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3A4F45"/>
    <w:rsid w:val="005A7208"/>
    <w:rsid w:val="007200AE"/>
    <w:rsid w:val="00726300"/>
    <w:rsid w:val="00762B36"/>
    <w:rsid w:val="007D6A53"/>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C04E49"/>
    <w:rsid w:val="01DE1773"/>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800D34"/>
    <w:rsid w:val="039842CF"/>
    <w:rsid w:val="03AC38D7"/>
    <w:rsid w:val="03C2134C"/>
    <w:rsid w:val="03D44CDB"/>
    <w:rsid w:val="03E07A24"/>
    <w:rsid w:val="03E52EEC"/>
    <w:rsid w:val="03F62C0E"/>
    <w:rsid w:val="03FB23A4"/>
    <w:rsid w:val="04247911"/>
    <w:rsid w:val="04473600"/>
    <w:rsid w:val="04650ECE"/>
    <w:rsid w:val="04706FFA"/>
    <w:rsid w:val="04A46CA4"/>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E1153D"/>
    <w:rsid w:val="05E137B9"/>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B5EF9"/>
    <w:rsid w:val="079B25E0"/>
    <w:rsid w:val="07A34FF1"/>
    <w:rsid w:val="07B0452B"/>
    <w:rsid w:val="07B62F76"/>
    <w:rsid w:val="07D16002"/>
    <w:rsid w:val="07E35D35"/>
    <w:rsid w:val="07F01A92"/>
    <w:rsid w:val="080737D2"/>
    <w:rsid w:val="081D2FF5"/>
    <w:rsid w:val="0828199A"/>
    <w:rsid w:val="082D6FB0"/>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153CCC"/>
    <w:rsid w:val="093323A4"/>
    <w:rsid w:val="0941123B"/>
    <w:rsid w:val="095274E4"/>
    <w:rsid w:val="095962AF"/>
    <w:rsid w:val="096B5FE2"/>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312DC"/>
    <w:rsid w:val="0E492530"/>
    <w:rsid w:val="0E5C05EF"/>
    <w:rsid w:val="0E5D3047"/>
    <w:rsid w:val="0E71409B"/>
    <w:rsid w:val="0E7A4F7C"/>
    <w:rsid w:val="0EA5125F"/>
    <w:rsid w:val="0EB22DDA"/>
    <w:rsid w:val="0ECC66A0"/>
    <w:rsid w:val="0EED1247"/>
    <w:rsid w:val="0F0E18EA"/>
    <w:rsid w:val="0F234C69"/>
    <w:rsid w:val="0F3B6457"/>
    <w:rsid w:val="0F4672D5"/>
    <w:rsid w:val="0F76748F"/>
    <w:rsid w:val="0F786BF9"/>
    <w:rsid w:val="0F7D1150"/>
    <w:rsid w:val="0F9D2C6D"/>
    <w:rsid w:val="0FA91B7F"/>
    <w:rsid w:val="0FCC6DFA"/>
    <w:rsid w:val="0FE663C2"/>
    <w:rsid w:val="0FE8213B"/>
    <w:rsid w:val="0FFC1B47"/>
    <w:rsid w:val="10101691"/>
    <w:rsid w:val="10182E93"/>
    <w:rsid w:val="10190546"/>
    <w:rsid w:val="1021389E"/>
    <w:rsid w:val="102313C5"/>
    <w:rsid w:val="10246863"/>
    <w:rsid w:val="10525806"/>
    <w:rsid w:val="10607C17"/>
    <w:rsid w:val="106C2D6C"/>
    <w:rsid w:val="107514F4"/>
    <w:rsid w:val="108B0D18"/>
    <w:rsid w:val="10AB3168"/>
    <w:rsid w:val="10B647F9"/>
    <w:rsid w:val="10D16A56"/>
    <w:rsid w:val="10E16B8A"/>
    <w:rsid w:val="10F66AD9"/>
    <w:rsid w:val="113E4E57"/>
    <w:rsid w:val="1151283D"/>
    <w:rsid w:val="11603F53"/>
    <w:rsid w:val="11627CCB"/>
    <w:rsid w:val="1182557E"/>
    <w:rsid w:val="118341C0"/>
    <w:rsid w:val="11847C41"/>
    <w:rsid w:val="11961522"/>
    <w:rsid w:val="119C02C2"/>
    <w:rsid w:val="11C97EA9"/>
    <w:rsid w:val="11E703EE"/>
    <w:rsid w:val="11E93F48"/>
    <w:rsid w:val="11EE5A02"/>
    <w:rsid w:val="11F03528"/>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D1816"/>
    <w:rsid w:val="12FE1C75"/>
    <w:rsid w:val="130A23C8"/>
    <w:rsid w:val="1319085D"/>
    <w:rsid w:val="13271BB1"/>
    <w:rsid w:val="133B2F48"/>
    <w:rsid w:val="13454C20"/>
    <w:rsid w:val="134A5D70"/>
    <w:rsid w:val="134D2F57"/>
    <w:rsid w:val="135950FD"/>
    <w:rsid w:val="13653AA2"/>
    <w:rsid w:val="138F28CD"/>
    <w:rsid w:val="13A50343"/>
    <w:rsid w:val="13CF716E"/>
    <w:rsid w:val="13F75BCF"/>
    <w:rsid w:val="13FD2011"/>
    <w:rsid w:val="13FF287E"/>
    <w:rsid w:val="140B289C"/>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4C6CC8"/>
    <w:rsid w:val="157B135B"/>
    <w:rsid w:val="157F5F86"/>
    <w:rsid w:val="15915971"/>
    <w:rsid w:val="159863B1"/>
    <w:rsid w:val="159E0850"/>
    <w:rsid w:val="15A64FE4"/>
    <w:rsid w:val="15CE1DD3"/>
    <w:rsid w:val="15DB629E"/>
    <w:rsid w:val="161465A9"/>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EF6D81"/>
    <w:rsid w:val="16F00564"/>
    <w:rsid w:val="16F46EE5"/>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F3627"/>
    <w:rsid w:val="19A60971"/>
    <w:rsid w:val="19B66E06"/>
    <w:rsid w:val="19D96F98"/>
    <w:rsid w:val="19F33BB6"/>
    <w:rsid w:val="19F45B80"/>
    <w:rsid w:val="19F46A70"/>
    <w:rsid w:val="1A14067E"/>
    <w:rsid w:val="1A387E8B"/>
    <w:rsid w:val="1A5B79AD"/>
    <w:rsid w:val="1A691CCE"/>
    <w:rsid w:val="1A733D13"/>
    <w:rsid w:val="1A9058A9"/>
    <w:rsid w:val="1AEA05DF"/>
    <w:rsid w:val="1AEE28FF"/>
    <w:rsid w:val="1B2A7AAB"/>
    <w:rsid w:val="1B593EEC"/>
    <w:rsid w:val="1B66485B"/>
    <w:rsid w:val="1B9413C8"/>
    <w:rsid w:val="1BA64C58"/>
    <w:rsid w:val="1BC33A5C"/>
    <w:rsid w:val="1BC96DA5"/>
    <w:rsid w:val="1BEA548C"/>
    <w:rsid w:val="1BF04E4F"/>
    <w:rsid w:val="1BF44DE1"/>
    <w:rsid w:val="1BF81957"/>
    <w:rsid w:val="1BFF50E5"/>
    <w:rsid w:val="1C071B9A"/>
    <w:rsid w:val="1C0F4155"/>
    <w:rsid w:val="1C2A7637"/>
    <w:rsid w:val="1C31288F"/>
    <w:rsid w:val="1C3953B0"/>
    <w:rsid w:val="1C3F69E4"/>
    <w:rsid w:val="1C406E5A"/>
    <w:rsid w:val="1C4912E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4961E3"/>
    <w:rsid w:val="1D4E55A7"/>
    <w:rsid w:val="1D7019C1"/>
    <w:rsid w:val="1D713B23"/>
    <w:rsid w:val="1D7274E7"/>
    <w:rsid w:val="1D886D0B"/>
    <w:rsid w:val="1D952D46"/>
    <w:rsid w:val="1D975F15"/>
    <w:rsid w:val="1DA8386E"/>
    <w:rsid w:val="1DAB47A7"/>
    <w:rsid w:val="1DB45D52"/>
    <w:rsid w:val="1DBC0763"/>
    <w:rsid w:val="1DC046F7"/>
    <w:rsid w:val="1DD12460"/>
    <w:rsid w:val="1DED6B6E"/>
    <w:rsid w:val="1E0A5972"/>
    <w:rsid w:val="1E0C16EA"/>
    <w:rsid w:val="1E14059F"/>
    <w:rsid w:val="1E1A22FB"/>
    <w:rsid w:val="1E1E4F79"/>
    <w:rsid w:val="1E2F53D8"/>
    <w:rsid w:val="1E58490A"/>
    <w:rsid w:val="1E587609"/>
    <w:rsid w:val="1E636E30"/>
    <w:rsid w:val="1E656859"/>
    <w:rsid w:val="1E805C34"/>
    <w:rsid w:val="1EA14212"/>
    <w:rsid w:val="1EA731C1"/>
    <w:rsid w:val="1EAC07D7"/>
    <w:rsid w:val="1EAF0707"/>
    <w:rsid w:val="1EB8717C"/>
    <w:rsid w:val="1EBE244B"/>
    <w:rsid w:val="1EBF49AE"/>
    <w:rsid w:val="1EC2624D"/>
    <w:rsid w:val="1F185E6D"/>
    <w:rsid w:val="1F274302"/>
    <w:rsid w:val="1F4B4494"/>
    <w:rsid w:val="1F7D20FB"/>
    <w:rsid w:val="1FA871F0"/>
    <w:rsid w:val="1FAB33E8"/>
    <w:rsid w:val="1FAB6CE1"/>
    <w:rsid w:val="1FB5190D"/>
    <w:rsid w:val="1FCB2EDF"/>
    <w:rsid w:val="1FE16BA6"/>
    <w:rsid w:val="1FF93EF0"/>
    <w:rsid w:val="1FF95C9E"/>
    <w:rsid w:val="201C373B"/>
    <w:rsid w:val="20280331"/>
    <w:rsid w:val="202A22FB"/>
    <w:rsid w:val="20336F55"/>
    <w:rsid w:val="20515ADA"/>
    <w:rsid w:val="206E043A"/>
    <w:rsid w:val="206F7D0E"/>
    <w:rsid w:val="20855784"/>
    <w:rsid w:val="20A0611A"/>
    <w:rsid w:val="20BD3045"/>
    <w:rsid w:val="20E029BA"/>
    <w:rsid w:val="20F91DC3"/>
    <w:rsid w:val="21056955"/>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94E74"/>
    <w:rsid w:val="22C205C9"/>
    <w:rsid w:val="22CA1B74"/>
    <w:rsid w:val="22CF0F38"/>
    <w:rsid w:val="22F07A78"/>
    <w:rsid w:val="22F64717"/>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8135D30"/>
    <w:rsid w:val="2821194A"/>
    <w:rsid w:val="282B6C11"/>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754D0"/>
    <w:rsid w:val="2B163BA8"/>
    <w:rsid w:val="2B261911"/>
    <w:rsid w:val="2B400C25"/>
    <w:rsid w:val="2B4A3852"/>
    <w:rsid w:val="2B777BE6"/>
    <w:rsid w:val="2B794137"/>
    <w:rsid w:val="2B801021"/>
    <w:rsid w:val="2B920D55"/>
    <w:rsid w:val="2B9B7567"/>
    <w:rsid w:val="2BA56D2B"/>
    <w:rsid w:val="2BAE3DE1"/>
    <w:rsid w:val="2BC2163A"/>
    <w:rsid w:val="2BC26A33"/>
    <w:rsid w:val="2BE041B6"/>
    <w:rsid w:val="2BF137F5"/>
    <w:rsid w:val="2C1300E8"/>
    <w:rsid w:val="2C155C0E"/>
    <w:rsid w:val="2C17411D"/>
    <w:rsid w:val="2C275941"/>
    <w:rsid w:val="2C2C601B"/>
    <w:rsid w:val="2C3D4040"/>
    <w:rsid w:val="2C550700"/>
    <w:rsid w:val="2C6B3A80"/>
    <w:rsid w:val="2C70553A"/>
    <w:rsid w:val="2C730B86"/>
    <w:rsid w:val="2C9B780D"/>
    <w:rsid w:val="2C9F2B97"/>
    <w:rsid w:val="2CA760BB"/>
    <w:rsid w:val="2CB90C8F"/>
    <w:rsid w:val="2CD535EF"/>
    <w:rsid w:val="2CD634E0"/>
    <w:rsid w:val="2CDA585C"/>
    <w:rsid w:val="2CF6225B"/>
    <w:rsid w:val="2D1139FF"/>
    <w:rsid w:val="2D4A18E7"/>
    <w:rsid w:val="2D5101A8"/>
    <w:rsid w:val="2D572256"/>
    <w:rsid w:val="2D630BFB"/>
    <w:rsid w:val="2D6B4704"/>
    <w:rsid w:val="2D855015"/>
    <w:rsid w:val="2D9E66A8"/>
    <w:rsid w:val="2DAC0C1E"/>
    <w:rsid w:val="2DCF44E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33134"/>
    <w:rsid w:val="2F6A2714"/>
    <w:rsid w:val="2F6B5AEA"/>
    <w:rsid w:val="2F6C7A55"/>
    <w:rsid w:val="2F6D7FDB"/>
    <w:rsid w:val="2F827A5E"/>
    <w:rsid w:val="2FB60F93"/>
    <w:rsid w:val="2FB971F8"/>
    <w:rsid w:val="2FC31E25"/>
    <w:rsid w:val="2FDE0A0C"/>
    <w:rsid w:val="2FF10740"/>
    <w:rsid w:val="301B756B"/>
    <w:rsid w:val="30313232"/>
    <w:rsid w:val="303845C1"/>
    <w:rsid w:val="303C2E9C"/>
    <w:rsid w:val="30501C4D"/>
    <w:rsid w:val="305A4537"/>
    <w:rsid w:val="3062163D"/>
    <w:rsid w:val="30656A38"/>
    <w:rsid w:val="30907F59"/>
    <w:rsid w:val="309A2FCC"/>
    <w:rsid w:val="30BF5504"/>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F10A57"/>
    <w:rsid w:val="32F32A21"/>
    <w:rsid w:val="33182487"/>
    <w:rsid w:val="334535E8"/>
    <w:rsid w:val="334705B2"/>
    <w:rsid w:val="33503314"/>
    <w:rsid w:val="33627F5C"/>
    <w:rsid w:val="33745910"/>
    <w:rsid w:val="33D11A5A"/>
    <w:rsid w:val="33E52369"/>
    <w:rsid w:val="33F151B2"/>
    <w:rsid w:val="34117602"/>
    <w:rsid w:val="342968E5"/>
    <w:rsid w:val="342F06CC"/>
    <w:rsid w:val="343706EB"/>
    <w:rsid w:val="343E5F1E"/>
    <w:rsid w:val="34607C42"/>
    <w:rsid w:val="34732BA2"/>
    <w:rsid w:val="347A065D"/>
    <w:rsid w:val="348957C0"/>
    <w:rsid w:val="3491429F"/>
    <w:rsid w:val="3495618F"/>
    <w:rsid w:val="34A75871"/>
    <w:rsid w:val="34B00BC9"/>
    <w:rsid w:val="34B34216"/>
    <w:rsid w:val="34BB131C"/>
    <w:rsid w:val="34E31A24"/>
    <w:rsid w:val="34EB1FE1"/>
    <w:rsid w:val="34EB2755"/>
    <w:rsid w:val="34F62354"/>
    <w:rsid w:val="34FA7A45"/>
    <w:rsid w:val="35127DF3"/>
    <w:rsid w:val="352933BC"/>
    <w:rsid w:val="35366BDD"/>
    <w:rsid w:val="353E4930"/>
    <w:rsid w:val="359758E5"/>
    <w:rsid w:val="359E6C74"/>
    <w:rsid w:val="35BE10C4"/>
    <w:rsid w:val="35D02246"/>
    <w:rsid w:val="35D10786"/>
    <w:rsid w:val="35D27439"/>
    <w:rsid w:val="35E0728C"/>
    <w:rsid w:val="35E84393"/>
    <w:rsid w:val="360F1920"/>
    <w:rsid w:val="361C228F"/>
    <w:rsid w:val="36246FC4"/>
    <w:rsid w:val="364D41F6"/>
    <w:rsid w:val="36511F38"/>
    <w:rsid w:val="365E6403"/>
    <w:rsid w:val="366C4FC4"/>
    <w:rsid w:val="36783969"/>
    <w:rsid w:val="368A544A"/>
    <w:rsid w:val="36AA5AEC"/>
    <w:rsid w:val="36BD137C"/>
    <w:rsid w:val="36E6490D"/>
    <w:rsid w:val="36E717E3"/>
    <w:rsid w:val="36EF52AD"/>
    <w:rsid w:val="36F143CA"/>
    <w:rsid w:val="3704407A"/>
    <w:rsid w:val="370945C1"/>
    <w:rsid w:val="371504C8"/>
    <w:rsid w:val="372B33F7"/>
    <w:rsid w:val="372C6501"/>
    <w:rsid w:val="37337890"/>
    <w:rsid w:val="373830F8"/>
    <w:rsid w:val="3751494E"/>
    <w:rsid w:val="376712E7"/>
    <w:rsid w:val="37A80F1E"/>
    <w:rsid w:val="37B81B43"/>
    <w:rsid w:val="37C329C2"/>
    <w:rsid w:val="37CA60FE"/>
    <w:rsid w:val="37CE559C"/>
    <w:rsid w:val="380134EA"/>
    <w:rsid w:val="38262F51"/>
    <w:rsid w:val="382F0057"/>
    <w:rsid w:val="383026B2"/>
    <w:rsid w:val="38312021"/>
    <w:rsid w:val="38341B11"/>
    <w:rsid w:val="38431D54"/>
    <w:rsid w:val="38447A9B"/>
    <w:rsid w:val="38476878"/>
    <w:rsid w:val="384F06F9"/>
    <w:rsid w:val="3862667F"/>
    <w:rsid w:val="3885236D"/>
    <w:rsid w:val="38A65E3F"/>
    <w:rsid w:val="38C22C79"/>
    <w:rsid w:val="38DA604A"/>
    <w:rsid w:val="38F8669B"/>
    <w:rsid w:val="39026556"/>
    <w:rsid w:val="39074B30"/>
    <w:rsid w:val="39447B32"/>
    <w:rsid w:val="394D08DF"/>
    <w:rsid w:val="39513FFD"/>
    <w:rsid w:val="395835DE"/>
    <w:rsid w:val="395D0BF4"/>
    <w:rsid w:val="396C060C"/>
    <w:rsid w:val="39785A2E"/>
    <w:rsid w:val="39900FC9"/>
    <w:rsid w:val="399833FA"/>
    <w:rsid w:val="39CF4948"/>
    <w:rsid w:val="3A103EB8"/>
    <w:rsid w:val="3A155D47"/>
    <w:rsid w:val="3A217DF2"/>
    <w:rsid w:val="3A361B71"/>
    <w:rsid w:val="3A3E27D3"/>
    <w:rsid w:val="3A3F654C"/>
    <w:rsid w:val="3A4A1178"/>
    <w:rsid w:val="3A4D2A17"/>
    <w:rsid w:val="3A811C9B"/>
    <w:rsid w:val="3A8B1791"/>
    <w:rsid w:val="3A96260F"/>
    <w:rsid w:val="3A9643BE"/>
    <w:rsid w:val="3AA50AA5"/>
    <w:rsid w:val="3ABB02C8"/>
    <w:rsid w:val="3AE72E6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D1EB5"/>
    <w:rsid w:val="3D3954D4"/>
    <w:rsid w:val="3D5705CF"/>
    <w:rsid w:val="3D5D11C3"/>
    <w:rsid w:val="3D7D7AB7"/>
    <w:rsid w:val="3D850719"/>
    <w:rsid w:val="3DD35929"/>
    <w:rsid w:val="3DE03BA2"/>
    <w:rsid w:val="3E060C40"/>
    <w:rsid w:val="3E32264F"/>
    <w:rsid w:val="3E410AE4"/>
    <w:rsid w:val="3E432AAE"/>
    <w:rsid w:val="3E5D1F87"/>
    <w:rsid w:val="3E602B0F"/>
    <w:rsid w:val="3E674787"/>
    <w:rsid w:val="3E8310FD"/>
    <w:rsid w:val="3EDF3E59"/>
    <w:rsid w:val="3EE057E6"/>
    <w:rsid w:val="3EE85404"/>
    <w:rsid w:val="3F19380F"/>
    <w:rsid w:val="3F1E7077"/>
    <w:rsid w:val="3F255D10"/>
    <w:rsid w:val="3F282EC4"/>
    <w:rsid w:val="3F391125"/>
    <w:rsid w:val="3F482F4E"/>
    <w:rsid w:val="3F61717C"/>
    <w:rsid w:val="3F7E18C4"/>
    <w:rsid w:val="3F85325E"/>
    <w:rsid w:val="3F9503E1"/>
    <w:rsid w:val="3F95226A"/>
    <w:rsid w:val="3F9D1D4A"/>
    <w:rsid w:val="3F9E4390"/>
    <w:rsid w:val="3FB928FC"/>
    <w:rsid w:val="3FCF3ECE"/>
    <w:rsid w:val="3FD140EA"/>
    <w:rsid w:val="3FDC0668"/>
    <w:rsid w:val="3FF57DD8"/>
    <w:rsid w:val="401A783F"/>
    <w:rsid w:val="402A3CA8"/>
    <w:rsid w:val="40303710"/>
    <w:rsid w:val="40363F4D"/>
    <w:rsid w:val="403E2FEC"/>
    <w:rsid w:val="404F3FD5"/>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597EF3"/>
    <w:rsid w:val="41744D2D"/>
    <w:rsid w:val="417B60BB"/>
    <w:rsid w:val="4183522A"/>
    <w:rsid w:val="4185270A"/>
    <w:rsid w:val="418A27A2"/>
    <w:rsid w:val="418E2292"/>
    <w:rsid w:val="419D52B7"/>
    <w:rsid w:val="41B94E35"/>
    <w:rsid w:val="41BD4926"/>
    <w:rsid w:val="41BD66D4"/>
    <w:rsid w:val="41CB6793"/>
    <w:rsid w:val="41EA4FEF"/>
    <w:rsid w:val="41EC6CF8"/>
    <w:rsid w:val="42125AB0"/>
    <w:rsid w:val="42154762"/>
    <w:rsid w:val="4233229F"/>
    <w:rsid w:val="423F17DF"/>
    <w:rsid w:val="42426BD9"/>
    <w:rsid w:val="424E557E"/>
    <w:rsid w:val="4253296F"/>
    <w:rsid w:val="42576B28"/>
    <w:rsid w:val="425A03C6"/>
    <w:rsid w:val="427C033D"/>
    <w:rsid w:val="42AD752A"/>
    <w:rsid w:val="42B86E9B"/>
    <w:rsid w:val="42BD407C"/>
    <w:rsid w:val="42C65A5C"/>
    <w:rsid w:val="42DC5CC8"/>
    <w:rsid w:val="42DC702D"/>
    <w:rsid w:val="42DE2DA6"/>
    <w:rsid w:val="42E934F8"/>
    <w:rsid w:val="42FE533E"/>
    <w:rsid w:val="43122A4F"/>
    <w:rsid w:val="431247FD"/>
    <w:rsid w:val="43210C07"/>
    <w:rsid w:val="43326C4D"/>
    <w:rsid w:val="43346E69"/>
    <w:rsid w:val="43544E16"/>
    <w:rsid w:val="4360359D"/>
    <w:rsid w:val="43827BD5"/>
    <w:rsid w:val="438837D9"/>
    <w:rsid w:val="438C45B0"/>
    <w:rsid w:val="43917E18"/>
    <w:rsid w:val="43AC2EA4"/>
    <w:rsid w:val="43C5238F"/>
    <w:rsid w:val="43C65736"/>
    <w:rsid w:val="43CD4BC8"/>
    <w:rsid w:val="43D47D05"/>
    <w:rsid w:val="43D92BEF"/>
    <w:rsid w:val="43EB0C2A"/>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A100BA"/>
    <w:rsid w:val="45AB2CE7"/>
    <w:rsid w:val="45B20519"/>
    <w:rsid w:val="45B47DEE"/>
    <w:rsid w:val="45B778DE"/>
    <w:rsid w:val="45C049E4"/>
    <w:rsid w:val="45C344D5"/>
    <w:rsid w:val="45E649C1"/>
    <w:rsid w:val="45FE2B09"/>
    <w:rsid w:val="46140894"/>
    <w:rsid w:val="461940F5"/>
    <w:rsid w:val="46256F3D"/>
    <w:rsid w:val="46365271"/>
    <w:rsid w:val="463E3B5B"/>
    <w:rsid w:val="46487824"/>
    <w:rsid w:val="466C06C8"/>
    <w:rsid w:val="46712183"/>
    <w:rsid w:val="467B6B5D"/>
    <w:rsid w:val="4689127A"/>
    <w:rsid w:val="46A76B23"/>
    <w:rsid w:val="46EA77D2"/>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A12DA"/>
    <w:rsid w:val="489A151D"/>
    <w:rsid w:val="489B34E7"/>
    <w:rsid w:val="48A837B8"/>
    <w:rsid w:val="48CF2828"/>
    <w:rsid w:val="48E1372A"/>
    <w:rsid w:val="48EE3617"/>
    <w:rsid w:val="48EE7ABB"/>
    <w:rsid w:val="48F814B6"/>
    <w:rsid w:val="49044BE8"/>
    <w:rsid w:val="490746D8"/>
    <w:rsid w:val="49105C83"/>
    <w:rsid w:val="49184C88"/>
    <w:rsid w:val="49214B3A"/>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BA5EA6"/>
    <w:rsid w:val="4ACA00A8"/>
    <w:rsid w:val="4AEA40A1"/>
    <w:rsid w:val="4AFA44F5"/>
    <w:rsid w:val="4B0709C0"/>
    <w:rsid w:val="4B074A45"/>
    <w:rsid w:val="4B3C4B0D"/>
    <w:rsid w:val="4B510D65"/>
    <w:rsid w:val="4B6978CC"/>
    <w:rsid w:val="4B8D7117"/>
    <w:rsid w:val="4B9E1324"/>
    <w:rsid w:val="4B9F28EF"/>
    <w:rsid w:val="4BA804EE"/>
    <w:rsid w:val="4BAD5A0B"/>
    <w:rsid w:val="4BB87F0C"/>
    <w:rsid w:val="4BCD4DA7"/>
    <w:rsid w:val="4BD72A88"/>
    <w:rsid w:val="4C003D8D"/>
    <w:rsid w:val="4C2D65B7"/>
    <w:rsid w:val="4C453E95"/>
    <w:rsid w:val="4C513C42"/>
    <w:rsid w:val="4C784837"/>
    <w:rsid w:val="4C8C5620"/>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B32B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913D8"/>
    <w:rsid w:val="504601DC"/>
    <w:rsid w:val="50642410"/>
    <w:rsid w:val="506643DA"/>
    <w:rsid w:val="50962F12"/>
    <w:rsid w:val="50A218B6"/>
    <w:rsid w:val="50AC0FE9"/>
    <w:rsid w:val="50B602D7"/>
    <w:rsid w:val="50BB6929"/>
    <w:rsid w:val="50CC06E1"/>
    <w:rsid w:val="50D91050"/>
    <w:rsid w:val="50DB6B76"/>
    <w:rsid w:val="50E4128C"/>
    <w:rsid w:val="50EC0D83"/>
    <w:rsid w:val="510478A5"/>
    <w:rsid w:val="51084011"/>
    <w:rsid w:val="51286E64"/>
    <w:rsid w:val="51422751"/>
    <w:rsid w:val="51534A93"/>
    <w:rsid w:val="515661FD"/>
    <w:rsid w:val="51AB6549"/>
    <w:rsid w:val="51AC22C1"/>
    <w:rsid w:val="51B51175"/>
    <w:rsid w:val="51B655ED"/>
    <w:rsid w:val="51BC69A8"/>
    <w:rsid w:val="51C45B1E"/>
    <w:rsid w:val="51DD027E"/>
    <w:rsid w:val="5202766A"/>
    <w:rsid w:val="52075749"/>
    <w:rsid w:val="52086E88"/>
    <w:rsid w:val="520914C1"/>
    <w:rsid w:val="522D51B0"/>
    <w:rsid w:val="52385255"/>
    <w:rsid w:val="524D39E7"/>
    <w:rsid w:val="52655EED"/>
    <w:rsid w:val="526A01B2"/>
    <w:rsid w:val="52720E14"/>
    <w:rsid w:val="52B551A5"/>
    <w:rsid w:val="52B92F75"/>
    <w:rsid w:val="52C03D1F"/>
    <w:rsid w:val="52C665A9"/>
    <w:rsid w:val="530B778E"/>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326D32"/>
    <w:rsid w:val="55487179"/>
    <w:rsid w:val="554B5B7F"/>
    <w:rsid w:val="55517E5D"/>
    <w:rsid w:val="55521C9E"/>
    <w:rsid w:val="55852E44"/>
    <w:rsid w:val="558C48E3"/>
    <w:rsid w:val="55AA4D69"/>
    <w:rsid w:val="55B61960"/>
    <w:rsid w:val="55C51BA3"/>
    <w:rsid w:val="55D22371"/>
    <w:rsid w:val="55D40D5D"/>
    <w:rsid w:val="55DD0C9B"/>
    <w:rsid w:val="55EB5A20"/>
    <w:rsid w:val="5612303A"/>
    <w:rsid w:val="56215B75"/>
    <w:rsid w:val="567E622C"/>
    <w:rsid w:val="568A5F56"/>
    <w:rsid w:val="569D042A"/>
    <w:rsid w:val="56A143BE"/>
    <w:rsid w:val="56AB2B47"/>
    <w:rsid w:val="56AC76D0"/>
    <w:rsid w:val="56BC2A77"/>
    <w:rsid w:val="56C5189F"/>
    <w:rsid w:val="56E84CA2"/>
    <w:rsid w:val="56E9213D"/>
    <w:rsid w:val="5728063B"/>
    <w:rsid w:val="572A43B4"/>
    <w:rsid w:val="575D6537"/>
    <w:rsid w:val="575E22AF"/>
    <w:rsid w:val="575F4A5D"/>
    <w:rsid w:val="57633422"/>
    <w:rsid w:val="576F0018"/>
    <w:rsid w:val="578320CF"/>
    <w:rsid w:val="57835872"/>
    <w:rsid w:val="57BB14B0"/>
    <w:rsid w:val="57BD10A8"/>
    <w:rsid w:val="57CA16F3"/>
    <w:rsid w:val="57E9601D"/>
    <w:rsid w:val="57FB5D50"/>
    <w:rsid w:val="580F01B2"/>
    <w:rsid w:val="5821117D"/>
    <w:rsid w:val="583555B0"/>
    <w:rsid w:val="58373836"/>
    <w:rsid w:val="583D4424"/>
    <w:rsid w:val="58433FDB"/>
    <w:rsid w:val="584F6B7D"/>
    <w:rsid w:val="585B0D05"/>
    <w:rsid w:val="58694A68"/>
    <w:rsid w:val="586A1866"/>
    <w:rsid w:val="5875165E"/>
    <w:rsid w:val="589046EA"/>
    <w:rsid w:val="58970D9C"/>
    <w:rsid w:val="589B7E1A"/>
    <w:rsid w:val="58BC50A4"/>
    <w:rsid w:val="58CE6FC1"/>
    <w:rsid w:val="58D72319"/>
    <w:rsid w:val="58DC16DE"/>
    <w:rsid w:val="58E97CE8"/>
    <w:rsid w:val="58F033DB"/>
    <w:rsid w:val="59097FF9"/>
    <w:rsid w:val="59125193"/>
    <w:rsid w:val="592461CF"/>
    <w:rsid w:val="59311130"/>
    <w:rsid w:val="593226CA"/>
    <w:rsid w:val="5934151A"/>
    <w:rsid w:val="59411541"/>
    <w:rsid w:val="59413C36"/>
    <w:rsid w:val="59425272"/>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B40418"/>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A22D98"/>
    <w:rsid w:val="61B530E2"/>
    <w:rsid w:val="61C251E9"/>
    <w:rsid w:val="61D72388"/>
    <w:rsid w:val="61DB4C28"/>
    <w:rsid w:val="61FF26CC"/>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B2E02"/>
    <w:rsid w:val="635B1A77"/>
    <w:rsid w:val="635C3B47"/>
    <w:rsid w:val="63624ED5"/>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F7435"/>
    <w:rsid w:val="65A05841"/>
    <w:rsid w:val="65A61E51"/>
    <w:rsid w:val="65B25CA0"/>
    <w:rsid w:val="65B71938"/>
    <w:rsid w:val="65BC08CD"/>
    <w:rsid w:val="65C546A4"/>
    <w:rsid w:val="65ED6CD8"/>
    <w:rsid w:val="65F75DA9"/>
    <w:rsid w:val="660706CC"/>
    <w:rsid w:val="664177C9"/>
    <w:rsid w:val="66747D26"/>
    <w:rsid w:val="667747F4"/>
    <w:rsid w:val="66B5531C"/>
    <w:rsid w:val="66C258A6"/>
    <w:rsid w:val="66CF63DE"/>
    <w:rsid w:val="66E856F1"/>
    <w:rsid w:val="66EA3218"/>
    <w:rsid w:val="67176CA3"/>
    <w:rsid w:val="672A3F5C"/>
    <w:rsid w:val="676F196F"/>
    <w:rsid w:val="677A0A3F"/>
    <w:rsid w:val="678673E4"/>
    <w:rsid w:val="67967E45"/>
    <w:rsid w:val="679F070D"/>
    <w:rsid w:val="67C1041C"/>
    <w:rsid w:val="67C65A33"/>
    <w:rsid w:val="67D23DA8"/>
    <w:rsid w:val="67D5211A"/>
    <w:rsid w:val="67E4410B"/>
    <w:rsid w:val="67E81E4D"/>
    <w:rsid w:val="67E934CF"/>
    <w:rsid w:val="67F04F8A"/>
    <w:rsid w:val="68071BA7"/>
    <w:rsid w:val="681048F1"/>
    <w:rsid w:val="681E3F78"/>
    <w:rsid w:val="682F7047"/>
    <w:rsid w:val="68364CD7"/>
    <w:rsid w:val="68420E31"/>
    <w:rsid w:val="685F19E3"/>
    <w:rsid w:val="685F7957"/>
    <w:rsid w:val="687F2281"/>
    <w:rsid w:val="688D6550"/>
    <w:rsid w:val="68C72254"/>
    <w:rsid w:val="68DA0494"/>
    <w:rsid w:val="68E1064A"/>
    <w:rsid w:val="690A7BA1"/>
    <w:rsid w:val="69180510"/>
    <w:rsid w:val="692844CB"/>
    <w:rsid w:val="692F585A"/>
    <w:rsid w:val="69362744"/>
    <w:rsid w:val="694E2184"/>
    <w:rsid w:val="69502F14"/>
    <w:rsid w:val="6974712F"/>
    <w:rsid w:val="699B26CD"/>
    <w:rsid w:val="69A51678"/>
    <w:rsid w:val="69A753F0"/>
    <w:rsid w:val="69BB2B17"/>
    <w:rsid w:val="69EA21D5"/>
    <w:rsid w:val="69F61ED3"/>
    <w:rsid w:val="69FB1963"/>
    <w:rsid w:val="6A1D00CE"/>
    <w:rsid w:val="6A3B3D8A"/>
    <w:rsid w:val="6A3C022E"/>
    <w:rsid w:val="6A4D41E9"/>
    <w:rsid w:val="6A4E3ABD"/>
    <w:rsid w:val="6A4E61B3"/>
    <w:rsid w:val="6A503CD9"/>
    <w:rsid w:val="6A580B7F"/>
    <w:rsid w:val="6A5E3620"/>
    <w:rsid w:val="6A7449B2"/>
    <w:rsid w:val="6A8706F1"/>
    <w:rsid w:val="6A9736B6"/>
    <w:rsid w:val="6AA302AD"/>
    <w:rsid w:val="6AA61B4B"/>
    <w:rsid w:val="6AA95198"/>
    <w:rsid w:val="6ABF6769"/>
    <w:rsid w:val="6AD12266"/>
    <w:rsid w:val="6AD73E3C"/>
    <w:rsid w:val="6AF1726A"/>
    <w:rsid w:val="6AF208ED"/>
    <w:rsid w:val="6B0D1BCA"/>
    <w:rsid w:val="6B120F8F"/>
    <w:rsid w:val="6B122D3D"/>
    <w:rsid w:val="6B1C1E0E"/>
    <w:rsid w:val="6B4355EC"/>
    <w:rsid w:val="6B4E646B"/>
    <w:rsid w:val="6B7457A6"/>
    <w:rsid w:val="6B8579B3"/>
    <w:rsid w:val="6B9419A4"/>
    <w:rsid w:val="6BE124BE"/>
    <w:rsid w:val="6BE20961"/>
    <w:rsid w:val="6BE50451"/>
    <w:rsid w:val="6BE8387E"/>
    <w:rsid w:val="6BE96194"/>
    <w:rsid w:val="6C246144"/>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94940"/>
    <w:rsid w:val="6EFA7CC2"/>
    <w:rsid w:val="6F1C23DC"/>
    <w:rsid w:val="6F2B4B68"/>
    <w:rsid w:val="6F3C65DA"/>
    <w:rsid w:val="6F4934AE"/>
    <w:rsid w:val="6F7D3E81"/>
    <w:rsid w:val="6F800BBD"/>
    <w:rsid w:val="6F851954"/>
    <w:rsid w:val="6FA73BA8"/>
    <w:rsid w:val="6FB75646"/>
    <w:rsid w:val="6FE27182"/>
    <w:rsid w:val="6FEF5D43"/>
    <w:rsid w:val="6FEF7AF1"/>
    <w:rsid w:val="6FF13869"/>
    <w:rsid w:val="704936A5"/>
    <w:rsid w:val="70651B61"/>
    <w:rsid w:val="706F478E"/>
    <w:rsid w:val="708E10B8"/>
    <w:rsid w:val="708E2E66"/>
    <w:rsid w:val="70FC4273"/>
    <w:rsid w:val="71080E6A"/>
    <w:rsid w:val="710A2D64"/>
    <w:rsid w:val="710E3FA6"/>
    <w:rsid w:val="712E4649"/>
    <w:rsid w:val="715069EC"/>
    <w:rsid w:val="7165689A"/>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A03324"/>
    <w:rsid w:val="72A0751B"/>
    <w:rsid w:val="72CD44DD"/>
    <w:rsid w:val="72F378F8"/>
    <w:rsid w:val="732950C8"/>
    <w:rsid w:val="732B7092"/>
    <w:rsid w:val="732D3C85"/>
    <w:rsid w:val="73487C44"/>
    <w:rsid w:val="73516D4E"/>
    <w:rsid w:val="735E1215"/>
    <w:rsid w:val="73620FE6"/>
    <w:rsid w:val="7377413B"/>
    <w:rsid w:val="73942E89"/>
    <w:rsid w:val="73A61C8F"/>
    <w:rsid w:val="73AA26AC"/>
    <w:rsid w:val="73AD1BC2"/>
    <w:rsid w:val="73B47087"/>
    <w:rsid w:val="73B726D3"/>
    <w:rsid w:val="73E831D5"/>
    <w:rsid w:val="73F05BE5"/>
    <w:rsid w:val="73FE47A6"/>
    <w:rsid w:val="74051691"/>
    <w:rsid w:val="74220495"/>
    <w:rsid w:val="742777E0"/>
    <w:rsid w:val="742D5A28"/>
    <w:rsid w:val="743957DE"/>
    <w:rsid w:val="743F3434"/>
    <w:rsid w:val="74493C73"/>
    <w:rsid w:val="747F58E7"/>
    <w:rsid w:val="7495214B"/>
    <w:rsid w:val="74B93ECA"/>
    <w:rsid w:val="74CC6652"/>
    <w:rsid w:val="74EB1494"/>
    <w:rsid w:val="74F55BA9"/>
    <w:rsid w:val="74F773E5"/>
    <w:rsid w:val="750C6A4F"/>
    <w:rsid w:val="751D6EAE"/>
    <w:rsid w:val="75330480"/>
    <w:rsid w:val="755F74C6"/>
    <w:rsid w:val="75A3785E"/>
    <w:rsid w:val="75A62E29"/>
    <w:rsid w:val="75A90D63"/>
    <w:rsid w:val="75B07D22"/>
    <w:rsid w:val="75D25EEA"/>
    <w:rsid w:val="75D73501"/>
    <w:rsid w:val="75DC0B17"/>
    <w:rsid w:val="75DD24BF"/>
    <w:rsid w:val="75E8126A"/>
    <w:rsid w:val="760836BA"/>
    <w:rsid w:val="760D6F2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D221D2"/>
    <w:rsid w:val="78122D8D"/>
    <w:rsid w:val="781E71C5"/>
    <w:rsid w:val="782544BF"/>
    <w:rsid w:val="783469E8"/>
    <w:rsid w:val="783562BD"/>
    <w:rsid w:val="78450D3A"/>
    <w:rsid w:val="78496FBD"/>
    <w:rsid w:val="7866291A"/>
    <w:rsid w:val="786B5A9C"/>
    <w:rsid w:val="78746DE5"/>
    <w:rsid w:val="787E7C64"/>
    <w:rsid w:val="789E3E62"/>
    <w:rsid w:val="78BC253A"/>
    <w:rsid w:val="78C338C8"/>
    <w:rsid w:val="78DA3778"/>
    <w:rsid w:val="79004B1D"/>
    <w:rsid w:val="79134850"/>
    <w:rsid w:val="79426EE3"/>
    <w:rsid w:val="794C71C1"/>
    <w:rsid w:val="796609EE"/>
    <w:rsid w:val="797F5A41"/>
    <w:rsid w:val="798C63B0"/>
    <w:rsid w:val="79975481"/>
    <w:rsid w:val="79A851F6"/>
    <w:rsid w:val="79C67B14"/>
    <w:rsid w:val="79EB30D7"/>
    <w:rsid w:val="7A0B19CB"/>
    <w:rsid w:val="7A140880"/>
    <w:rsid w:val="7A2111EE"/>
    <w:rsid w:val="7A2B5BC9"/>
    <w:rsid w:val="7A6D61E2"/>
    <w:rsid w:val="7A6D7F90"/>
    <w:rsid w:val="7A756E44"/>
    <w:rsid w:val="7A905722"/>
    <w:rsid w:val="7AA975E0"/>
    <w:rsid w:val="7ACD16AF"/>
    <w:rsid w:val="7AE83ABA"/>
    <w:rsid w:val="7AEC7106"/>
    <w:rsid w:val="7B0A57DF"/>
    <w:rsid w:val="7B0F54EB"/>
    <w:rsid w:val="7B143268"/>
    <w:rsid w:val="7B160627"/>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E642E1"/>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61298"/>
    <w:rsid w:val="7F4F44E6"/>
    <w:rsid w:val="7F5E434B"/>
    <w:rsid w:val="7F741DC0"/>
    <w:rsid w:val="7F7F4D53"/>
    <w:rsid w:val="7F8D69DE"/>
    <w:rsid w:val="7F9B4DDA"/>
    <w:rsid w:val="7FA444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2">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1">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6">
    <w:name w:val="List Number"/>
    <w:basedOn w:val="1"/>
    <w:qFormat/>
    <w:uiPriority w:val="0"/>
    <w:pPr>
      <w:numPr>
        <w:ilvl w:val="0"/>
        <w:numId w:val="1"/>
      </w:numPr>
    </w:pPr>
  </w:style>
  <w:style w:type="paragraph" w:styleId="7">
    <w:name w:val="Normal Indent"/>
    <w:basedOn w:val="1"/>
    <w:next w:val="1"/>
    <w:qFormat/>
    <w:uiPriority w:val="0"/>
    <w:pPr>
      <w:ind w:firstLine="420"/>
    </w:pPr>
    <w:rPr>
      <w:szCs w:val="20"/>
    </w:rPr>
  </w:style>
  <w:style w:type="paragraph" w:styleId="8">
    <w:name w:val="caption"/>
    <w:basedOn w:val="1"/>
    <w:next w:val="1"/>
    <w:qFormat/>
    <w:uiPriority w:val="0"/>
    <w:pPr>
      <w:spacing w:before="152" w:after="160"/>
    </w:pPr>
    <w:rPr>
      <w:rFonts w:ascii="Arial" w:hAnsi="Arial" w:eastAsia="黑体" w:cs="Arial"/>
      <w:sz w:val="20"/>
      <w:szCs w:val="20"/>
    </w:rPr>
  </w:style>
  <w:style w:type="paragraph" w:styleId="9">
    <w:name w:val="annotation text"/>
    <w:basedOn w:val="1"/>
    <w:qFormat/>
    <w:uiPriority w:val="0"/>
    <w:pPr>
      <w:adjustRightInd w:val="0"/>
      <w:spacing w:line="360" w:lineRule="atLeast"/>
      <w:jc w:val="left"/>
      <w:textAlignment w:val="baseline"/>
    </w:pPr>
    <w:rPr>
      <w:kern w:val="0"/>
      <w:sz w:val="24"/>
      <w:szCs w:val="20"/>
    </w:rPr>
  </w:style>
  <w:style w:type="paragraph" w:styleId="10">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1">
    <w:name w:val="Body Text 3"/>
    <w:basedOn w:val="1"/>
    <w:qFormat/>
    <w:uiPriority w:val="0"/>
    <w:pPr>
      <w:spacing w:line="500" w:lineRule="exact"/>
    </w:pPr>
    <w:rPr>
      <w:b/>
      <w:bCs/>
      <w:kern w:val="0"/>
      <w:sz w:val="24"/>
    </w:rPr>
  </w:style>
  <w:style w:type="paragraph" w:styleId="12">
    <w:name w:val="Body Text"/>
    <w:basedOn w:val="1"/>
    <w:next w:val="13"/>
    <w:qFormat/>
    <w:uiPriority w:val="0"/>
    <w:pPr>
      <w:spacing w:line="380" w:lineRule="exact"/>
    </w:pPr>
    <w:rPr>
      <w:kern w:val="0"/>
      <w:sz w:val="24"/>
    </w:rPr>
  </w:style>
  <w:style w:type="paragraph" w:styleId="13">
    <w:name w:val="Date"/>
    <w:basedOn w:val="1"/>
    <w:next w:val="1"/>
    <w:qFormat/>
    <w:uiPriority w:val="0"/>
    <w:rPr>
      <w:sz w:val="24"/>
    </w:rPr>
  </w:style>
  <w:style w:type="paragraph" w:styleId="14">
    <w:name w:val="Body Text Indent"/>
    <w:basedOn w:val="1"/>
    <w:qFormat/>
    <w:uiPriority w:val="0"/>
    <w:pPr>
      <w:ind w:firstLine="830" w:firstLineChars="352"/>
    </w:pPr>
    <w:rPr>
      <w:rFonts w:ascii="仿宋_GB2312" w:eastAsia="仿宋_GB2312"/>
      <w:kern w:val="0"/>
      <w:sz w:val="32"/>
      <w:szCs w:val="20"/>
    </w:rPr>
  </w:style>
  <w:style w:type="paragraph" w:styleId="15">
    <w:name w:val="List 2"/>
    <w:basedOn w:val="1"/>
    <w:qFormat/>
    <w:uiPriority w:val="0"/>
    <w:pPr>
      <w:ind w:left="100" w:leftChars="200" w:hanging="200" w:hangingChars="200"/>
    </w:pPr>
    <w:rPr>
      <w:rFonts w:ascii="Verdana" w:hAnsi="Verdana"/>
      <w:sz w:val="28"/>
    </w:rPr>
  </w:style>
  <w:style w:type="paragraph" w:styleId="16">
    <w:name w:val="toc 3"/>
    <w:basedOn w:val="1"/>
    <w:next w:val="1"/>
    <w:qFormat/>
    <w:uiPriority w:val="0"/>
    <w:pPr>
      <w:ind w:left="840" w:leftChars="400"/>
    </w:pPr>
  </w:style>
  <w:style w:type="paragraph" w:styleId="17">
    <w:name w:val="Plain Text"/>
    <w:basedOn w:val="1"/>
    <w:next w:val="1"/>
    <w:qFormat/>
    <w:uiPriority w:val="0"/>
    <w:rPr>
      <w:rFonts w:ascii="宋体" w:hAnsi="Courier New"/>
      <w:kern w:val="0"/>
      <w:sz w:val="20"/>
      <w:szCs w:val="21"/>
    </w:rPr>
  </w:style>
  <w:style w:type="paragraph" w:styleId="18">
    <w:name w:val="footer"/>
    <w:basedOn w:val="1"/>
    <w:qFormat/>
    <w:uiPriority w:val="0"/>
    <w:pPr>
      <w:tabs>
        <w:tab w:val="center" w:pos="4153"/>
        <w:tab w:val="right" w:pos="8306"/>
      </w:tabs>
      <w:snapToGrid w:val="0"/>
      <w:jc w:val="left"/>
    </w:pPr>
    <w:rPr>
      <w:kern w:val="0"/>
      <w:sz w:val="18"/>
      <w:szCs w:val="18"/>
    </w:rPr>
  </w:style>
  <w:style w:type="paragraph" w:styleId="19">
    <w:name w:val="header"/>
    <w:basedOn w:val="1"/>
    <w:next w:val="12"/>
    <w:qFormat/>
    <w:uiPriority w:val="0"/>
    <w:pPr>
      <w:pBdr>
        <w:bottom w:val="single" w:color="auto" w:sz="6" w:space="1"/>
      </w:pBdr>
      <w:tabs>
        <w:tab w:val="center" w:pos="4153"/>
        <w:tab w:val="right" w:pos="8306"/>
      </w:tabs>
      <w:snapToGrid w:val="0"/>
      <w:jc w:val="center"/>
    </w:pPr>
    <w:rPr>
      <w:kern w:val="0"/>
      <w:sz w:val="18"/>
      <w:szCs w:val="18"/>
    </w:rPr>
  </w:style>
  <w:style w:type="paragraph" w:styleId="20">
    <w:name w:val="toc 1"/>
    <w:basedOn w:val="1"/>
    <w:next w:val="1"/>
    <w:qFormat/>
    <w:uiPriority w:val="39"/>
  </w:style>
  <w:style w:type="paragraph" w:styleId="21">
    <w:name w:val="List"/>
    <w:basedOn w:val="1"/>
    <w:qFormat/>
    <w:uiPriority w:val="0"/>
    <w:pPr>
      <w:ind w:left="200" w:hanging="200" w:hangingChars="200"/>
    </w:pPr>
    <w:rPr>
      <w:rFonts w:ascii="Times New Roman" w:hAnsi="Times New Roman" w:eastAsia="宋体" w:cs="Times New Roman"/>
      <w:sz w:val="28"/>
    </w:rPr>
  </w:style>
  <w:style w:type="paragraph" w:styleId="22">
    <w:name w:val="toc 2"/>
    <w:basedOn w:val="1"/>
    <w:next w:val="1"/>
    <w:unhideWhenUsed/>
    <w:qFormat/>
    <w:uiPriority w:val="39"/>
    <w:pPr>
      <w:ind w:left="420" w:leftChars="200"/>
    </w:pPr>
  </w:style>
  <w:style w:type="paragraph" w:styleId="23">
    <w:name w:val="Body Text 2"/>
    <w:basedOn w:val="1"/>
    <w:qFormat/>
    <w:uiPriority w:val="0"/>
    <w:pPr>
      <w:spacing w:after="120" w:line="480" w:lineRule="auto"/>
    </w:pPr>
    <w:rPr>
      <w:kern w:val="0"/>
      <w:sz w:val="20"/>
    </w:rPr>
  </w:style>
  <w:style w:type="paragraph" w:styleId="24">
    <w:name w:val="HTML Preformatted"/>
    <w:basedOn w:val="1"/>
    <w:qFormat/>
    <w:uiPriority w:val="0"/>
    <w:rPr>
      <w:rFonts w:ascii="Courier New" w:hAnsi="Courier New" w:cs="Courier New"/>
      <w:sz w:val="20"/>
      <w:szCs w:val="20"/>
    </w:rPr>
  </w:style>
  <w:style w:type="paragraph" w:styleId="2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6">
    <w:name w:val="Title"/>
    <w:basedOn w:val="1"/>
    <w:qFormat/>
    <w:uiPriority w:val="0"/>
    <w:pPr>
      <w:spacing w:before="240" w:after="60"/>
      <w:jc w:val="center"/>
      <w:outlineLvl w:val="0"/>
    </w:pPr>
    <w:rPr>
      <w:rFonts w:ascii="Arial" w:hAnsi="Arial"/>
      <w:b/>
      <w:bCs/>
      <w:sz w:val="32"/>
      <w:szCs w:val="32"/>
    </w:rPr>
  </w:style>
  <w:style w:type="paragraph" w:styleId="27">
    <w:name w:val="Body Text First Indent"/>
    <w:basedOn w:val="12"/>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8">
    <w:name w:val="Body Text First Indent 2"/>
    <w:basedOn w:val="14"/>
    <w:next w:val="1"/>
    <w:qFormat/>
    <w:uiPriority w:val="0"/>
    <w:pPr>
      <w:ind w:firstLine="420" w:firstLineChars="200"/>
    </w:pPr>
    <w:rPr>
      <w:rFonts w:ascii="Times New Roman" w:hAnsi="Times New Roman" w:eastAsia="宋体" w:cs="Times New Roman"/>
    </w:rPr>
  </w:style>
  <w:style w:type="table" w:styleId="30">
    <w:name w:val="Table Grid"/>
    <w:basedOn w:val="2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2">
    <w:name w:val="Strong"/>
    <w:basedOn w:val="31"/>
    <w:qFormat/>
    <w:uiPriority w:val="0"/>
    <w:rPr>
      <w:b/>
    </w:rPr>
  </w:style>
  <w:style w:type="character" w:styleId="33">
    <w:name w:val="page number"/>
    <w:qFormat/>
    <w:uiPriority w:val="0"/>
    <w:rPr>
      <w:rFonts w:ascii="Times New Roman" w:hAnsi="Times New Roman" w:eastAsia="宋体" w:cs="Times New Roman"/>
    </w:rPr>
  </w:style>
  <w:style w:type="character" w:styleId="34">
    <w:name w:val="Hyperlink"/>
    <w:basedOn w:val="31"/>
    <w:unhideWhenUsed/>
    <w:qFormat/>
    <w:uiPriority w:val="99"/>
    <w:rPr>
      <w:color w:val="0000FF"/>
      <w:u w:val="single"/>
    </w:rPr>
  </w:style>
  <w:style w:type="character" w:styleId="35">
    <w:name w:val="annotation reference"/>
    <w:qFormat/>
    <w:uiPriority w:val="0"/>
    <w:rPr>
      <w:rFonts w:ascii="Times New Roman" w:hAnsi="Times New Roman" w:eastAsia="宋体" w:cs="Times New Roman"/>
      <w:sz w:val="21"/>
      <w:szCs w:val="21"/>
    </w:rPr>
  </w:style>
  <w:style w:type="paragraph" w:customStyle="1" w:styleId="36">
    <w:name w:val="Default"/>
    <w:next w:val="37"/>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7">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38">
    <w:name w:val="表格文字"/>
    <w:basedOn w:val="1"/>
    <w:qFormat/>
    <w:uiPriority w:val="99"/>
    <w:pPr>
      <w:spacing w:before="25" w:after="25"/>
      <w:jc w:val="left"/>
    </w:pPr>
    <w:rPr>
      <w:bCs/>
      <w:spacing w:val="10"/>
      <w:kern w:val="0"/>
      <w:sz w:val="24"/>
    </w:rPr>
  </w:style>
  <w:style w:type="paragraph" w:customStyle="1" w:styleId="39">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0">
    <w:name w:val="正文文字 Char"/>
    <w:basedOn w:val="1"/>
    <w:next w:val="2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1">
    <w:name w:val="纯文本1"/>
    <w:basedOn w:val="1"/>
    <w:qFormat/>
    <w:uiPriority w:val="0"/>
    <w:pPr>
      <w:suppressAutoHyphens/>
    </w:pPr>
    <w:rPr>
      <w:rFonts w:ascii="宋体" w:hAnsi="宋体" w:eastAsia="宋体" w:cs="Calibri"/>
      <w:kern w:val="1"/>
      <w:sz w:val="20"/>
      <w:szCs w:val="21"/>
      <w:lang w:eastAsia="ar-SA"/>
    </w:rPr>
  </w:style>
  <w:style w:type="paragraph" w:customStyle="1" w:styleId="42">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3">
    <w:name w:val="List Paragraph"/>
    <w:basedOn w:val="1"/>
    <w:qFormat/>
    <w:uiPriority w:val="34"/>
    <w:pPr>
      <w:ind w:firstLine="420" w:firstLineChars="200"/>
    </w:pPr>
  </w:style>
  <w:style w:type="character" w:customStyle="1" w:styleId="44">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5">
    <w:name w:val="p141"/>
    <w:qFormat/>
    <w:uiPriority w:val="0"/>
    <w:rPr>
      <w:sz w:val="21"/>
      <w:szCs w:val="21"/>
    </w:rPr>
  </w:style>
  <w:style w:type="paragraph" w:customStyle="1" w:styleId="46">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7">
    <w:name w:val="font31"/>
    <w:qFormat/>
    <w:uiPriority w:val="0"/>
    <w:rPr>
      <w:rFonts w:hint="eastAsia" w:ascii="宋体" w:hAnsi="宋体" w:eastAsia="宋体" w:cs="宋体"/>
      <w:color w:val="000000"/>
      <w:sz w:val="22"/>
      <w:szCs w:val="22"/>
      <w:u w:val="none"/>
    </w:rPr>
  </w:style>
  <w:style w:type="table" w:customStyle="1" w:styleId="48">
    <w:name w:val="Table Normal"/>
    <w:semiHidden/>
    <w:unhideWhenUsed/>
    <w:qFormat/>
    <w:uiPriority w:val="0"/>
    <w:tblPr>
      <w:tblCellMar>
        <w:top w:w="0" w:type="dxa"/>
        <w:left w:w="0" w:type="dxa"/>
        <w:bottom w:w="0" w:type="dxa"/>
        <w:right w:w="0" w:type="dxa"/>
      </w:tblCellMar>
    </w:tblPr>
  </w:style>
  <w:style w:type="paragraph" w:customStyle="1" w:styleId="49">
    <w:name w:val="Body text|3"/>
    <w:basedOn w:val="1"/>
    <w:qFormat/>
    <w:uiPriority w:val="0"/>
    <w:pPr>
      <w:spacing w:after="460"/>
      <w:jc w:val="center"/>
    </w:pPr>
    <w:rPr>
      <w:rFonts w:ascii="宋体" w:hAnsi="宋体" w:eastAsia="宋体" w:cs="Times New Roman"/>
      <w:kern w:val="0"/>
      <w:sz w:val="34"/>
      <w:szCs w:val="34"/>
    </w:rPr>
  </w:style>
  <w:style w:type="paragraph" w:customStyle="1" w:styleId="50">
    <w:name w:val="Body text|1"/>
    <w:basedOn w:val="1"/>
    <w:qFormat/>
    <w:uiPriority w:val="0"/>
    <w:pPr>
      <w:spacing w:line="353" w:lineRule="auto"/>
      <w:ind w:firstLine="400"/>
      <w:jc w:val="left"/>
    </w:pPr>
    <w:rPr>
      <w:rFonts w:ascii="宋体" w:hAnsi="宋体" w:eastAsia="宋体" w:cs="Times New Roman"/>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73a8e4a2-0410-41b6-9909-1d59d5a64795</errorID>
      <errorWord>公示的</errorWord>
      <group>L1_Word</group>
      <groupName>字词问题</groupName>
      <ability>L2_Typo</ability>
      <abilityName>字词错误</abilityName>
      <candidateList>
        <item>公示</item>
      </candidateList>
      <explain/>
      <paraID>58574F3E</paraID>
      <start>2</start>
      <end>5</end>
      <status>ignored</status>
      <modifiedWord/>
      <trackRevisions>false</trackRevisions>
    </reviewItem>
    <reviewItem>
      <errorID>b6ef0db7-047e-41c7-b6ec-2cdcf13e8d9c</errorID>
      <errorWord>日至2026年</errorWord>
      <group>L1_Word</group>
      <groupName>字词问题</groupName>
      <ability>L2_Typo</ability>
      <abilityName>字词错误</abilityName>
      <candidateList>
        <item>日起至2026年</item>
      </candidateList>
      <explain/>
      <paraID>4FB2C99B</paraID>
      <start>9</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3ad83-61fb-488e-aca7-2ca810b11918}">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5941</Words>
  <Characters>6296</Characters>
  <Lines>0</Lines>
  <Paragraphs>0</Paragraphs>
  <TotalTime>22</TotalTime>
  <ScaleCrop>false</ScaleCrop>
  <LinksUpToDate>false</LinksUpToDate>
  <CharactersWithSpaces>6850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LD</dc:creator>
  <cp:lastModifiedBy>路小路</cp:lastModifiedBy>
  <cp:lastPrinted>2026-08-04T08:15:00Z</cp:lastPrinted>
  <dcterms:modified xsi:type="dcterms:W3CDTF">2026-09-30T08:42:59Z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BB9CA2D1FA8F423C9F6199F94F4F8B24_13</vt:lpwstr>
  </property>
  <property fmtid="{D5CDD505-2E9C-101B-9397-08002B2CF9AE}" pid="4" name="commondata">
    <vt:lpwstr>eyJoZGlkIjoiZWExNWU1N2QxY2UxZWI4YzNlODg4ODFmNzk0YTgzMDQifQ==</vt:lpwstr>
  </property>
  <property fmtid="{D5CDD505-2E9C-101B-9397-08002B2CF9AE}" pid="5" name="KSOTemplateDocerSaveRecord">
    <vt:lpwstr>eyJoZGlkIjoiZmIxOThhMzE5M2MzYzgxMWZlNjBlMTFmYmZiYTc1YjQiLCJ1c2VySWQiOiIyODQ5NTIzNzYifQ==</vt:lpwstr>
  </property>
</Properties>
</file>